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FD" w:rsidRDefault="00227771" w:rsidP="00227771">
      <w:pPr>
        <w:jc w:val="center"/>
        <w:rPr>
          <w:b/>
        </w:rPr>
      </w:pPr>
      <w:r w:rsidRPr="00227771">
        <w:rPr>
          <w:b/>
          <w:sz w:val="40"/>
        </w:rPr>
        <w:t>Результаты</w:t>
      </w:r>
    </w:p>
    <w:p w:rsidR="00227771" w:rsidRDefault="00227771" w:rsidP="00227771"/>
    <w:p w:rsidR="00227771" w:rsidRDefault="00227771" w:rsidP="00227771">
      <w:pPr>
        <w:rPr>
          <w:u w:val="single"/>
          <w:lang w:val="en-US"/>
        </w:rPr>
      </w:pPr>
      <w:r w:rsidRPr="00227771">
        <w:rPr>
          <w:u w:val="single"/>
        </w:rPr>
        <w:t>Введем следующие обозначения</w:t>
      </w:r>
      <w:r w:rsidRPr="00227771">
        <w:rPr>
          <w:u w:val="single"/>
          <w:lang w:val="en-US"/>
        </w:rPr>
        <w:t>:</w:t>
      </w:r>
    </w:p>
    <w:p w:rsidR="00227771" w:rsidRPr="00227771" w:rsidRDefault="00227771" w:rsidP="00227771">
      <w:pPr>
        <w:rPr>
          <w:u w:val="single"/>
          <w:lang w:val="en-US"/>
        </w:rPr>
      </w:pPr>
    </w:p>
    <w:p w:rsidR="00227771" w:rsidRPr="00227771" w:rsidRDefault="00227771" w:rsidP="000F4A1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h,  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приближенное решение, полученное заменой </m:t>
          </m:r>
        </m:oMath>
      </m:oMathPara>
    </w:p>
    <w:p w:rsidR="00227771" w:rsidRPr="00227771" w:rsidRDefault="00227771" w:rsidP="000F4A1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дифференциальнрого оператора разностны</m:t>
          </m:r>
          <m:r>
            <w:rPr>
              <w:rFonts w:ascii="Cambria Math" w:hAnsi="Cambria Math"/>
            </w:rPr>
            <m:t>м</m:t>
          </m:r>
        </m:oMath>
      </m:oMathPara>
    </w:p>
    <w:p w:rsidR="00227771" w:rsidRPr="00227771" w:rsidRDefault="00227771" w:rsidP="000F4A1B">
      <w:pPr>
        <w:rPr>
          <w:rFonts w:eastAsiaTheme="minorEastAsia"/>
          <w:i/>
        </w:rPr>
      </w:pPr>
    </w:p>
    <w:p w:rsidR="00227771" w:rsidRPr="00227771" w:rsidRDefault="00227771" w:rsidP="000F4A1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h,  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приближенное решение, полученное </m:t>
          </m:r>
          <m:r>
            <w:rPr>
              <w:rFonts w:ascii="Cambria Math" w:hAnsi="Cambria Math"/>
            </w:rPr>
            <m:t>интегро-интерполяционным методом</m:t>
          </m:r>
        </m:oMath>
      </m:oMathPara>
    </w:p>
    <w:p w:rsidR="00227771" w:rsidRPr="00227771" w:rsidRDefault="00227771" w:rsidP="000F4A1B">
      <w:pPr>
        <w:rPr>
          <w:i/>
        </w:rPr>
      </w:pPr>
    </w:p>
    <w:p w:rsidR="00227771" w:rsidRPr="00227771" w:rsidRDefault="00227771" w:rsidP="000F4A1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h,  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приближенное решение, полученное </m:t>
          </m:r>
          <m:r>
            <w:rPr>
              <w:rFonts w:ascii="Cambria Math" w:hAnsi="Cambria Math"/>
            </w:rPr>
            <m:t>вариационно-разностным методом Ритца</m:t>
          </m:r>
        </m:oMath>
      </m:oMathPara>
    </w:p>
    <w:p w:rsidR="00227771" w:rsidRDefault="00227771" w:rsidP="000F4A1B">
      <w:pPr>
        <w:rPr>
          <w:rFonts w:eastAsiaTheme="minorEastAsia"/>
          <w:i/>
        </w:rPr>
      </w:pPr>
    </w:p>
    <w:p w:rsidR="00227771" w:rsidRPr="00227771" w:rsidRDefault="00227771" w:rsidP="000F4A1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псевдо-</m:t>
          </m:r>
          <m:r>
            <m:rPr>
              <m:nor/>
            </m:rPr>
            <w:rPr>
              <w:rFonts w:ascii="Cambria Math" w:hAnsi="Cambria Math"/>
            </w:rPr>
            <m:t>точное</m:t>
          </m:r>
          <m:r>
            <w:rPr>
              <w:rFonts w:ascii="Cambria Math" w:hAnsi="Cambria Math"/>
            </w:rPr>
            <m:t xml:space="preserve"> решение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полученное </m:t>
          </m:r>
          <m:r>
            <w:rPr>
              <w:rFonts w:ascii="Cambria Math" w:hAnsi="Cambria Math"/>
            </w:rPr>
            <m:t xml:space="preserve">первым методом </m:t>
          </m:r>
        </m:oMath>
      </m:oMathPara>
    </w:p>
    <w:p w:rsidR="00227771" w:rsidRPr="000F4A1B" w:rsidRDefault="00227771" w:rsidP="000F4A1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 величиной шага </m:t>
          </m:r>
          <m:r>
            <w:rPr>
              <w:rFonts w:ascii="Cambria Math" w:hAnsi="Cambria Math"/>
            </w:rPr>
            <m:t>h=0.001</m:t>
          </m:r>
        </m:oMath>
      </m:oMathPara>
    </w:p>
    <w:p w:rsidR="000F4A1B" w:rsidRDefault="000F4A1B" w:rsidP="00227771">
      <w:pPr>
        <w:rPr>
          <w:rFonts w:eastAsiaTheme="minorEastAsia"/>
          <w:i/>
        </w:rPr>
      </w:pPr>
    </w:p>
    <w:p w:rsidR="00227771" w:rsidRDefault="000F4A1B" w:rsidP="00227771">
      <w:pPr>
        <w:rPr>
          <w:rFonts w:eastAsiaTheme="minorEastAsia"/>
        </w:rPr>
      </w:pPr>
      <w:r>
        <w:rPr>
          <w:rFonts w:eastAsiaTheme="minorEastAsia"/>
        </w:rPr>
        <w:t>В следующей таблице приведены решения и погрешности, полученные тремя методами</w:t>
      </w:r>
      <w:r w:rsidRPr="000F4A1B">
        <w:rPr>
          <w:rFonts w:eastAsiaTheme="minorEastAsia"/>
        </w:rPr>
        <w:t>:</w:t>
      </w:r>
    </w:p>
    <w:p w:rsidR="000F4A1B" w:rsidRPr="000F4A1B" w:rsidRDefault="000F4A1B" w:rsidP="00227771">
      <w:pPr>
        <w:rPr>
          <w:rFonts w:eastAsiaTheme="minorEastAsia"/>
        </w:rPr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760"/>
        <w:gridCol w:w="1273"/>
        <w:gridCol w:w="1272"/>
        <w:gridCol w:w="1273"/>
        <w:gridCol w:w="1372"/>
        <w:gridCol w:w="1416"/>
        <w:gridCol w:w="1276"/>
        <w:gridCol w:w="1276"/>
      </w:tblGrid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7E3BCE" w:rsidRPr="00227771" w:rsidRDefault="007E3BCE" w:rsidP="00227771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7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7E3BCE" w:rsidRPr="00227771" w:rsidRDefault="007E3BCE" w:rsidP="002277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h, 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2" w:type="dxa"/>
            <w:shd w:val="clear" w:color="auto" w:fill="D9D9D9" w:themeFill="background1" w:themeFillShade="D9"/>
          </w:tcPr>
          <w:p w:rsidR="007E3BCE" w:rsidRPr="00227771" w:rsidRDefault="007E3BCE" w:rsidP="002277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h,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3" w:type="dxa"/>
            <w:shd w:val="clear" w:color="auto" w:fill="D9D9D9" w:themeFill="background1" w:themeFillShade="D9"/>
          </w:tcPr>
          <w:p w:rsidR="007E3BCE" w:rsidRPr="00227771" w:rsidRDefault="007E3BCE" w:rsidP="002277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h,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37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7E3BCE" w:rsidRPr="00227771" w:rsidRDefault="007E3BCE" w:rsidP="002277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416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7E3BCE" w:rsidRPr="00227771" w:rsidRDefault="007E3BCE" w:rsidP="002277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shd w:val="clear" w:color="auto" w:fill="D9D9D9" w:themeFill="background1" w:themeFillShade="D9"/>
          </w:tcPr>
          <w:p w:rsidR="007E3BCE" w:rsidRPr="00227771" w:rsidRDefault="007E3BCE" w:rsidP="00227771">
            <w:pPr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shd w:val="clear" w:color="auto" w:fill="D9D9D9" w:themeFill="background1" w:themeFillShade="D9"/>
          </w:tcPr>
          <w:p w:rsidR="007E3BCE" w:rsidRPr="00227771" w:rsidRDefault="007E3BCE" w:rsidP="00227771">
            <w:pPr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0.998977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0.997911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0.997938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1.000000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0.001023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0.002089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0.002062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0.993926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0.992803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0.992828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0.995004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0.001078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0.002201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0.002176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0.978925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0.977738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0.977755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0.980066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0.001142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0.002328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0.002311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0.954122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0.952866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0.952868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0.955336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0.001214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0.002471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0.002468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0.919765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0.918432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0.918413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0.921061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0.001295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0.002629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</w:t>
            </w:r>
            <w:r>
              <w:t>2648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0.876197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0.874778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0.874732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0.877582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0.001385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0.002805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0.002851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0.823852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0.822337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0.822257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0.825335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0.001484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0.002998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0.003078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0.763251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0.761631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0.761510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0.764842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0.001591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0.003211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0.003332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0.695000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0.693262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0.693093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0.696707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0.001706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0.003444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0.003614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Pr="00227771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0.619779</w:t>
            </w:r>
          </w:p>
        </w:tc>
        <w:tc>
          <w:tcPr>
            <w:tcW w:w="1272" w:type="dxa"/>
          </w:tcPr>
          <w:p w:rsidR="007E3BCE" w:rsidRDefault="007E3BCE" w:rsidP="0094658E">
            <w:pPr>
              <w:jc w:val="center"/>
            </w:pPr>
            <w:r>
              <w:t>0.617908</w:t>
            </w:r>
          </w:p>
        </w:tc>
        <w:tc>
          <w:tcPr>
            <w:tcW w:w="1273" w:type="dxa"/>
          </w:tcPr>
          <w:p w:rsidR="007E3BCE" w:rsidRDefault="007E3BCE" w:rsidP="0094658E">
            <w:pPr>
              <w:jc w:val="center"/>
            </w:pPr>
            <w:r>
              <w:t>0.617683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7D05D2">
            <w:pPr>
              <w:jc w:val="center"/>
            </w:pPr>
            <w:r>
              <w:t>0.621610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7E3BCE">
            <w:pPr>
              <w:jc w:val="center"/>
            </w:pPr>
            <w:r>
              <w:t>0.001831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0.003701</w:t>
            </w:r>
          </w:p>
        </w:tc>
        <w:tc>
          <w:tcPr>
            <w:tcW w:w="1276" w:type="dxa"/>
          </w:tcPr>
          <w:p w:rsidR="007E3BCE" w:rsidRDefault="007E3BCE" w:rsidP="007E3BCE">
            <w:pPr>
              <w:jc w:val="center"/>
            </w:pPr>
            <w:r>
              <w:t>0.003927</w:t>
            </w:r>
          </w:p>
        </w:tc>
      </w:tr>
      <w:tr w:rsidR="007E3BCE" w:rsidTr="00AE6632">
        <w:trPr>
          <w:jc w:val="center"/>
        </w:trPr>
        <w:tc>
          <w:tcPr>
            <w:tcW w:w="760" w:type="dxa"/>
            <w:tcBorders>
              <w:right w:val="single" w:sz="18" w:space="0" w:color="auto"/>
            </w:tcBorders>
          </w:tcPr>
          <w:p w:rsidR="007E3BCE" w:rsidRDefault="007E3BCE" w:rsidP="00227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73" w:type="dxa"/>
            <w:tcBorders>
              <w:left w:val="single" w:sz="18" w:space="0" w:color="auto"/>
            </w:tcBorders>
          </w:tcPr>
          <w:p w:rsidR="007E3BCE" w:rsidRDefault="007E3BCE" w:rsidP="00227771">
            <w:pPr>
              <w:jc w:val="center"/>
            </w:pPr>
            <w:r>
              <w:t>0.538336</w:t>
            </w:r>
          </w:p>
        </w:tc>
        <w:tc>
          <w:tcPr>
            <w:tcW w:w="1272" w:type="dxa"/>
          </w:tcPr>
          <w:p w:rsidR="007E3BCE" w:rsidRDefault="007E3BCE" w:rsidP="00227771">
            <w:pPr>
              <w:jc w:val="center"/>
            </w:pPr>
            <w:r>
              <w:t>0.536316</w:t>
            </w:r>
          </w:p>
        </w:tc>
        <w:tc>
          <w:tcPr>
            <w:tcW w:w="1273" w:type="dxa"/>
          </w:tcPr>
          <w:p w:rsidR="007E3BCE" w:rsidRDefault="007E3BCE" w:rsidP="00227771">
            <w:pPr>
              <w:jc w:val="center"/>
            </w:pPr>
            <w:r>
              <w:t>0.536025</w:t>
            </w:r>
          </w:p>
        </w:tc>
        <w:tc>
          <w:tcPr>
            <w:tcW w:w="1372" w:type="dxa"/>
            <w:tcBorders>
              <w:right w:val="single" w:sz="18" w:space="0" w:color="auto"/>
            </w:tcBorders>
          </w:tcPr>
          <w:p w:rsidR="007E3BCE" w:rsidRDefault="007E3BCE" w:rsidP="00227771">
            <w:pPr>
              <w:jc w:val="center"/>
            </w:pPr>
            <w:r>
              <w:t>0.540302</w:t>
            </w:r>
          </w:p>
        </w:tc>
        <w:tc>
          <w:tcPr>
            <w:tcW w:w="1416" w:type="dxa"/>
            <w:tcBorders>
              <w:left w:val="single" w:sz="18" w:space="0" w:color="auto"/>
            </w:tcBorders>
          </w:tcPr>
          <w:p w:rsidR="007E3BCE" w:rsidRDefault="007E3BCE" w:rsidP="00227771">
            <w:pPr>
              <w:jc w:val="center"/>
            </w:pPr>
            <w:r>
              <w:t>0.001966</w:t>
            </w:r>
          </w:p>
        </w:tc>
        <w:tc>
          <w:tcPr>
            <w:tcW w:w="1276" w:type="dxa"/>
          </w:tcPr>
          <w:p w:rsidR="007E3BCE" w:rsidRDefault="007E3BCE" w:rsidP="00227771">
            <w:pPr>
              <w:jc w:val="center"/>
            </w:pPr>
            <w:r>
              <w:t>0.003986</w:t>
            </w:r>
          </w:p>
        </w:tc>
        <w:tc>
          <w:tcPr>
            <w:tcW w:w="1276" w:type="dxa"/>
          </w:tcPr>
          <w:p w:rsidR="007E3BCE" w:rsidRDefault="007E3BCE" w:rsidP="00227771">
            <w:pPr>
              <w:jc w:val="center"/>
            </w:pPr>
            <w:r>
              <w:t>0.004277</w:t>
            </w:r>
          </w:p>
        </w:tc>
      </w:tr>
    </w:tbl>
    <w:p w:rsidR="00227771" w:rsidRPr="00227771" w:rsidRDefault="00227771" w:rsidP="00227771"/>
    <w:p w:rsidR="00227771" w:rsidRDefault="00227771" w:rsidP="00227771"/>
    <w:p w:rsidR="000F4A1B" w:rsidRDefault="000F4A1B" w:rsidP="00227771"/>
    <w:p w:rsidR="000F4A1B" w:rsidRDefault="000F4A1B" w:rsidP="00227771"/>
    <w:p w:rsidR="008F1821" w:rsidRDefault="000F4A1B" w:rsidP="000F4A1B">
      <w:pPr>
        <w:jc w:val="center"/>
        <w:rPr>
          <w:b/>
        </w:rPr>
      </w:pPr>
      <w:r w:rsidRPr="000F4A1B">
        <w:rPr>
          <w:b/>
          <w:sz w:val="40"/>
        </w:rPr>
        <w:lastRenderedPageBreak/>
        <w:t>Выводы</w:t>
      </w:r>
    </w:p>
    <w:p w:rsidR="008F1821" w:rsidRPr="008F1821" w:rsidRDefault="008F1821" w:rsidP="000F4A1B">
      <w:pPr>
        <w:jc w:val="center"/>
        <w:rPr>
          <w:b/>
        </w:rPr>
      </w:pPr>
    </w:p>
    <w:p w:rsidR="000F4A1B" w:rsidRDefault="000F4A1B" w:rsidP="000F4A1B">
      <w:pPr>
        <w:jc w:val="both"/>
      </w:pPr>
      <w:r>
        <w:t xml:space="preserve">Сравнивать методы по экономичности нет смысла, так как при формировании матрицы использовано примерно одинаковое количество арифметических операций. Вдобавок к этому, системы, полученные в ходе решения краевой задачи, решались одним и тем же методом прогонки. </w:t>
      </w:r>
    </w:p>
    <w:p w:rsidR="000F4A1B" w:rsidRDefault="000F4A1B" w:rsidP="000F4A1B">
      <w:pPr>
        <w:jc w:val="both"/>
        <w:rPr>
          <w:rFonts w:eastAsiaTheme="minorEastAsia"/>
        </w:rPr>
      </w:pPr>
      <w:r>
        <w:t>По точности все три метода подтвердили ожидаемый результат</w:t>
      </w:r>
      <w:r w:rsidRPr="000F4A1B">
        <w:t xml:space="preserve">: </w:t>
      </w:r>
      <w:r>
        <w:t xml:space="preserve">погрешность порядка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0F4A1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Хотя судя по невязке, решение получилось даже чуть более точным (порядка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)</w:t>
      </w:r>
      <w:r w:rsidRPr="000F4A1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Этому могло поспособствовать точное решение систем методом разностной прогонки. </w:t>
      </w:r>
    </w:p>
    <w:p w:rsidR="000F4A1B" w:rsidRPr="000F4A1B" w:rsidRDefault="000F4A1B" w:rsidP="000F4A1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Самым простым в плане реализации оказался метод замены дифференциального оператора разностным. Вторым по сложности оказался </w:t>
      </w:r>
      <w:proofErr w:type="spellStart"/>
      <w:r>
        <w:rPr>
          <w:rFonts w:eastAsiaTheme="minorEastAsia"/>
        </w:rPr>
        <w:t>интегро</w:t>
      </w:r>
      <w:proofErr w:type="spellEnd"/>
      <w:r>
        <w:rPr>
          <w:rFonts w:eastAsiaTheme="minorEastAsia"/>
        </w:rPr>
        <w:t xml:space="preserve">-интерполяционный метод, но подход в этом методе более интересный, так как берет во внимание фундаментальный закон физики – закон сохранения энергии. Самым </w:t>
      </w:r>
      <w:r w:rsidRPr="000F4A1B">
        <w:rPr>
          <w:rFonts w:eastAsiaTheme="minorEastAsia"/>
        </w:rPr>
        <w:t>“</w:t>
      </w:r>
      <w:r>
        <w:rPr>
          <w:rFonts w:eastAsiaTheme="minorEastAsia"/>
        </w:rPr>
        <w:t>неприятным</w:t>
      </w:r>
      <w:r w:rsidRPr="000F4A1B">
        <w:rPr>
          <w:rFonts w:eastAsiaTheme="minorEastAsia"/>
        </w:rPr>
        <w:t>”</w:t>
      </w:r>
      <w:r>
        <w:rPr>
          <w:rFonts w:eastAsiaTheme="minorEastAsia"/>
        </w:rPr>
        <w:t xml:space="preserve"> оказался метод Ритца из-за довольно громоздких формул. Однако по точности ни один метод не уступает любому др</w:t>
      </w:r>
      <w:r w:rsidR="00DB61B2">
        <w:rPr>
          <w:rFonts w:eastAsiaTheme="minorEastAsia"/>
        </w:rPr>
        <w:t>у</w:t>
      </w:r>
      <w:bookmarkStart w:id="0" w:name="_GoBack"/>
      <w:bookmarkEnd w:id="0"/>
      <w:r>
        <w:rPr>
          <w:rFonts w:eastAsiaTheme="minorEastAsia"/>
        </w:rPr>
        <w:t xml:space="preserve">гому. </w:t>
      </w:r>
    </w:p>
    <w:sectPr w:rsidR="000F4A1B" w:rsidRPr="000F4A1B" w:rsidSect="0022777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74"/>
    <w:rsid w:val="000F4A1B"/>
    <w:rsid w:val="00227771"/>
    <w:rsid w:val="00280674"/>
    <w:rsid w:val="003F7372"/>
    <w:rsid w:val="004960A0"/>
    <w:rsid w:val="007D05D2"/>
    <w:rsid w:val="007E3BCE"/>
    <w:rsid w:val="008305FD"/>
    <w:rsid w:val="008F1821"/>
    <w:rsid w:val="0094658E"/>
    <w:rsid w:val="00AE6632"/>
    <w:rsid w:val="00D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1ED3"/>
  <w15:chartTrackingRefBased/>
  <w15:docId w15:val="{6DC89AE6-2B0B-4611-A20D-0CB20817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771"/>
    <w:rPr>
      <w:color w:val="808080"/>
    </w:rPr>
  </w:style>
  <w:style w:type="table" w:styleId="a4">
    <w:name w:val="Table Grid"/>
    <w:basedOn w:val="a1"/>
    <w:uiPriority w:val="39"/>
    <w:rsid w:val="00227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2023-03-30T16:29:00Z</dcterms:created>
  <dcterms:modified xsi:type="dcterms:W3CDTF">2023-03-30T17:00:00Z</dcterms:modified>
</cp:coreProperties>
</file>