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7D088468" w:rsidR="007C0F3C" w:rsidRPr="00990441" w:rsidRDefault="007C0F3C" w:rsidP="00D151D5">
      <w:pPr>
        <w:pStyle w:val="CCSDescription"/>
        <w:jc w:val="left"/>
        <w:rPr>
          <w:sz w:val="22"/>
        </w:rPr>
      </w:pPr>
      <w:r w:rsidRPr="00990441">
        <w:rPr>
          <w:sz w:val="22"/>
        </w:rPr>
        <w:t xml:space="preserve">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 xml:space="preserve">These findings align with broader concerns about the potential for screen-out </w:t>
      </w:r>
      <w:r w:rsidR="00D151D5">
        <w:rPr>
          <w:sz w:val="22"/>
        </w:rPr>
        <w:t xml:space="preserve">discrimination </w:t>
      </w:r>
      <w:r w:rsidR="00830DD7" w:rsidRPr="00990441">
        <w:rPr>
          <w:sz w:val="22"/>
        </w:rPr>
        <w:t xml:space="preserve">and other harms as a result of </w:t>
      </w:r>
      <w:r w:rsidR="00D151D5">
        <w:rPr>
          <w:sz w:val="22"/>
        </w:rPr>
        <w:t>flaws</w:t>
      </w:r>
      <w:r w:rsidR="00830DD7" w:rsidRPr="00990441">
        <w:rPr>
          <w:sz w:val="22"/>
        </w:rPr>
        <w:t xml:space="preserve">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r w:rsidRPr="00990441">
        <w:rPr>
          <w:rStyle w:val="CCSHeadchar"/>
          <w:rFonts w:ascii="Times New Roman" w:hAnsi="Times New Roman" w:cs="Times New Roman"/>
          <w:b w:val="0"/>
        </w:rPr>
        <w:t>Melis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0D76F86B"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021843A2" w:rsidR="002B2060" w:rsidRDefault="00C8188B" w:rsidP="001B72A4">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 xml:space="preserve">a means to reduce or eliminate bias. </w:t>
      </w:r>
      <w:r>
        <w:rPr>
          <w:sz w:val="22"/>
        </w:rPr>
        <w:t xml:space="preserve">Indeed at least one of the products surveyed is </w:t>
      </w:r>
      <w:r w:rsidR="000C2A4E">
        <w:rPr>
          <w:sz w:val="22"/>
        </w:rPr>
        <w:t>misrepresented</w:t>
      </w:r>
      <w:r>
        <w:rPr>
          <w:sz w:val="22"/>
        </w:rPr>
        <w:t xml:space="preserve"> as </w:t>
      </w:r>
      <w:commentRangeStart w:id="2"/>
      <w:r>
        <w:rPr>
          <w:sz w:val="22"/>
        </w:rPr>
        <w:t xml:space="preserve">“bias-free” </w:t>
      </w:r>
      <w:commentRangeEnd w:id="2"/>
      <w:r w:rsidR="004C5EAB">
        <w:rPr>
          <w:rStyle w:val="CommentReference"/>
        </w:rPr>
        <w:commentReference w:id="2"/>
      </w:r>
      <w:r>
        <w:rPr>
          <w:sz w:val="22"/>
        </w:rPr>
        <w:t>[</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7754E5D2" w14:textId="57B379E4" w:rsidR="00912B96" w:rsidRPr="007D264A" w:rsidRDefault="001A0B49" w:rsidP="007D264A">
      <w:pPr>
        <w:pStyle w:val="Para"/>
        <w:rPr>
          <w:sz w:val="22"/>
        </w:rPr>
      </w:pPr>
      <w:r>
        <w:rPr>
          <w:sz w:val="22"/>
        </w:rPr>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w:t>
      </w:r>
      <w:r w:rsidR="00D151D5">
        <w:rPr>
          <w:sz w:val="22"/>
        </w:rPr>
        <w:t xml:space="preserve">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4 closes this paper </w:t>
      </w:r>
      <w:commentRangeStart w:id="3"/>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 </w:t>
      </w:r>
      <w:r w:rsidR="00912B96">
        <w:rPr>
          <w:sz w:val="22"/>
        </w:rPr>
        <w:t>authoritative guidance</w:t>
      </w:r>
      <w:r w:rsidR="00A83EA1">
        <w:rPr>
          <w:sz w:val="22"/>
        </w:rPr>
        <w:t>,</w:t>
      </w:r>
      <w:r w:rsidR="00912B96">
        <w:rPr>
          <w:sz w:val="22"/>
        </w:rPr>
        <w:t xml:space="preserve"> and</w:t>
      </w:r>
      <w:r w:rsidR="00D31CBC">
        <w:rPr>
          <w:sz w:val="22"/>
        </w:rPr>
        <w:t xml:space="preserve"> in part,</w:t>
      </w:r>
      <w:r w:rsidR="00912B96">
        <w:rPr>
          <w:sz w:val="22"/>
        </w:rPr>
        <w:t xml:space="preserve"> the author’s experience as a job seeker with a disability. </w:t>
      </w:r>
      <w:commentRangeEnd w:id="3"/>
      <w:r w:rsidR="00912B96">
        <w:rPr>
          <w:rStyle w:val="CommentReference"/>
        </w:rPr>
        <w:commentReference w:id="3"/>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for improved reproducibility</w:t>
      </w:r>
      <w:r w:rsidR="00A83EA1">
        <w:rPr>
          <w:sz w:val="22"/>
        </w:rPr>
        <w:t xml:space="preserve">, </w:t>
      </w:r>
      <w:r w:rsidR="00D31CBC">
        <w:rPr>
          <w:sz w:val="22"/>
        </w:rPr>
        <w:t xml:space="preserve">the GitHub repository xxxxxx/xxxx-xxxx contains anonymized data, scripts for analysis, and other related artifacts.  </w:t>
      </w:r>
    </w:p>
    <w:p w14:paraId="0B3DD907" w14:textId="423BF75A" w:rsidR="00937ECF" w:rsidRPr="00787A93" w:rsidRDefault="004C5EAB" w:rsidP="00787A93">
      <w:pPr>
        <w:pStyle w:val="Head2"/>
      </w:pPr>
      <w:bookmarkStart w:id="4" w:name="methodology"/>
      <w:r>
        <w:t xml:space="preserve">DATA </w:t>
      </w:r>
      <w:r w:rsidR="0043570B">
        <w:t>COLLECTION</w:t>
      </w:r>
    </w:p>
    <w:bookmarkEnd w:id="4"/>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w:t>
      </w:r>
      <w:r w:rsidRPr="00912B96">
        <w:rPr>
          <w:rFonts w:ascii="Linux Libertine O" w:eastAsia="Cambria" w:hAnsi="Linux Libertine O" w:cs="Linux Libertine O"/>
          <w:sz w:val="22"/>
        </w:rPr>
        <w:lastRenderedPageBreak/>
        <w:t xml:space="preserve">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5" w:name="_Ref31715975"/>
      <w:bookmarkStart w:id="6" w:name="tb1"/>
      <w:r w:rsidRPr="002353A0">
        <w:rPr>
          <w:rStyle w:val="Label"/>
          <w:color w:val="0000FF"/>
        </w:rPr>
        <w:t>Table</w:t>
      </w:r>
      <w:bookmarkEnd w:id="5"/>
      <w:r w:rsidRPr="002353A0">
        <w:rPr>
          <w:rStyle w:val="Label"/>
          <w:color w:val="0000FF"/>
        </w:rPr>
        <w:t xml:space="preserve"> 1:</w:t>
      </w:r>
      <w:bookmarkEnd w:id="6"/>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5A487A6F" w:rsidR="005B434B" w:rsidRPr="002353A0" w:rsidRDefault="00937ECF" w:rsidP="00990441">
      <w:pPr>
        <w:pStyle w:val="Head2"/>
      </w:pPr>
      <w:bookmarkStart w:id="7" w:name="analysis"/>
      <w:r w:rsidRPr="002353A0">
        <w:lastRenderedPageBreak/>
        <w:t xml:space="preserve"> </w:t>
      </w:r>
      <w:r w:rsidR="0043570B">
        <w:t>ANALYSIS</w:t>
      </w:r>
    </w:p>
    <w:bookmarkEnd w:id="7"/>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000000" w:rsidP="00937ECF">
      <w:pPr>
        <w:pStyle w:val="PostHeadPara"/>
        <w:numPr>
          <w:ilvl w:val="0"/>
          <w:numId w:val="16"/>
        </w:numPr>
      </w:pPr>
      <w:hyperlink r:id="rId13"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8" w:name="tb2"/>
      <w:r w:rsidRPr="002353A0">
        <w:rPr>
          <w:rStyle w:val="Label"/>
          <w:color w:val="0000FF"/>
        </w:rPr>
        <w:t>Table 2:</w:t>
      </w:r>
      <w:bookmarkEnd w:id="8"/>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9" w:name="tb3"/>
      <w:r w:rsidRPr="002353A0">
        <w:rPr>
          <w:rStyle w:val="Label"/>
          <w:color w:val="0000FF"/>
        </w:rPr>
        <w:t>Table 3:</w:t>
      </w:r>
      <w:bookmarkEnd w:id="9"/>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0" w:name="tb4"/>
      <w:r w:rsidRPr="002353A0">
        <w:rPr>
          <w:rStyle w:val="Label"/>
          <w:color w:val="0000FF"/>
        </w:rPr>
        <w:t>Table 4:</w:t>
      </w:r>
      <w:bookmarkEnd w:id="10"/>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1" w:name="tb5"/>
      <w:r w:rsidRPr="002353A0">
        <w:rPr>
          <w:rStyle w:val="Label"/>
          <w:color w:val="0000FF"/>
        </w:rPr>
        <w:lastRenderedPageBreak/>
        <w:t>Table 5:</w:t>
      </w:r>
      <w:bookmarkEnd w:id="11"/>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2" w:name="tb6"/>
      <w:r w:rsidRPr="002353A0">
        <w:rPr>
          <w:rStyle w:val="Label"/>
          <w:color w:val="0000FF"/>
        </w:rPr>
        <w:t>Table 6:</w:t>
      </w:r>
      <w:bookmarkEnd w:id="12"/>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3" w:name="conclusion"/>
      <w:r>
        <w:t>RECOMMENDATIONS AND CONCLUSION</w:t>
      </w:r>
    </w:p>
    <w:bookmarkEnd w:id="13"/>
    <w:p w14:paraId="1B81123F" w14:textId="77777777" w:rsidR="00D31CBC" w:rsidRDefault="00D31CBC" w:rsidP="00D31CBC">
      <w:pPr>
        <w:pStyle w:val="Para"/>
      </w:pPr>
    </w:p>
    <w:p w14:paraId="41A5C956" w14:textId="77777777" w:rsidR="00D31CBC" w:rsidRPr="002353A0" w:rsidRDefault="00D31CBC" w:rsidP="00D31CBC">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4" w:name="bib1"/>
      <w:bookmarkEnd w:id="14"/>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09171B37" w14:textId="77777777" w:rsidR="00D31CBC" w:rsidRDefault="00D31CBC" w:rsidP="00D31CBC">
      <w:pPr>
        <w:pStyle w:val="Bibentry"/>
        <w:rPr>
          <w:sz w:val="22"/>
        </w:rPr>
      </w:pPr>
      <w:r>
        <w:rPr>
          <w:sz w:val="22"/>
        </w:rPr>
        <w:t xml:space="preserve">[6] </w:t>
      </w:r>
      <w:commentRangeStart w:id="15"/>
      <w:commentRangeStart w:id="16"/>
      <w:r w:rsidRPr="006F3BC3">
        <w:rPr>
          <w:sz w:val="22"/>
        </w:rPr>
        <w:t>Author(s). "Title of Webpage." Name of Website, Month Day, Year of publication. URL.</w:t>
      </w:r>
      <w:commentRangeEnd w:id="15"/>
      <w:r>
        <w:rPr>
          <w:rStyle w:val="CommentReference"/>
        </w:rPr>
        <w:commentReference w:id="15"/>
      </w:r>
      <w:commentRangeEnd w:id="16"/>
      <w:r>
        <w:rPr>
          <w:rStyle w:val="CommentReference"/>
        </w:rPr>
        <w:commentReference w:id="16"/>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19"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17" w:name="bib2"/>
      <w:bookmarkEnd w:id="17"/>
      <w:r w:rsidRPr="002353A0">
        <w:t>&lt;bib id="bib2"&gt;&lt;number&gt;[2]&lt;/number&gt;Dastin,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18" w:name="bib3"/>
      <w:bookmarkEnd w:id="18"/>
      <w:r w:rsidRPr="002353A0">
        <w:t>&lt;bib id="bib3"&gt;&lt;number&gt;[3]&lt;/number&gt;Salganik, Matthew J., Ian Lundberg, Alexander T. Kindel, Caitlin E. Ahearn, Khaled Al-Ghoneim, Abdullah Almaatouq, Drew M. Altschul, et al. “Measuring the Predictability of Life Outcomes with a Scientific Mass Collaboration.” (March 2020), Vol. 117 | No. 15, DOI: </w:t>
      </w:r>
      <w:hyperlink r:id="rId20" w:history="1">
        <w:r w:rsidRPr="002353A0">
          <w:t>https://doi.org/10.1073/pnas.1915006117</w:t>
        </w:r>
      </w:hyperlink>
      <w:r w:rsidRPr="002353A0">
        <w:t>&lt;/bib&gt;</w:t>
      </w:r>
    </w:p>
    <w:p w14:paraId="31F12685" w14:textId="77777777" w:rsidR="00D31CBC" w:rsidRPr="002353A0" w:rsidRDefault="00D31CBC" w:rsidP="00D31CBC">
      <w:pPr>
        <w:pStyle w:val="Bibentry"/>
      </w:pPr>
      <w:bookmarkStart w:id="19" w:name="bib4"/>
      <w:bookmarkEnd w:id="19"/>
      <w:r w:rsidRPr="002353A0">
        <w:t>&lt;bib id="bib4"&gt;&lt;number&gt;[4]&lt;/number&gt;Schwartz, Reva, Apostol Vassilev, Kristen Greene, Lori Perine,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0" w:name="bib5"/>
      <w:bookmarkStart w:id="21" w:name="bib6"/>
      <w:bookmarkEnd w:id="20"/>
      <w:bookmarkEnd w:id="21"/>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1"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2" w:name="bib7"/>
      <w:bookmarkStart w:id="23" w:name="bib8"/>
      <w:bookmarkEnd w:id="22"/>
      <w:bookmarkEnd w:id="23"/>
      <w:r w:rsidRPr="002353A0">
        <w:t>&lt;bib id="bib8"&gt;&lt;number&gt;[8]&lt;/number&gt;Bureau, U.S. Census. Explore census data. Retrieved December 4, 2022 from  </w:t>
      </w:r>
      <w:hyperlink r:id="rId22"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4" w:name="bib9"/>
      <w:bookmarkEnd w:id="24"/>
      <w:r w:rsidRPr="002353A0">
        <w:t>&lt;bib id="bib9"&gt;&lt;number&gt;[9]&lt;/number&gt;“Getting to Equal: The Disability Inclusion Advantage | Accenture.” Retrieved December 5, 2022 from </w:t>
      </w:r>
      <w:hyperlink r:id="rId23"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5" w:name="bib10"/>
      <w:bookmarkEnd w:id="25"/>
      <w:r w:rsidRPr="002353A0">
        <w:t>&lt;bib id="bib10"&gt;&lt;number&gt;[10]&lt;/number&gt;Schwartz, Reva, Apostol Vassilev, Kristen Greene, Lori Perine,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6" w:name="ACMTemplateApplied"/>
      <w:bookmarkEnd w:id="26"/>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27" w:name="appenix_a"/>
      <w:r>
        <w:lastRenderedPageBreak/>
        <w:t>APPENDIX A</w:t>
      </w:r>
    </w:p>
    <w:bookmarkEnd w:id="27"/>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A83EA1" w:rsidRPr="002353A0">
        <w:fldChar w:fldCharType="separate"/>
      </w:r>
      <w:r w:rsidR="00A83EA1" w:rsidRPr="002353A0">
        <w:fldChar w:fldCharType="end"/>
      </w:r>
    </w:p>
    <w:p w14:paraId="4290D305" w14:textId="32ADBE0B" w:rsidR="00A83EA1" w:rsidRPr="002353A0" w:rsidRDefault="00A83EA1" w:rsidP="00A83EA1">
      <w:pPr>
        <w:pStyle w:val="FigureCaption"/>
      </w:pPr>
      <w:bookmarkStart w:id="28" w:name="fig1"/>
      <w:r w:rsidRPr="002353A0">
        <w:rPr>
          <w:rStyle w:val="Label"/>
          <w:color w:val="0000FF"/>
        </w:rPr>
        <w:t xml:space="preserve">Figure </w:t>
      </w:r>
      <w:r>
        <w:rPr>
          <w:rStyle w:val="Label"/>
          <w:color w:val="0000FF"/>
        </w:rPr>
        <w:t>A.</w:t>
      </w:r>
      <w:r w:rsidRPr="002353A0">
        <w:rPr>
          <w:rStyle w:val="Label"/>
          <w:color w:val="0000FF"/>
        </w:rPr>
        <w:t>1:</w:t>
      </w:r>
      <w:bookmarkEnd w:id="28"/>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29" w:name="CrossLink_Bmk"/>
      <w:bookmarkStart w:id="30" w:name="Validation_Bmk"/>
      <w:bookmarkEnd w:id="29"/>
      <w:bookmarkEnd w:id="30"/>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1" w:name="fig2"/>
      <w:r>
        <w:rPr>
          <w:rStyle w:val="Label"/>
          <w:color w:val="0000FF"/>
        </w:rPr>
        <w:t xml:space="preserve">Figure </w:t>
      </w:r>
      <w:r w:rsidR="00D151D5">
        <w:rPr>
          <w:rStyle w:val="Label"/>
          <w:color w:val="0000FF"/>
        </w:rPr>
        <w:t>A.</w:t>
      </w:r>
      <w:r>
        <w:rPr>
          <w:rStyle w:val="Label"/>
          <w:color w:val="0000FF"/>
        </w:rPr>
        <w:t>2:</w:t>
      </w:r>
      <w:bookmarkEnd w:id="31"/>
      <w:r>
        <w:t xml:space="preserve"> Decision Tree with Offers Accommodation_Yes as the target</w:t>
      </w:r>
    </w:p>
    <w:p w14:paraId="6AC4FAF1" w14:textId="34B67184" w:rsidR="00A83EA1" w:rsidRDefault="00A83EA1" w:rsidP="00A83EA1">
      <w:pPr>
        <w:pStyle w:val="Para"/>
      </w:pPr>
      <w:r>
        <w:t xml:space="preserve">There are a couple of interesting insights to draw from this decision tree shown in </w:t>
      </w:r>
      <w:hyperlink r:id="rId27"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2" w:name="appenix_b"/>
      <w:r>
        <w:lastRenderedPageBreak/>
        <w:t>APPENDIX B</w:t>
      </w:r>
      <w:bookmarkEnd w:id="32"/>
    </w:p>
    <w:sectPr w:rsidR="00D31CBC"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patrickh2022@outlook.com" w:date="2023-01-27T19:40:00Z" w:initials="p">
    <w:p w14:paraId="675EC7AC" w14:textId="77777777" w:rsidR="004C5EAB" w:rsidRDefault="004C5EAB" w:rsidP="00091178">
      <w:pPr>
        <w:pStyle w:val="CommentText"/>
        <w:jc w:val="left"/>
      </w:pPr>
      <w:r>
        <w:rPr>
          <w:rStyle w:val="CommentReference"/>
        </w:rPr>
        <w:annotationRef/>
      </w:r>
      <w:r>
        <w:t>Good for a figure</w:t>
      </w:r>
    </w:p>
  </w:comment>
  <w:comment w:id="3" w:author="patrickh2022@outlook.com" w:date="2023-01-27T10:33:00Z" w:initials="p">
    <w:p w14:paraId="37F73428" w14:textId="54A32699" w:rsidR="002941F9" w:rsidRDefault="00912B96" w:rsidP="0093481B">
      <w:pPr>
        <w:pStyle w:val="CommentText"/>
        <w:jc w:val="left"/>
      </w:pPr>
      <w:r>
        <w:rPr>
          <w:rStyle w:val="CommentReference"/>
        </w:rPr>
        <w:annotationRef/>
      </w:r>
      <w:r w:rsidR="002941F9">
        <w:t>Melis - are you ok with this?</w:t>
      </w:r>
    </w:p>
  </w:comment>
  <w:comment w:id="15" w:author="patrickh2022@outlook.com" w:date="2023-01-27T10:00:00Z" w:initials="p">
    <w:p w14:paraId="7BF8A1B9" w14:textId="77777777"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6"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0"/>
  <w15:commentEx w15:paraId="675EC7AC" w15:done="0"/>
  <w15:commentEx w15:paraId="37F73428" w15:done="0"/>
  <w15:commentEx w15:paraId="7BF8A1B9" w15:done="0"/>
  <w15:commentEx w15:paraId="0C612AF3" w15:paraIdParent="7BF8A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A737" w16cex:dateUtc="2023-01-28T00:40:00Z"/>
  <w16cex:commentExtensible w16cex:durableId="277E26EE" w16cex:dateUtc="2023-01-27T15:33: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675EC7AC" w16cid:durableId="277EA737"/>
  <w16cid:commentId w16cid:paraId="37F73428" w16cid:durableId="277E26EE"/>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2FFA" w14:textId="77777777" w:rsidR="003A5419" w:rsidRDefault="003A5419" w:rsidP="005B434B">
      <w:pPr>
        <w:spacing w:line="240" w:lineRule="auto"/>
      </w:pPr>
      <w:r>
        <w:separator/>
      </w:r>
    </w:p>
  </w:endnote>
  <w:endnote w:type="continuationSeparator" w:id="0">
    <w:p w14:paraId="52DAE139" w14:textId="77777777" w:rsidR="003A5419" w:rsidRDefault="003A5419"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2D50" w14:textId="77777777" w:rsidR="003A5419" w:rsidRDefault="003A5419" w:rsidP="005B434B">
      <w:pPr>
        <w:spacing w:line="240" w:lineRule="auto"/>
      </w:pPr>
      <w:r>
        <w:separator/>
      </w:r>
    </w:p>
  </w:footnote>
  <w:footnote w:type="continuationSeparator" w:id="0">
    <w:p w14:paraId="3369F79D" w14:textId="77777777" w:rsidR="003A5419" w:rsidRDefault="003A5419"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r w:rsidRPr="00990441">
      <w:rPr>
        <w:sz w:val="22"/>
      </w:rPr>
      <w:t>FAccTML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57C1D"/>
    <w:rsid w:val="004923DD"/>
    <w:rsid w:val="004938F9"/>
    <w:rsid w:val="004C5EAB"/>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81437E"/>
    <w:rsid w:val="00830DD7"/>
    <w:rsid w:val="00854D22"/>
    <w:rsid w:val="00884E06"/>
    <w:rsid w:val="008D14C0"/>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83EA1"/>
    <w:rsid w:val="00AD6C5E"/>
    <w:rsid w:val="00AF5390"/>
    <w:rsid w:val="00B40EB1"/>
    <w:rsid w:val="00B550C1"/>
    <w:rsid w:val="00B657BD"/>
    <w:rsid w:val="00BD04E6"/>
    <w:rsid w:val="00C307E0"/>
    <w:rsid w:val="00C8188B"/>
    <w:rsid w:val="00C9541C"/>
    <w:rsid w:val="00D07298"/>
    <w:rsid w:val="00D151D5"/>
    <w:rsid w:val="00D31CBC"/>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diker/aedt-analysis/blob/main/aedt_analysis.ipynb" TargetMode="External"/><Relationship Id="rId18" Type="http://schemas.openxmlformats.org/officeDocument/2006/relationships/hyperlink" Target="https://www.hbs.edu/managing-the-future-of-work/Pages/default.aspx" TargetMode="External"/><Relationship Id="rId26" Type="http://schemas.openxmlformats.org/officeDocument/2006/relationships/image" Target="https://github.com/midiker/aedt-analysis/raw/main/image/dt.png" TargetMode="External"/><Relationship Id="rId3" Type="http://schemas.openxmlformats.org/officeDocument/2006/relationships/styles" Target="styles.xml"/><Relationship Id="rId21" Type="http://schemas.openxmlformats.org/officeDocument/2006/relationships/hyperlink" Target="https://www.eeoc.gov/laws/guidance/americans-disabilities-act-and-use-software-algorithms-and-artificial-intelligence"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doi.org/10.1073/pnas.191500611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www.accenture.com/_acnmedia/PDF-89/Accenture-Disability-Inclusion-Research-Report.pdf"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www.bls.gov/news.release/disabl.a.ht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data.census.gov/table?q=Disability&amp;tid=ACSST5Y2020.S1811"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11</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19</cp:revision>
  <dcterms:created xsi:type="dcterms:W3CDTF">2023-01-03T16:42:00Z</dcterms:created>
  <dcterms:modified xsi:type="dcterms:W3CDTF">2023-01-28T01:26:00Z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