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6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926"/>
                    <pic:cNvPicPr/>
                  </pic:nvPicPr>
                  <pic:blipFill>
                    <a:blip xmlns:r="http://schemas.openxmlformats.org/officeDocument/2006/relationships" r:embed="rIdRTWK4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ind w:left="15" w:right="15"/>
        <w:rPr>
          <w:color w:val="808080"/>
        </w:rPr>
      </w:pPr>
      <w:r>
        <w:rPr/>
        <w:pict xmlns:w14="http://schemas.microsoft.com/office/word/2010/wordml" xmlns:w="http://schemas.openxmlformats.org/wordprocessingml/2006/main" w14:anchorId="55C45909">
          <v:rect xmlns:o="urn:schemas-microsoft-com:office:office" xmlns:v="urn:schemas-microsoft-com:vml" id="_x0000_i1025" style="width:6in;height:1.5pt" o:hralign="center" o:hrstd="t" o:hr="t" fillcolor="gray" stroked="f">
            <v:path strokeok="f"/>
          </v:rect>
        </w:pict>
      </w:r>
    </w:p>
    <w:p>
      <w:pPr>
        <w:spacing w:line="276" w:lineRule="auto"/>
        <w:outlineLvl w:val="0"/>
        <w:rPr>
          <w:rFonts w:ascii="Arial" w:eastAsia="Arial" w:hAnsi="Arial" w:cs="Arial"/>
          <w:b/>
          <w:bCs/>
          <w:sz w:val="34"/>
          <w:szCs w:val="34"/>
          <w:rtl/>
          <w:lang w:eastAsia="en-US"/>
        </w:rPr>
      </w:pPr>
      <w:r>
        <w:rPr>
          <w:rFonts w:ascii="Arial" w:eastAsia="Arial" w:hAnsi="Arial" w:cs="Arial" w:hint="cs"/>
          <w:b/>
          <w:bCs/>
          <w:sz w:val="34"/>
          <w:szCs w:val="34"/>
          <w:rtl/>
          <w:lang w:eastAsia="en-US"/>
        </w:rPr>
        <w:t xml:space="preserve">אסף יגודינר</w:t>
      </w:r>
      <w:r>
        <w:rPr>
          <w:rFonts w:ascii="Arial" w:eastAsia="Arial" w:hAnsi="Arial" w:cs="Arial" w:hint="cs"/>
          <w:b/>
          <w:bCs/>
          <w:sz w:val="34"/>
          <w:szCs w:val="34"/>
          <w:rtl/>
          <w:lang w:eastAsia="en-US"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 </w:t>
      </w:r>
      <w:r>
        <w:rPr>
          <w:rFonts w:ascii="Arial" w:eastAsia="Arial" w:hAnsi="Arial" w:cs="Arial" w:hint="cs"/>
          <w:b/>
          <w:bCs/>
          <w:sz w:val="34"/>
          <w:szCs w:val="34"/>
          <w:rtl/>
          <w:lang w:eastAsia="en-US"/>
        </w:rPr>
        <w:t xml:space="preserve">רו"ח</w:t>
      </w:r>
      <w:r>
        <w:rPr>
          <w:rFonts w:ascii="Arial" w:eastAsia="Arial" w:hAnsi="Arial" w:cs="Arial"/>
          <w:b/>
          <w:bCs/>
          <w:sz w:val="22"/>
          <w:szCs w:val="22"/>
          <w:rtl/>
          <w:lang w:eastAsia="en-US"/>
        </w:rPr>
        <w:tab/>
      </w:r>
      <w:r>
        <w:rPr>
          <w:rFonts w:ascii="Arial" w:eastAsia="Arial" w:hAnsi="Arial" w:cs="Arial"/>
          <w:sz w:val="22"/>
          <w:szCs w:val="22"/>
          <w:rtl/>
          <w:lang w:eastAsia="en-US"/>
        </w:rPr>
        <w:tab/>
      </w:r>
      <w:r>
        <w:rPr>
          <w:rFonts w:ascii="Arial" w:eastAsia="Arial" w:hAnsi="Arial" w:cs="Arial"/>
          <w:sz w:val="22"/>
          <w:szCs w:val="22"/>
          <w:rtl/>
          <w:lang w:eastAsia="en-US"/>
        </w:rPr>
        <w:tab/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   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   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                         </w:t>
      </w:r>
      <w:r>
        <w:rPr>
          <w:rFonts w:ascii="Arial" w:eastAsia="Arial" w:hAnsi="Arial" w:cs="Arial"/>
          <w:sz w:val="22"/>
          <w:szCs w:val="22"/>
          <w:rtl/>
          <w:lang w:eastAsia="en-US"/>
        </w:rPr>
        <w:t xml:space="preserve">אשדוד | 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3101544</w:t>
      </w:r>
      <w:r>
        <w:rPr>
          <w:rFonts w:ascii="Arial" w:eastAsia="Arial" w:hAnsi="Arial" w:cs="Arial"/>
          <w:sz w:val="22"/>
          <w:szCs w:val="22"/>
          <w:lang w:eastAsia="en-US"/>
        </w:rPr>
        <w:t xml:space="preserve">050-</w:t>
      </w:r>
      <w:r>
        <w:rPr>
          <w:rFonts w:ascii="Arial" w:eastAsia="Arial" w:hAnsi="Arial" w:cs="Arial"/>
          <w:sz w:val="22"/>
          <w:szCs w:val="22"/>
          <w:rtl/>
          <w:lang w:eastAsia="en-US"/>
        </w:rPr>
        <w:t xml:space="preserve"> | </w:t>
      </w:r>
      <w:hyperlink r:id="rId1" w:history="1">
        <w:r>
          <w:rPr>
            <w:rFonts w:ascii="Arial" w:eastAsia="Arial" w:hAnsi="Arial" w:cs="Arial"/>
            <w:color w:val="0000FF"/>
            <w:sz w:val="22"/>
            <w:szCs w:val="22"/>
            <w:u w:val="single"/>
            <w:lang w:eastAsia="en-US"/>
          </w:rPr>
          <w:t xml:space="preserve">asafyagod@gmail.com</w:t>
        </w:r>
      </w:hyperlink>
    </w:p>
    <w:p>
      <w:pPr>
        <w:spacing w:line="276" w:lineRule="auto"/>
        <w:rPr>
          <w:rFonts w:ascii="Arial" w:eastAsia="Arial" w:hAnsi="Arial" w:cs="Arial"/>
          <w:sz w:val="10"/>
          <w:szCs w:val="10"/>
          <w:rtl/>
          <w:lang w:eastAsia="en-US"/>
        </w:rPr>
      </w:pPr>
      <w:r>
        <w:rPr>
          <w:rFonts w:ascii="Arial" w:eastAsia="Arial" w:hAnsi="Arial" w:cs="Arial" w:hint="cs"/>
          <w:noProof/>
          <w:sz w:val="22"/>
          <w:szCs w:val="22"/>
          <w:rtl/>
          <w:lang w:eastAsia="en-US"/>
        </w:rPr>
        <w:pict xmlns:w="http://schemas.openxmlformats.org/wordprocessingml/2006/main">
          <v:shapetype xmlns:o="urn:schemas-microsoft-com:office:office" xmlns:w14="http://schemas.microsoft.com/office/word/2010/wordml" xmlns:v="urn:schemas-microsoft-com:vml" w14:anchorId="33E35F55" id="_x0000_t32" coordsize="21600,21600" o:spt="32" o:oned="t" path="m,l21600,21600e" filled="f">
            <v:path arrowok="t" fillok="f" o:connecttype="none"/>
            <o:lock v:ext="edit" shapetype="t"/>
          </v:shapetype>
          <v:shape xmlns:o="urn:schemas-microsoft-com:office:office" xmlns:v="urn:schemas-microsoft-com:vml" id=" 4" o:spid="_x0000_s1026" type="#_x0000_t32" style="position:absolute;left:0;text-align:left;margin-left:8.15pt;margin-top:5.4pt;width:535.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4qr7gEAANYDAAAOAAAAZHJzL2Uyb0RvYy54bWysU02P2yAQvVfqf0DcGztpk1pWnD0k3fbQ&#10;j5V2q54JYBsJM2ggcfLvO+AkSru3qraEZobh8WbesH44DZYdNQYDruHzWcmZdhKUcV3Df748vqs4&#10;C1E4JSw43fCzDvxh8/bNevS1XkAPVmlkBOJCPfqG9zH6uiiC7PUgwgy8drTZAg4ikotdoVCMhD7Y&#10;YlGWq2IEVB5B6hAoups2+Sbjt62W8UfbBh2ZbThxi3nFvO7TWmzWou5Q+N7ICw3xDywGYRxdeoPa&#10;iSjYAc0rqMFIhABtnEkYCmhbI3WugaqZl39V89wLr3Mt1Jzgb20K/w9Wfj9u3RNSG0Yf6uCfkO3H&#10;b6BIKnGIkGs6tTiw1hr/hRTOEeLNTrmJ51sT9SkyScFVVZbVknotr3uFqBNEao/HED9rGFgyGh4i&#10;CtP1cQvOkVSAE7w4fg2RKNHB64F02MGjsTYrZh0bG/6+mpdlJhTAGpV2U17Abr+1yI6CRN9V6U86&#10;E9ofaQgHpzJar4X6dLGjMHayKd+6hKfzHBGl5MAhanzu1ciUSSUslh+IAzk0VMmkjzNhO3oNMiJn&#10;CPGXiX2WMvXqFcFFuaxWH3NcWN+LifYyA11YT/XkCm7XZ++OWXHVb1JyD+qcZc1xGp6cfxn0NJ33&#10;Ptn3z3HzGwAA//8DAFBLAwQUAAYACAAAACEApLmanNsAAAAJAQAADwAAAGRycy9kb3ducmV2Lnht&#10;bExPTWsCMRC9F/wPYQq91cQKKtvNShHE4qFQFbS3uJlulm4myyar23/fkR7a0/A+ePNevhx8Iy7Y&#10;xTqQhslYgUAqg62p0nDYrx8XIGIyZE0TCDV8Y4RlMbrLTWbDld7xskuV4BCKmdHgUmozKWPp0Js4&#10;Di0Sa5+h8yYx7CppO3PlcN/IJ6Vm0pua+IMzLa4cll+73mvwH2/btFXT9eaV+v64mZzmrjxp/XA/&#10;vDyDSDikPzPc6nN1KLjTOfRko2gYz6bs5Kt4wU1Xizkz519GFrn8v6D4AQAA//8DAFBLAQItABQA&#10;BgAIAAAAIQC2gziS/gAAAOEBAAATAAAAAAAAAAAAAAAAAAAAAABbQ29udGVudF9UeXBlc10ueG1s&#10;UEsBAi0AFAAGAAgAAAAhADj9If/WAAAAlAEAAAsAAAAAAAAAAAAAAAAALwEAAF9yZWxzLy5yZWxz&#10;UEsBAi0AFAAGAAgAAAAhAFwPiqvuAQAA1gMAAA4AAAAAAAAAAAAAAAAALgIAAGRycy9lMm9Eb2Mu&#10;eG1sUEsBAi0AFAAGAAgAAAAhAKS5mpzbAAAACQEAAA8AAAAAAAAAAAAAAAAASAQAAGRycy9kb3du&#10;cmV2LnhtbFBLBQYAAAAABAAEAPMAAABQBQAAAAA=&#10;" strokecolor="#d8d8d8" strokeweight="3pt">
            <v:shadow on="t" color="#205867" opacity=".5" offset="0"/>
            <w10:wrap xmlns:w10="urn:schemas-microsoft-com:office:word" type="square"/>
          </v:shape>
        </w:pic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       </w:t>
      </w:r>
    </w:p>
    <w:p>
      <w:pPr>
        <w:spacing w:line="276" w:lineRule="auto"/>
        <w:rPr>
          <w:rFonts w:ascii="Arial" w:eastAsia="Arial" w:hAnsi="Arial" w:cs="Arial"/>
          <w:sz w:val="22"/>
          <w:szCs w:val="22"/>
          <w:rtl/>
          <w:lang w:eastAsia="en-US"/>
        </w:rPr>
      </w:pP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ש. לידה: </w:t>
      </w:r>
      <w:r>
        <w:rPr>
          <w:rFonts w:ascii="Arial" w:eastAsia="Arial" w:hAnsi="Arial" w:cs="Arial"/>
          <w:sz w:val="22"/>
          <w:szCs w:val="22"/>
          <w:rtl/>
          <w:lang w:eastAsia="en-US"/>
        </w:rPr>
        <w:t xml:space="preserve">1975 | 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נ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+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2</w:t>
      </w:r>
      <w:r>
        <w:rPr>
          <w:rFonts w:ascii="Arial" w:eastAsia="Arial" w:hAnsi="Arial" w:cs="Arial"/>
          <w:sz w:val="22"/>
          <w:szCs w:val="22"/>
          <w:rtl/>
          <w:lang w:eastAsia="en-US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 </w:t>
      </w:r>
      <w:r>
        <w:rPr>
          <w:rFonts w:ascii="Arial" w:eastAsia="Arial" w:hAnsi="Arial" w:cs="Arial"/>
          <w:sz w:val="22"/>
          <w:szCs w:val="22"/>
          <w:rtl/>
          <w:lang w:eastAsia="en-US"/>
        </w:rPr>
        <w:t xml:space="preserve"> </w:t>
      </w:r>
    </w:p>
    <w:p>
      <w:pPr>
        <w:spacing w:line="276" w:lineRule="auto"/>
        <w:rPr>
          <w:rFonts w:ascii="Arial" w:eastAsia="Arial" w:hAnsi="Arial" w:cs="Arial"/>
          <w:sz w:val="22"/>
          <w:szCs w:val="22"/>
          <w:rtl/>
          <w:lang w:eastAsia="en-US"/>
        </w:rPr>
      </w:pP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                                                                                   </w:t>
      </w:r>
    </w:p>
    <w:p>
      <w:pPr>
        <w:numPr>
          <w:ilvl w:val="0"/>
          <w:numId w:val="5"/>
        </w:numPr>
        <w:tabs>
          <w:tab w:pos="350" w:val="left"/>
        </w:tabs>
        <w:spacing w:line="312" w:lineRule="auto"/>
        <w:ind w:left="283" w:hanging="284"/>
        <w:rPr>
          <w:rFonts w:ascii="Arial" w:eastAsia="Calibri" w:hAnsi="Arial" w:cs="Arial"/>
          <w:b/>
          <w:bCs/>
          <w:color w:val="000000"/>
          <w:sz w:val="20"/>
          <w:szCs w:val="20"/>
          <w:lang w:eastAsia="en-US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rtl/>
          <w:lang w:eastAsia="en-US"/>
        </w:rPr>
        <w:t xml:space="preserve">ניסיון 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רב 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בניהול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  <w:lang w:eastAsia="en-US"/>
        </w:rPr>
        <w:t xml:space="preserve"> מערך הכספים בחבר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ות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  <w:lang w:eastAsia="en-US"/>
        </w:rPr>
        <w:t xml:space="preserve"> 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גדול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ות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, 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בינלאומיות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.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 ניהול 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ופיקוח על 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מערך השכר, אישור 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חשבונות ותשלומים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.</w:t>
      </w:r>
    </w:p>
    <w:p>
      <w:pPr>
        <w:numPr>
          <w:ilvl w:val="0"/>
          <w:numId w:val="5"/>
        </w:numPr>
        <w:tabs>
          <w:tab w:pos="350" w:val="left"/>
        </w:tabs>
        <w:spacing w:line="312" w:lineRule="auto"/>
        <w:ind w:left="283" w:hanging="284"/>
        <w:rPr>
          <w:rFonts w:ascii="Arial" w:eastAsia="Calibri" w:hAnsi="Arial" w:cs="Arial"/>
          <w:b/>
          <w:bCs/>
          <w:color w:val="000000"/>
          <w:sz w:val="20"/>
          <w:szCs w:val="20"/>
          <w:lang w:eastAsia="en-US"/>
        </w:rPr>
      </w:pP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הכרות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 מעמיקה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 עם חברות ועסקים ממגוון רחב של ענפים: חברות פרטיות- תעשי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י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תיות, קמעונאיות,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 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לוגיסטיקה ושילוח בינלאומי, והייטק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-ישראליות ובינלאומיות.</w:t>
      </w:r>
    </w:p>
    <w:p>
      <w:pPr>
        <w:numPr>
          <w:ilvl w:val="0"/>
          <w:numId w:val="5"/>
        </w:numPr>
        <w:tabs>
          <w:tab w:pos="350" w:val="left"/>
        </w:tabs>
        <w:spacing w:line="312" w:lineRule="auto"/>
        <w:ind w:left="283" w:hanging="284"/>
        <w:rPr>
          <w:rFonts w:ascii="Arial" w:eastAsia="Calibri" w:hAnsi="Arial" w:cs="Arial"/>
          <w:b/>
          <w:bCs/>
          <w:color w:val="000000"/>
          <w:sz w:val="20"/>
          <w:szCs w:val="20"/>
          <w:lang w:eastAsia="en-US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rtl/>
          <w:lang w:eastAsia="en-US"/>
        </w:rPr>
        <w:t xml:space="preserve">עריכ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ה וניתוח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  <w:lang w:eastAsia="en-US"/>
        </w:rPr>
        <w:t xml:space="preserve">דוחות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 כספיים ו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ניהוליים והצגתם למועצת המנהלים.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 בנייה ובקרת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 תקציב 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שנתי תוך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 מתן דגש על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 התייעלות. </w:t>
      </w:r>
    </w:p>
    <w:p>
      <w:pPr>
        <w:numPr>
          <w:ilvl w:val="0"/>
          <w:numId w:val="5"/>
        </w:numPr>
        <w:tabs>
          <w:tab w:pos="350" w:val="left"/>
        </w:tabs>
        <w:spacing w:line="312" w:lineRule="auto"/>
        <w:ind w:left="283" w:hanging="284"/>
        <w:rPr>
          <w:rFonts w:ascii="Arial" w:eastAsia="Calibri" w:hAnsi="Arial" w:cs="Arial"/>
          <w:b/>
          <w:bCs/>
          <w:color w:val="000000"/>
          <w:sz w:val="20"/>
          <w:szCs w:val="20"/>
          <w:lang w:eastAsia="en-US"/>
        </w:rPr>
      </w:pP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ניהול הרגולציה 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ויישום 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lang w:eastAsia="en-US"/>
        </w:rPr>
        <w:t xml:space="preserve">ISOX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, עבודה מול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 בנקים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 בישראל ובחו"ל.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 </w:t>
      </w:r>
    </w:p>
    <w:p>
      <w:pPr>
        <w:numPr>
          <w:ilvl w:val="0"/>
          <w:numId w:val="5"/>
        </w:numPr>
        <w:tabs>
          <w:tab w:pos="350" w:val="left"/>
        </w:tabs>
        <w:spacing w:line="312" w:lineRule="auto"/>
        <w:ind w:left="283" w:hanging="284"/>
        <w:rPr>
          <w:rFonts w:ascii="Arial" w:eastAsia="Calibri" w:hAnsi="Arial" w:cs="Arial"/>
          <w:b/>
          <w:bCs/>
          <w:color w:val="000000"/>
          <w:sz w:val="20"/>
          <w:szCs w:val="20"/>
          <w:lang w:eastAsia="en-US"/>
        </w:rPr>
      </w:pP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ניהול הממשק מול 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משרדי 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רו"ח 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מהביג פור,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 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יועצים משפטיים,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 חברות ביטוח, 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מבקר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 פנים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 ו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גופי רגולציה ממשלתיים.</w:t>
      </w:r>
    </w:p>
    <w:p>
      <w:pPr>
        <w:numPr>
          <w:ilvl w:val="0"/>
          <w:numId w:val="5"/>
        </w:numPr>
        <w:tabs>
          <w:tab w:pos="350" w:val="left"/>
        </w:tabs>
        <w:spacing w:line="312" w:lineRule="auto"/>
        <w:ind w:left="283" w:hanging="284"/>
        <w:rPr>
          <w:rFonts w:ascii="Arial" w:eastAsia="Calibri" w:hAnsi="Arial" w:cs="Arial"/>
          <w:b/>
          <w:bCs/>
          <w:color w:val="000000"/>
          <w:sz w:val="20"/>
          <w:szCs w:val="20"/>
          <w:lang w:eastAsia="en-US"/>
        </w:rPr>
      </w:pP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ייעוץ ו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שותפות ב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  <w:lang w:eastAsia="en-US"/>
        </w:rPr>
        <w:t xml:space="preserve">החלטות 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הנהלה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, 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חשיבה עסקית,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  <w:lang w:eastAsia="en-US"/>
        </w:rPr>
        <w:t xml:space="preserve">ניהול מו"מ בדרגים גבוהים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,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  <w:lang w:eastAsia="en-US"/>
        </w:rPr>
        <w:t xml:space="preserve"> 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ייעול תהליכים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, 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  <w:lang w:eastAsia="en-US"/>
        </w:rPr>
        <w:t xml:space="preserve">אנגלית ברמה גבוהה מאוד.</w:t>
      </w:r>
    </w:p>
    <w:p>
      <w:pPr>
        <w:tabs>
          <w:tab w:pos="350" w:val="left"/>
        </w:tabs>
        <w:spacing w:line="312" w:lineRule="auto"/>
        <w:ind w:left="283" w:hanging="284"/>
        <w:rPr>
          <w:rFonts w:ascii="Arial" w:eastAsia="Calibri" w:hAnsi="Arial" w:cs="Arial"/>
          <w:b/>
          <w:bCs/>
          <w:color w:val="000000"/>
          <w:sz w:val="22"/>
          <w:szCs w:val="22"/>
          <w:rtl/>
          <w:lang w:eastAsia="en-US"/>
        </w:rPr>
      </w:pPr>
    </w:p>
    <w:p>
      <w:pPr>
        <w:spacing w:line="360" w:lineRule="auto"/>
        <w:outlineLvl w:val="0"/>
        <w:rPr>
          <w:rFonts w:ascii="Arial" w:eastAsia="Arial" w:hAnsi="Arial" w:cs="Arial"/>
          <w:b/>
          <w:bCs/>
          <w:sz w:val="20"/>
          <w:szCs w:val="20"/>
          <w:u w:val="single"/>
          <w:lang w:eastAsia="en-US"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  <w:rtl/>
          <w:lang w:eastAsia="en-US"/>
        </w:rPr>
        <w:t xml:space="preserve">ניסיון תעסוקתי: </w:t>
      </w:r>
    </w:p>
    <w:p>
      <w:pPr>
        <w:spacing w:line="360" w:lineRule="auto"/>
        <w:ind w:left="780"/>
        <w:outlineLvl w:val="0"/>
        <w:rPr>
          <w:rFonts w:ascii="Arial" w:eastAsia="Arial" w:hAnsi="Arial" w:cs="Arial"/>
          <w:b/>
          <w:bCs/>
          <w:sz w:val="20"/>
          <w:szCs w:val="20"/>
          <w:u w:val="single"/>
          <w:rtl/>
          <w:lang w:eastAsia="en-US"/>
        </w:rPr>
      </w:pP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אוקטובר 2022-כיום: מנהל אשראי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ומנהל ה</w:t>
      </w:r>
      <w:r>
        <w:rPr>
          <w:rFonts w:ascii="Arial" w:eastAsia="Arial" w:hAnsi="Arial" w:cs="Arial"/>
          <w:b/>
          <w:bCs/>
          <w:sz w:val="20"/>
          <w:szCs w:val="20"/>
          <w:u w:val="single"/>
          <w:lang w:eastAsia="en-US"/>
        </w:rPr>
        <w:t xml:space="preserve">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lang w:eastAsia="en-US"/>
        </w:rPr>
        <w:t xml:space="preserve">SOX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ב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חברת בת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הישראלית של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חברה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גרמנית-שוויצרית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 ציבורית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 לשירותי לוגיסטיקה ושילוח בינלאומיים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b/>
          <w:bCs/>
          <w:sz w:val="20"/>
          <w:szCs w:val="20"/>
          <w:rtl/>
          <w:lang w:eastAsia="en-US"/>
        </w:rPr>
      </w:pP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ניהול תיק האשראי הניתן ללקוחות החברה בהיקף של כ-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6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00 מיליון ₪ בשנה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rtl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ביצוע בדיקות אשראי ללקוחות בטרם מתן האשראי לרבות הפקת מידע על הלקוחות ממאגרי מידע חיצוניים של חברות למידע עסקי כגון: </w:t>
      </w:r>
      <w:r>
        <w:rPr>
          <w:rFonts w:ascii="Arial" w:eastAsia="Arial" w:hAnsi="Arial" w:cs="Arial" w:hint="cs"/>
          <w:sz w:val="20"/>
          <w:szCs w:val="20"/>
          <w:lang w:eastAsia="en-US"/>
        </w:rPr>
        <w:t xml:space="preserve">D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un &amp; 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Bradstreet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 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ו-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COFACE </w:t>
      </w:r>
      <w:r>
        <w:rPr>
          <w:rFonts w:ascii="Arial" w:eastAsia="Arial" w:hAnsi="Arial" w:cs="Arial" w:hint="cs"/>
          <w:sz w:val="20"/>
          <w:szCs w:val="20"/>
          <w:lang w:eastAsia="en-US"/>
        </w:rPr>
        <w:t xml:space="preserve">BDI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. ניתוח החברות ואפיון הסיכון בעבודה עמן.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ניהול מו"מ עם הלקוחות על תנאי האשראי לרבות מסגרות וימי אשראי, ריביות.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rtl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עריכת הסכמי אשראי לחתימת הלקוחות ומעקב אחר קבלת הסכמים חתומים ובטחונות נלווים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לאשראי שניתן (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צקים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של החברות,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צקים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אישיים של בעלים, ערבויות בנקאיות).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ניהול מערך ביטוחי האשראי-עבודה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מול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חברות ביטוח אשראי בינלאומיות</w:t>
      </w:r>
      <w:r>
        <w:rPr>
          <w:rFonts w:ascii="Arial" w:eastAsia="Arial" w:hAnsi="Arial" w:cs="Arial" w:hint="cs"/>
          <w:sz w:val="20"/>
          <w:szCs w:val="20"/>
          <w:lang w:eastAsia="en-US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כגון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sz w:val="20"/>
          <w:szCs w:val="20"/>
          <w:lang w:eastAsia="en-US"/>
        </w:rPr>
        <w:t xml:space="preserve">COFACE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ו</w:t>
      </w:r>
      <w:r>
        <w:rPr>
          <w:rFonts w:ascii="Arial" w:eastAsia="Arial" w:hAnsi="Arial" w:cs="Arial" w:hint="cs"/>
          <w:sz w:val="20"/>
          <w:szCs w:val="20"/>
          <w:lang w:eastAsia="en-US"/>
        </w:rPr>
        <w:t xml:space="preserve">NEXUS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בהתאם לנוהלי חברת האם.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ביצוע בקרות ופיקוח על מערך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הבילינג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של החברה. ביצוע בדיקות מדגמיות של חיובים המונפקים ללקוחות בהתאם להצעות מחיר, בדיקת הפרשי שער וחיובי ריבית בגין האשראי הנצרך.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הפקת דוחות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בילינג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וגבייה-גיול לקוחות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, חריגות ממסגרות אשראי ותנאי תשלום.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b/>
          <w:bCs/>
          <w:sz w:val="20"/>
          <w:szCs w:val="20"/>
          <w:lang w:eastAsia="en-US"/>
        </w:rPr>
      </w:pP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פיקוח 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וניהול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 צוות הגבייה-5 עובדות.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הדרכת מנהלי מחלקות בכל הקשור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נ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יהול תהליכי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בילינג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אפקטיביים והקפדה על קבלת הזמנות עבודה התואמות למסגרות האשראי שניתנות ללקוחות.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rtl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ניהול יישום ה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I</w:t>
      </w:r>
      <w:r>
        <w:rPr>
          <w:rFonts w:ascii="Arial" w:eastAsia="Arial" w:hAnsi="Arial" w:cs="Arial" w:hint="cs"/>
          <w:sz w:val="20"/>
          <w:szCs w:val="20"/>
          <w:lang w:eastAsia="en-US"/>
        </w:rPr>
        <w:t xml:space="preserve">SOX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בחברה- ביצוע טסטים, מעקב</w:t>
      </w:r>
      <w:r>
        <w:rPr>
          <w:rFonts w:ascii="Arial" w:eastAsia="Arial" w:hAnsi="Arial" w:cs="Arial" w:hint="cs"/>
          <w:sz w:val="20"/>
          <w:szCs w:val="20"/>
          <w:lang w:eastAsia="en-US"/>
        </w:rPr>
        <w:t xml:space="preserve"> 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ובקרה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אחר העלאת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תיעוד תומך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לאתר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החברה העולמית לעניין תיעוד הבקרות במגוון רחב של תהליכים: בנקים, לקוחות, ספקים,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רכוש קבוע, משאבי אנוש ועוד.</w:t>
      </w:r>
      <w:r>
        <w:rPr>
          <w:rFonts w:ascii="Arial" w:eastAsia="Arial" w:hAnsi="Arial" w:cs="Arial" w:hint="cs"/>
          <w:sz w:val="20"/>
          <w:szCs w:val="20"/>
          <w:lang w:eastAsia="en-US"/>
        </w:rPr>
        <w:t xml:space="preserve"> </w:t>
      </w:r>
    </w:p>
    <w:p>
      <w:pPr>
        <w:spacing w:line="312" w:lineRule="auto"/>
        <w:outlineLvl w:val="0"/>
        <w:rPr>
          <w:rFonts w:ascii="Arial" w:eastAsia="Arial" w:hAnsi="Arial" w:cs="Arial"/>
          <w:sz w:val="20"/>
          <w:szCs w:val="20"/>
          <w:rtl/>
          <w:lang w:eastAsia="en-US"/>
        </w:rPr>
      </w:pPr>
    </w:p>
    <w:p>
      <w:pPr>
        <w:spacing w:line="360" w:lineRule="auto"/>
        <w:outlineLvl w:val="0"/>
        <w:rPr>
          <w:rFonts w:ascii="Arial" w:eastAsia="Arial" w:hAnsi="Arial" w:cs="Arial"/>
          <w:sz w:val="20"/>
          <w:szCs w:val="20"/>
          <w:rtl/>
          <w:lang w:eastAsia="en-US"/>
        </w:rPr>
      </w:pPr>
    </w:p>
    <w:p>
      <w:pPr>
        <w:spacing w:line="360" w:lineRule="auto"/>
        <w:ind w:left="735"/>
        <w:outlineLvl w:val="0"/>
        <w:rPr>
          <w:rFonts w:ascii="Arial" w:eastAsia="Arial" w:hAnsi="Arial" w:cs="Arial"/>
          <w:bCs/>
          <w:sz w:val="20"/>
          <w:szCs w:val="20"/>
          <w:u w:val="single"/>
          <w:rtl/>
          <w:lang w:eastAsia="en-US"/>
        </w:rPr>
      </w:pPr>
      <w:r>
        <w:rPr>
          <w:rFonts w:ascii="Arial" w:eastAsia="Arial" w:hAnsi="Arial" w:cs="Arial" w:hint="cs"/>
          <w:bCs/>
          <w:sz w:val="20"/>
          <w:szCs w:val="20"/>
          <w:u w:val="single"/>
          <w:rtl/>
          <w:lang w:eastAsia="en-US"/>
        </w:rPr>
        <w:t xml:space="preserve">2020-</w:t>
      </w:r>
      <w:r>
        <w:rPr>
          <w:rFonts w:ascii="Arial" w:eastAsia="Arial" w:hAnsi="Arial" w:cs="Arial" w:hint="cs"/>
          <w:bCs/>
          <w:sz w:val="20"/>
          <w:szCs w:val="20"/>
          <w:u w:val="single"/>
          <w:rtl/>
          <w:lang w:eastAsia="en-US"/>
        </w:rPr>
        <w:t xml:space="preserve"> 2022</w:t>
      </w:r>
      <w:r>
        <w:rPr>
          <w:rFonts w:ascii="Arial" w:eastAsia="Arial" w:hAnsi="Arial" w:cs="Arial" w:hint="cs"/>
          <w:bCs/>
          <w:sz w:val="20"/>
          <w:szCs w:val="20"/>
          <w:u w:val="single"/>
          <w:rtl/>
          <w:lang w:eastAsia="en-US"/>
        </w:rPr>
        <w:t xml:space="preserve">: מנהל כספים </w:t>
      </w:r>
      <w:r>
        <w:rPr>
          <w:rFonts w:ascii="Arial" w:eastAsia="Arial" w:hAnsi="Arial" w:cs="Arial" w:hint="cs"/>
          <w:bCs/>
          <w:sz w:val="20"/>
          <w:szCs w:val="20"/>
          <w:u w:val="single"/>
          <w:rtl/>
          <w:lang w:eastAsia="en-US"/>
        </w:rPr>
        <w:t xml:space="preserve">בחברת בת </w:t>
      </w:r>
      <w:r>
        <w:rPr>
          <w:rFonts w:ascii="Arial" w:eastAsia="Arial" w:hAnsi="Arial" w:cs="Arial" w:hint="cs"/>
          <w:bCs/>
          <w:sz w:val="20"/>
          <w:szCs w:val="20"/>
          <w:u w:val="single"/>
          <w:rtl/>
          <w:lang w:eastAsia="en-US"/>
        </w:rPr>
        <w:t xml:space="preserve">של </w:t>
      </w:r>
      <w:r>
        <w:rPr>
          <w:rFonts w:ascii="Arial" w:eastAsia="Arial" w:hAnsi="Arial" w:cs="Arial" w:hint="cs"/>
          <w:bCs/>
          <w:sz w:val="20"/>
          <w:szCs w:val="20"/>
          <w:u w:val="single"/>
          <w:rtl/>
          <w:lang w:eastAsia="en-US"/>
        </w:rPr>
        <w:t xml:space="preserve">חברת סבינו דל בנה</w:t>
      </w:r>
      <w:r>
        <w:rPr>
          <w:rFonts w:ascii="Arial" w:eastAsia="Arial" w:hAnsi="Arial" w:cs="Arial" w:hint="cs"/>
          <w:bCs/>
          <w:sz w:val="20"/>
          <w:szCs w:val="20"/>
          <w:u w:val="single"/>
          <w:rtl/>
          <w:lang w:eastAsia="en-US"/>
        </w:rPr>
        <w:t xml:space="preserve"> </w:t>
      </w:r>
      <w:r>
        <w:rPr>
          <w:rFonts w:ascii="Arial" w:eastAsia="Arial" w:hAnsi="Arial" w:cs="Arial" w:hint="cs"/>
          <w:bCs/>
          <w:sz w:val="20"/>
          <w:szCs w:val="20"/>
          <w:u w:val="single"/>
          <w:rtl/>
          <w:lang w:eastAsia="en-US"/>
        </w:rPr>
        <w:t xml:space="preserve">לשירותי לוגיסטיקה ושילוח בינלאומיים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הקמת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התשתית הפיננסית והארגונית של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זרוע הפעילות הישראלית של קבוצה בינלאומית לשירותי לוגיסטיקה ושילוח בינלאומיים.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דיווח כספי חודשי, רבעוני ושנתי למטה חברת האם שיושבת באיטליה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sz w:val="20"/>
          <w:szCs w:val="20"/>
          <w:lang w:eastAsia="en-US"/>
        </w:rPr>
        <w:t xml:space="preserve">SAVINO DEL BENE S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.P.A.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.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ניהול מערך הכספים של החברה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כ-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50 מיליון ₪ בשנה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-לרבות ניהול תזרים המז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ו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מנים,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הכנת תקציב החברה ו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קשר עם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ה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בנקים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(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אשראים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, עלויות מימון וכו').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ניהול מרכזי רווח-בקרה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ופיקוח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על הכנסות והוצאות החברה בחתך הסגמנטים השונים: יבוא/יצוא ים/אוויר, עמילות מכס ולוגיסטיקה יבשתית.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ביצוע ניתוחים אנליטיים של ביצוע מול תקציב בסגמנטים השונים.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בדיקת ואישור חשבונות המונפקים ע"י הנמלים השונים.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תשלום תיקי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יבוא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במכס.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התחשבנות עם חברות אחיות ברחבי העולם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בשיטות תשלום שונות (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(</w:t>
      </w:r>
      <w:r>
        <w:rPr>
          <w:rFonts w:ascii="Arial" w:eastAsia="Arial" w:hAnsi="Arial" w:cs="Arial" w:hint="cs"/>
          <w:sz w:val="20"/>
          <w:szCs w:val="20"/>
          <w:lang w:eastAsia="en-US"/>
        </w:rPr>
        <w:t xml:space="preserve">C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ash Netting, Global Payment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rtl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קשר שוטף עם היועצים המשפטיים של החברה, רואי החשבון החיצוניים וחברת ניהול ההסדרים הפנסיוניים.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ab/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                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נ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יהול מערך השכר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-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גיוס וקביעת תנאי שכר של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עובדים חדשים, ביצוע בקרות שכר חודש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יות,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אישור תלושים וביצוע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מס"ב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משכורות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.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דיווח למוסדות המס בישראל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-מס הכנסה, ביטוח לאומי ומע"מ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.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טיפול בסוגיות שילוח תפעוליות בעלות השלכות כספיות (תנאי מכר, תנאי אשראי,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משלוחים שהגיעו פגומים או חלקיים ועוד, מיסי יבוא).</w:t>
      </w:r>
    </w:p>
    <w:p>
      <w:pPr>
        <w:spacing w:line="360" w:lineRule="auto"/>
        <w:ind w:left="735"/>
        <w:outlineLvl w:val="0"/>
        <w:rPr>
          <w:rFonts w:ascii="Arial" w:eastAsia="Arial" w:hAnsi="Arial" w:cs="Arial"/>
          <w:b/>
          <w:bCs/>
          <w:sz w:val="20"/>
          <w:szCs w:val="20"/>
          <w:rtl/>
          <w:lang w:eastAsia="en-US"/>
        </w:rPr>
      </w:pPr>
      <w:r>
        <w:rPr>
          <w:rFonts w:ascii="Arial" w:eastAsia="Arial" w:hAnsi="Arial" w:cs="Arial" w:hint="cs"/>
          <w:bCs/>
          <w:sz w:val="20"/>
          <w:szCs w:val="20"/>
          <w:u w:val="single"/>
          <w:rtl/>
          <w:lang w:eastAsia="en-US"/>
        </w:rPr>
        <w:t xml:space="preserve">             </w:t>
      </w:r>
    </w:p>
    <w:p>
      <w:pPr>
        <w:spacing w:line="360" w:lineRule="auto"/>
        <w:ind w:left="1095" w:firstLine="705"/>
        <w:outlineLvl w:val="0"/>
        <w:rPr>
          <w:rFonts w:ascii="Arial" w:eastAsia="Arial" w:hAnsi="Arial" w:cs="Arial"/>
          <w:sz w:val="20"/>
          <w:szCs w:val="20"/>
          <w:rtl/>
          <w:lang w:eastAsia="en-US"/>
        </w:rPr>
      </w:pPr>
      <w:r>
        <w:rPr>
          <w:rFonts w:ascii="Arial" w:eastAsia="Arial" w:hAnsi="Arial" w:cs="Arial" w:hint="cs"/>
          <w:bCs/>
          <w:sz w:val="20"/>
          <w:szCs w:val="20"/>
          <w:u w:val="single"/>
          <w:rtl/>
          <w:lang w:eastAsia="en-US"/>
        </w:rPr>
        <w:t xml:space="preserve">2017</w:t>
      </w:r>
      <w:r>
        <w:rPr>
          <w:rFonts w:ascii="Arial" w:eastAsia="Arial" w:hAnsi="Arial" w:cs="Arial" w:hint="cs"/>
          <w:bCs/>
          <w:sz w:val="20"/>
          <w:szCs w:val="20"/>
          <w:u w:val="single"/>
          <w:rtl/>
          <w:lang w:eastAsia="en-US"/>
        </w:rPr>
        <w:t xml:space="preserve"> </w:t>
      </w:r>
      <w:r>
        <w:rPr>
          <w:rFonts w:ascii="Arial" w:eastAsia="Arial" w:hAnsi="Arial" w:cs="Arial" w:hint="cs"/>
          <w:bCs/>
          <w:sz w:val="20"/>
          <w:szCs w:val="20"/>
          <w:u w:val="single"/>
          <w:rtl/>
          <w:lang w:eastAsia="en-US"/>
        </w:rPr>
        <w:t xml:space="preserve">- 2020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: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רואה חשבון במשרד רו"ח בת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"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א.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rtl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מתן שירותי ניהול כספים באאוטסורסינג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של מספר חברות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היי-טק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.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מחזורי פעילות 50 ו-60 מיליון ₪.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      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ab/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ab/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                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הכנת מאזנים ודוחות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רווח והפסד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 L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)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&amp;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(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 P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חודשיים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,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רבעוניים ושנתיים.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הכנת תקציב ו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ביצוע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בקרה תקציבית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שוטפת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ברמה חודשית, רבעונית ושנתית.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הכנת דוחות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תזרימי מזומנים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שבועיים וחודשיים. 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ממשקי עבודה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מול גורמים מרובים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ב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-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Corporate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s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(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מטות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הנהלות חברות האם)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בארה"ב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בתחומי הגזברות, דיווח כספי, ביקורת פנים ומשאבי אנוש.</w:t>
      </w:r>
    </w:p>
    <w:p>
      <w:pPr>
        <w:numPr>
          <w:ilvl w:val="0"/>
          <w:numId w:val="6"/>
        </w:numPr>
        <w:spacing w:line="312" w:lineRule="auto"/>
        <w:outlineLvl w:val="0"/>
        <w:rPr>
          <w:rFonts w:ascii="Arial" w:eastAsia="Arial" w:hAnsi="Arial" w:cs="Arial"/>
          <w:sz w:val="20"/>
          <w:szCs w:val="20"/>
          <w:rtl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ניהול הדיווחים החודשיים למוסדות-מס הכנסה ניכויים, מקדמות, מע"מ מקוון 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PCN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.</w:t>
      </w:r>
    </w:p>
    <w:p>
      <w:pPr>
        <w:spacing w:line="312" w:lineRule="auto"/>
        <w:ind w:left="1440"/>
        <w:outlineLvl w:val="0"/>
        <w:rPr>
          <w:rFonts w:ascii="Arial" w:eastAsia="Arial" w:hAnsi="Arial" w:cs="Arial"/>
          <w:sz w:val="20"/>
          <w:szCs w:val="20"/>
          <w:rtl/>
          <w:lang w:eastAsia="en-US"/>
        </w:rPr>
      </w:pPr>
    </w:p>
    <w:p>
      <w:pPr>
        <w:spacing w:line="276" w:lineRule="auto"/>
        <w:ind w:left="720"/>
        <w:outlineLvl w:val="0"/>
        <w:rPr>
          <w:rFonts w:ascii="Arial" w:eastAsia="Arial" w:hAnsi="Arial" w:cs="Arial"/>
          <w:sz w:val="20"/>
          <w:szCs w:val="20"/>
          <w:rtl/>
          <w:lang w:eastAsia="en-US"/>
        </w:rPr>
      </w:pP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20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16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-2017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: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רואה חשבון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פרילנס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-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טיפול בדוחות עצמאיים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, עוסקים מורשים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, החזרי מס לשכירים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.</w:t>
      </w:r>
    </w:p>
    <w:p>
      <w:pPr>
        <w:spacing w:line="276" w:lineRule="auto"/>
        <w:ind w:left="1440"/>
        <w:outlineLvl w:val="0"/>
        <w:rPr>
          <w:rFonts w:ascii="Arial" w:eastAsia="Arial" w:hAnsi="Arial" w:cs="Arial"/>
          <w:sz w:val="20"/>
          <w:szCs w:val="20"/>
          <w:rtl/>
          <w:lang w:eastAsia="en-US"/>
        </w:rPr>
      </w:pPr>
      <w:r>
        <w:rPr>
          <w:rFonts w:ascii="Arial" w:eastAsia="Arial" w:hAnsi="Arial" w:cs="Arial"/>
          <w:sz w:val="20"/>
          <w:szCs w:val="20"/>
          <w:lang w:eastAsia="en-US"/>
        </w:rPr>
        <w:t xml:space="preserve">     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</w:t>
      </w:r>
    </w:p>
    <w:p>
      <w:pPr>
        <w:tabs>
          <w:tab w:pos="1133" w:val="left"/>
          <w:tab w:pos="1417" w:val="left"/>
        </w:tabs>
        <w:spacing w:line="312" w:lineRule="auto"/>
        <w:ind w:left="1440" w:hanging="1016"/>
        <w:outlineLvl w:val="0"/>
        <w:rPr>
          <w:rFonts w:ascii="Arial" w:eastAsia="Arial" w:hAnsi="Arial" w:cs="Arial"/>
          <w:sz w:val="20"/>
          <w:szCs w:val="20"/>
          <w:rtl/>
          <w:lang w:eastAsia="en-US"/>
        </w:rPr>
      </w:pPr>
      <w:r>
        <w:rPr>
          <w:rFonts w:ascii="Arial" w:eastAsia="Arial" w:hAnsi="Arial" w:cs="Arial"/>
          <w:sz w:val="20"/>
          <w:szCs w:val="20"/>
          <w:lang w:eastAsia="en-US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  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  <w:lang w:eastAsia="en-US"/>
        </w:rPr>
        <w:t xml:space="preserve">2007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-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  <w:lang w:eastAsia="en-US"/>
        </w:rPr>
        <w:t xml:space="preserve">2015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: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חשב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  <w:lang w:eastAsia="en-US"/>
        </w:rPr>
        <w:t xml:space="preserve">,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  <w:lang w:eastAsia="en-US"/>
        </w:rPr>
        <w:t xml:space="preserve">אדום התפלה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  <w:lang w:eastAsia="en-US"/>
        </w:rPr>
        <w:t xml:space="preserve">בע"מ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  <w:lang w:eastAsia="en-US"/>
        </w:rPr>
        <w:t xml:space="preserve">(מתקן התפלת מי ים)</w:t>
      </w:r>
    </w:p>
    <w:p>
      <w:pPr>
        <w:numPr>
          <w:ilvl w:val="0"/>
          <w:numId w:val="6"/>
        </w:numPr>
        <w:tabs>
          <w:tab w:pos="1252" w:val="left"/>
        </w:tabs>
        <w:spacing w:line="312" w:lineRule="auto"/>
        <w:rPr>
          <w:rFonts w:ascii="Arial" w:eastAsia="Arial" w:hAnsi="Arial" w:cs="Arial"/>
          <w:b/>
          <w:bCs/>
          <w:sz w:val="20"/>
          <w:szCs w:val="20"/>
          <w:lang w:eastAsia="en-US"/>
        </w:rPr>
      </w:pPr>
      <w:r>
        <w:rPr>
          <w:rFonts w:ascii="Arial" w:eastAsia="Arial" w:hAnsi="Arial" w:cs="Arial"/>
          <w:b/>
          <w:bCs/>
          <w:sz w:val="20"/>
          <w:szCs w:val="20"/>
          <w:rtl/>
          <w:lang w:eastAsia="en-US"/>
        </w:rPr>
        <w:t xml:space="preserve">בניית תקציב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 שנתי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 (תקציב שוטף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 כ-</w:t>
      </w:r>
      <w:r>
        <w:rPr>
          <w:rFonts w:ascii="Arial" w:eastAsia="Arial" w:hAnsi="Arial" w:cs="Arial"/>
          <w:b/>
          <w:bCs/>
          <w:sz w:val="20"/>
          <w:szCs w:val="20"/>
          <w:lang w:eastAsia="en-US"/>
        </w:rPr>
        <w:t xml:space="preserve">120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 מיליון ₪ בשנה 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 ותקציב השקעות/הרחבה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 כ-500 מיליון ש"ח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)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והבאת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ם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 לאישור 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ההנהלה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 והדירקטוריון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, בקרת ביצוע ושותפות בדיונים והחלטות.</w:t>
      </w:r>
    </w:p>
    <w:p>
      <w:pPr>
        <w:numPr>
          <w:ilvl w:val="0"/>
          <w:numId w:val="6"/>
        </w:numPr>
        <w:tabs>
          <w:tab w:pos="1252" w:val="left"/>
        </w:tabs>
        <w:spacing w:line="312" w:lineRule="auto"/>
        <w:rPr>
          <w:rFonts w:ascii="Arial" w:eastAsia="Arial" w:hAnsi="Arial" w:cs="Arial"/>
          <w:b/>
          <w:bCs/>
          <w:sz w:val="20"/>
          <w:szCs w:val="20"/>
          <w:lang w:eastAsia="en-US"/>
        </w:rPr>
      </w:pP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ביצוע בקרה תקציבית חודשית-תקציב מול ביצוע.</w:t>
      </w:r>
    </w:p>
    <w:p>
      <w:pPr>
        <w:numPr>
          <w:ilvl w:val="0"/>
          <w:numId w:val="6"/>
        </w:numPr>
        <w:tabs>
          <w:tab w:pos="1252" w:val="left"/>
        </w:tabs>
        <w:spacing w:line="312" w:lineRule="auto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עריכה וניתוח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 דו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"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חות כספיים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וניהוליים והצגתם בפני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 בעלי החברה: </w:t>
      </w:r>
    </w:p>
    <w:p>
      <w:pPr>
        <w:tabs>
          <w:tab w:pos="1252" w:val="left"/>
        </w:tabs>
        <w:spacing w:line="312" w:lineRule="auto"/>
        <w:ind w:left="1800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קונצרן תשתיות צרפתי 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Veolia Water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 ו-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IDE Technologies 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 מקבוצת 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כי"ל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 ודלק.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</w:t>
      </w:r>
    </w:p>
    <w:p>
      <w:pPr>
        <w:numPr>
          <w:ilvl w:val="0"/>
          <w:numId w:val="6"/>
        </w:numPr>
        <w:tabs>
          <w:tab w:pos="1252" w:val="left"/>
        </w:tabs>
        <w:spacing w:line="312" w:lineRule="auto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טיפול במערך הביטוח העסקי של החברה (טיפול בחידוש ביטוחי חבויות, רכוש, דירקט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ו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רים ונושאי משרה).</w:t>
      </w:r>
    </w:p>
    <w:p>
      <w:pPr>
        <w:numPr>
          <w:ilvl w:val="0"/>
          <w:numId w:val="6"/>
        </w:numPr>
        <w:tabs>
          <w:tab w:pos="1252" w:val="left"/>
        </w:tabs>
        <w:spacing w:line="312" w:lineRule="auto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פיקוח ובקרה על 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מערכת כספים רב-מטבעית בהיקף מחזור בסך כולל של 110 מיליון ש"ח.</w:t>
      </w:r>
    </w:p>
    <w:p>
      <w:pPr>
        <w:numPr>
          <w:ilvl w:val="0"/>
          <w:numId w:val="6"/>
        </w:numPr>
        <w:tabs>
          <w:tab w:pos="1252" w:val="left"/>
        </w:tabs>
        <w:spacing w:line="312" w:lineRule="auto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ממשקי עבודה עם היועצים המשפטיים-ליווי וטיפול בהסכמי רכש, התקשרויות, הסכמי עבודה.</w:t>
      </w:r>
    </w:p>
    <w:p>
      <w:pPr>
        <w:numPr>
          <w:ilvl w:val="0"/>
          <w:numId w:val="6"/>
        </w:numPr>
        <w:tabs>
          <w:tab w:pos="1252" w:val="left"/>
        </w:tabs>
        <w:spacing w:line="312" w:lineRule="auto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ניהול מערך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החשבות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והשכר, 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רכש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ולוגיסטיקה: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ניהול צוות, טיוב תהליכים ומתן מענה מקצועי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לשאלות וסוגיות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. </w:t>
      </w:r>
    </w:p>
    <w:p>
      <w:pPr>
        <w:numPr>
          <w:ilvl w:val="0"/>
          <w:numId w:val="6"/>
        </w:numPr>
        <w:tabs>
          <w:tab w:pos="1252" w:val="left"/>
        </w:tabs>
        <w:spacing w:line="312" w:lineRule="auto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ניהול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 תזרימי המזומנים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וניהול הקשר עם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 הבנקים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לרבות 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פיקדונות, הלוואות, ערבויות, עלויות מימון.</w:t>
      </w:r>
    </w:p>
    <w:p>
      <w:pPr>
        <w:numPr>
          <w:ilvl w:val="0"/>
          <w:numId w:val="6"/>
        </w:numPr>
        <w:tabs>
          <w:tab w:pos="1252" w:val="left"/>
        </w:tabs>
        <w:spacing w:line="312" w:lineRule="auto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ניתוח תהליכים וייזום פעולות שהובילו לחיסכון בעלויות ולצמצום סיכונים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.</w:t>
      </w:r>
    </w:p>
    <w:p>
      <w:pPr>
        <w:tabs>
          <w:tab w:pos="1252" w:val="left"/>
        </w:tabs>
        <w:spacing w:line="312" w:lineRule="auto"/>
        <w:rPr>
          <w:rFonts w:ascii="Arial" w:eastAsia="Arial" w:hAnsi="Arial" w:cs="Arial"/>
          <w:sz w:val="20"/>
          <w:szCs w:val="20"/>
          <w:rtl/>
          <w:lang w:eastAsia="en-US"/>
        </w:rPr>
      </w:pPr>
    </w:p>
    <w:p>
      <w:pPr>
        <w:tabs>
          <w:tab w:pos="1133" w:val="left"/>
          <w:tab w:pos="1417" w:val="left"/>
        </w:tabs>
        <w:spacing w:line="312" w:lineRule="auto"/>
        <w:outlineLvl w:val="0"/>
        <w:rPr>
          <w:rFonts w:ascii="Arial" w:eastAsia="Arial" w:hAnsi="Arial" w:cs="Arial"/>
          <w:sz w:val="20"/>
          <w:szCs w:val="20"/>
          <w:rtl/>
          <w:lang w:eastAsia="en-US"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  <w:rtl/>
          <w:lang w:eastAsia="en-US"/>
        </w:rPr>
        <w:t xml:space="preserve">2007-2004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: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  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  <w:lang w:eastAsia="en-US"/>
        </w:rPr>
        <w:t xml:space="preserve">עוזר חשב ומנהל חשבונות ראשי, "רות קרגו</w:t>
      </w:r>
      <w:r>
        <w:rPr>
          <w:rFonts w:ascii="Arial" w:eastAsia="Arial" w:hAnsi="Arial" w:cs="Arial"/>
          <w:b/>
          <w:bCs/>
          <w:sz w:val="20"/>
          <w:szCs w:val="20"/>
          <w:u w:val="single"/>
          <w:lang w:eastAsia="en-US"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  <w:lang w:eastAsia="en-US"/>
        </w:rPr>
        <w:t xml:space="preserve"> בע"מ"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(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  <w:lang w:eastAsia="en-US"/>
        </w:rPr>
        <w:t xml:space="preserve">חברה לשילוח בינלאומי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en-US"/>
        </w:rPr>
        <w:t xml:space="preserve"> ושירותי לוגיסטיקה)</w:t>
      </w:r>
    </w:p>
    <w:p>
      <w:pPr>
        <w:numPr>
          <w:ilvl w:val="0"/>
          <w:numId w:val="6"/>
        </w:numPr>
        <w:tabs>
          <w:tab w:pos="1252" w:val="left"/>
        </w:tabs>
        <w:spacing w:line="288" w:lineRule="auto"/>
        <w:ind w:left="1797" w:hanging="357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ניהול 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 מחלקת הנהלת חשבונות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: הכשרה וחניכה מקצועית, חלוקת מטלות, בקרת ביצוע.</w:t>
      </w:r>
    </w:p>
    <w:p>
      <w:pPr>
        <w:numPr>
          <w:ilvl w:val="0"/>
          <w:numId w:val="6"/>
        </w:numPr>
        <w:tabs>
          <w:tab w:pos="1252" w:val="left"/>
        </w:tabs>
        <w:spacing w:line="288" w:lineRule="auto"/>
        <w:ind w:left="1797" w:hanging="357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הכנת תקציבי החברה בהתאם למגזרי הפעילות: עמילות מכס, יבוא, יצוא., תפעול שוטף.</w:t>
      </w:r>
    </w:p>
    <w:p>
      <w:pPr>
        <w:numPr>
          <w:ilvl w:val="0"/>
          <w:numId w:val="6"/>
        </w:numPr>
        <w:tabs>
          <w:tab w:pos="1252" w:val="left"/>
        </w:tabs>
        <w:spacing w:line="288" w:lineRule="auto"/>
        <w:ind w:left="1797" w:hanging="357"/>
        <w:rPr>
          <w:rFonts w:ascii="Arial" w:eastAsia="Arial" w:hAnsi="Arial" w:cs="Arial"/>
          <w:sz w:val="20"/>
          <w:szCs w:val="20"/>
          <w:rtl/>
          <w:lang w:eastAsia="en-US"/>
        </w:rPr>
      </w:pP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ניהול מערך שכר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ל-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100 עובדים, הכנת דוחות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ו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ניתוחי שכר להנהלה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, סיוע 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בהכנת תקצי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ב ובקרה.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 </w:t>
      </w:r>
    </w:p>
    <w:p>
      <w:pPr>
        <w:numPr>
          <w:ilvl w:val="0"/>
          <w:numId w:val="6"/>
        </w:numPr>
        <w:tabs>
          <w:tab w:pos="1252" w:val="left"/>
        </w:tabs>
        <w:spacing w:line="288" w:lineRule="auto"/>
        <w:ind w:left="1797" w:hanging="357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ביצוע ניתוחי רווחיות וסיכונים ללקוחות לפי מגזרי פעילות ושותפות בקבלת החלטות על מתן אשראי.</w:t>
      </w:r>
    </w:p>
    <w:p>
      <w:pPr>
        <w:numPr>
          <w:ilvl w:val="0"/>
          <w:numId w:val="6"/>
        </w:numPr>
        <w:tabs>
          <w:tab w:pos="1252" w:val="left"/>
        </w:tabs>
        <w:spacing w:line="312" w:lineRule="auto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ניהול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הקשר מול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ה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בנקים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, 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ניהול ספקים וקבלנים חיצוניים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, הכנת חומר לרו"ח חיצוני. </w:t>
      </w:r>
    </w:p>
    <w:p>
      <w:pPr>
        <w:tabs>
          <w:tab w:pos="1252" w:val="left"/>
        </w:tabs>
        <w:spacing w:line="312" w:lineRule="auto"/>
        <w:rPr>
          <w:rFonts w:ascii="Arial" w:eastAsia="Arial" w:hAnsi="Arial" w:cs="Arial"/>
          <w:sz w:val="20"/>
          <w:szCs w:val="20"/>
          <w:lang w:eastAsia="en-US"/>
        </w:rPr>
      </w:pPr>
    </w:p>
    <w:p>
      <w:pPr>
        <w:spacing w:line="360" w:lineRule="auto"/>
        <w:outlineLvl w:val="0"/>
        <w:rPr>
          <w:rFonts w:ascii="Arial" w:eastAsia="Arial" w:hAnsi="Arial" w:cs="Arial"/>
          <w:b/>
          <w:bCs/>
          <w:sz w:val="20"/>
          <w:szCs w:val="20"/>
          <w:u w:val="single"/>
          <w:rtl/>
          <w:lang w:eastAsia="en-US"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  <w:rtl/>
          <w:lang w:eastAsia="en-US"/>
        </w:rPr>
        <w:t xml:space="preserve">השכלה:</w:t>
      </w:r>
    </w:p>
    <w:p>
      <w:pPr>
        <w:tabs>
          <w:tab w:pos="1252" w:val="left"/>
        </w:tabs>
        <w:spacing w:line="312" w:lineRule="auto"/>
        <w:ind w:firstLine="566"/>
        <w:outlineLvl w:val="0"/>
        <w:rPr>
          <w:rFonts w:ascii="Arial" w:eastAsia="Arial" w:hAnsi="Arial" w:cs="Arial"/>
          <w:sz w:val="20"/>
          <w:szCs w:val="20"/>
          <w:rtl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2012: קורס ניהול סיכונים, היחידה ללימודי המשך, המכללה למנהל.</w:t>
      </w:r>
    </w:p>
    <w:p>
      <w:pPr>
        <w:spacing w:line="312" w:lineRule="auto"/>
        <w:ind w:firstLine="566"/>
        <w:outlineLvl w:val="0"/>
        <w:rPr>
          <w:rFonts w:ascii="Arial" w:eastAsia="Arial" w:hAnsi="Arial" w:cs="Arial"/>
          <w:sz w:val="20"/>
          <w:szCs w:val="20"/>
          <w:lang w:eastAsia="en-US"/>
        </w:rPr>
      </w:pP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2004: קבלת רישיון רואה חשבון.</w:t>
      </w:r>
    </w:p>
    <w:p>
      <w:pPr>
        <w:spacing w:line="312" w:lineRule="auto"/>
        <w:rPr>
          <w:rFonts w:ascii="Arial" w:eastAsia="Arial" w:hAnsi="Arial" w:cs="Arial"/>
          <w:sz w:val="20"/>
          <w:szCs w:val="20"/>
          <w:rtl/>
          <w:lang w:eastAsia="en-US"/>
        </w:rPr>
      </w:pP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2002-2001: בוגר שנת השלמה בחשבונאות, ביה"ס למנהל עסקים, המכללה למנהל.</w:t>
      </w:r>
    </w:p>
    <w:p>
      <w:pPr>
        <w:spacing w:line="312" w:lineRule="auto"/>
        <w:outlineLvl w:val="0"/>
        <w:rPr>
          <w:rFonts w:ascii="Arial" w:eastAsia="Arial" w:hAnsi="Arial" w:cs="Arial"/>
          <w:sz w:val="20"/>
          <w:szCs w:val="20"/>
          <w:rtl/>
          <w:lang w:eastAsia="en-US"/>
        </w:rPr>
      </w:pP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2001-1997: בוגר תואר ראשון (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A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.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B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) במנהל עסקים, התמחות בחשבונאות, המכללה למנהל.</w:t>
      </w:r>
    </w:p>
    <w:p>
      <w:pPr>
        <w:spacing w:line="312" w:lineRule="auto"/>
        <w:rPr>
          <w:rFonts w:ascii="Arial" w:eastAsia="Arial" w:hAnsi="Arial" w:cs="Arial"/>
          <w:sz w:val="20"/>
          <w:szCs w:val="20"/>
          <w:rtl/>
          <w:lang w:eastAsia="en-US"/>
        </w:rPr>
      </w:pPr>
    </w:p>
    <w:p>
      <w:pPr>
        <w:spacing w:line="288" w:lineRule="auto"/>
        <w:rPr>
          <w:rFonts w:ascii="Arial" w:eastAsia="Arial" w:hAnsi="Arial" w:cs="Arial"/>
          <w:sz w:val="20"/>
          <w:szCs w:val="20"/>
          <w:rtl/>
          <w:lang w:eastAsia="en-US"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  <w:rtl/>
          <w:lang w:eastAsia="en-US"/>
        </w:rPr>
        <w:t xml:space="preserve">שפות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:  עברית- שפת אם |  אנגלית- ברמה גבוהה מאוד.</w:t>
      </w:r>
    </w:p>
    <w:p>
      <w:pPr>
        <w:spacing w:line="288" w:lineRule="auto"/>
        <w:ind w:right="-142"/>
        <w:rPr>
          <w:rFonts w:ascii="Arial" w:eastAsia="Arial" w:hAnsi="Arial" w:cs="Arial"/>
          <w:b/>
          <w:bCs/>
          <w:sz w:val="20"/>
          <w:szCs w:val="20"/>
          <w:rtl/>
          <w:lang w:eastAsia="en-US"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  <w:rtl/>
          <w:lang w:eastAsia="en-US"/>
        </w:rPr>
        <w:t xml:space="preserve">יישומי מחשב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: יישומי 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Office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lang w:eastAsia="en-US"/>
        </w:rPr>
        <w:t xml:space="preserve">Excel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 ברמה גבוהה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מאוד</w:t>
      </w:r>
      <w:r>
        <w:rPr>
          <w:rFonts w:ascii="Arial" w:eastAsia="Arial" w:hAnsi="Arial" w:cs="Arial"/>
          <w:b/>
          <w:bCs/>
          <w:sz w:val="20"/>
          <w:szCs w:val="20"/>
          <w:lang w:eastAsia="en-US"/>
        </w:rPr>
        <w:t xml:space="preserve">Business</w:t>
      </w:r>
      <w:r>
        <w:rPr>
          <w:rFonts w:ascii="Arial" w:eastAsia="Arial" w:hAnsi="Arial" w:cs="Arial"/>
          <w:sz w:val="20"/>
          <w:szCs w:val="20"/>
          <w:lang w:eastAsia="en-US"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lang w:eastAsia="en-US"/>
        </w:rPr>
        <w:t xml:space="preserve">One | </w:t>
      </w:r>
      <w:r>
        <w:rPr>
          <w:rFonts w:ascii="Arial" w:eastAsia="Arial" w:hAnsi="Arial" w:cs="Arial"/>
          <w:b/>
          <w:bCs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lang w:eastAsia="en-US"/>
        </w:rPr>
        <w:t xml:space="preserve">SAP</w:t>
      </w:r>
      <w:r>
        <w:rPr>
          <w:rFonts w:ascii="Arial" w:eastAsia="Arial" w:hAnsi="Arial" w:cs="Arial"/>
          <w:b/>
          <w:bCs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| </w:t>
      </w:r>
      <w:r>
        <w:rPr>
          <w:rFonts w:ascii="Arial" w:eastAsia="Arial" w:hAnsi="Arial" w:cs="Arial"/>
          <w:b/>
          <w:bCs/>
          <w:sz w:val="20"/>
          <w:szCs w:val="20"/>
          <w:lang w:eastAsia="en-US"/>
        </w:rPr>
        <w:t xml:space="preserve">Priority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| 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פוקוס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|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מכפל |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סינאל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| 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רם ניהול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| חשבשבת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| 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נטסוויט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 של אורקל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|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קונטו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|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 חיסולית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|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 יישומי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 שע"מ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eastAsia="en-US"/>
        </w:rPr>
        <w:t xml:space="preserve">.</w:t>
      </w:r>
    </w:p>
    <w:p>
      <w:pPr>
        <w:spacing w:line="312" w:lineRule="auto"/>
        <w:rPr>
          <w:rFonts w:ascii="Arial" w:eastAsia="Arial" w:hAnsi="Arial" w:cs="Arial"/>
          <w:sz w:val="20"/>
          <w:szCs w:val="20"/>
          <w:rtl/>
          <w:lang w:eastAsia="en-US"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  <w:rtl/>
          <w:lang w:eastAsia="en-US"/>
        </w:rPr>
        <w:t xml:space="preserve">שירות  צבאי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: שרות מלא כמש"ק כוח אדם, אוגדת מילואים  (1997-1994).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                    </w:t>
      </w: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  </w:t>
      </w:r>
    </w:p>
    <w:p>
      <w:pPr>
        <w:spacing w:line="312" w:lineRule="auto"/>
        <w:rPr>
          <w:rFonts w:ascii="Arial" w:eastAsia="Arial" w:hAnsi="Arial" w:cs="Arial"/>
          <w:sz w:val="20"/>
          <w:szCs w:val="20"/>
          <w:rtl/>
          <w:lang w:eastAsia="en-US"/>
        </w:rPr>
      </w:pPr>
      <w:r>
        <w:rPr>
          <w:rFonts w:ascii="Arial" w:eastAsia="Arial" w:hAnsi="Arial" w:cs="Arial"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** המלצות תינת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נ</w:t>
      </w:r>
      <w:r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ה עפ"י דרישה</w:t>
      </w:r>
    </w:p>
    <w:p>
      <w:pPr>
        <w:tabs>
          <w:tab w:pos="991" w:val="left"/>
          <w:tab w:pos="1133" w:val="left"/>
          <w:tab w:pos="1275" w:val="left"/>
          <w:tab w:pos="1700" w:val="left"/>
        </w:tabs>
        <w:spacing w:line="312" w:lineRule="auto"/>
        <w:ind w:left="1558" w:hanging="1559"/>
        <w:outlineLvl w:val="0"/>
        <w:rPr>
          <w:rFonts w:ascii="Arial" w:eastAsia="Arial" w:hAnsi="Arial" w:cs="Arial"/>
          <w:sz w:val="22"/>
          <w:szCs w:val="22"/>
          <w:rtl/>
          <w:lang w:eastAsia="en-US"/>
        </w:rPr>
      </w:pP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        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                </w:t>
      </w:r>
    </w:p>
    <w:p>
      <w:pPr>
        <w:spacing/>
        <w:rPr>
          <w:rtl/>
        </w:rPr>
      </w:pPr>
      <w:r>
        <w:rPr>
          <w:rFonts w:hint="cs"/>
          <w:rtl/>
        </w:rPr>
        <w:t xml:space="preserve"> </w:t>
      </w:r>
    </w:p>
    <w:sectPr>
      <w:headerReference w:type="first" r:id="rId2"/>
      <w:footerReference w:type="first" r:id="rId3"/>
      <w:headerReference w:type="even" r:id="rId4"/>
      <w:footerReference w:type="even" r:id="rId5"/>
      <w:headerReference w:type="default" r:id="rId6"/>
      <w:footerReference w:type="default" r:id="rId7"/>
      <w:type w:val="nextPage"/>
      <w:pgSz w:w="12240" w:h="15840"/>
      <w:pgMar w:top="1440" w:right="1800" w:bottom="1440" w:left="1800" w:footer="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320" w:val="center"/>
        <w:tab w:pos="8640" w:val="right"/>
      </w:tabs>
      <w:spacing/>
      <w:rPr/>
    </w:pPr>
  </w:p>
</w:ftr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320" w:val="center"/>
        <w:tab w:pos="8640" w:val="right"/>
      </w:tabs>
      <w:spacing/>
      <w:rPr/>
    </w:pPr>
  </w:p>
</w:ftr>
</file>

<file path=word/footer7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320" w:val="center"/>
        <w:tab w:pos="8640" w:val="right"/>
      </w:tabs>
      <w:spacing/>
      <w:rPr>
        <w:rtl/>
      </w:rPr>
    </w:pPr>
    <w:r>
      <w:rPr>
        <w:rFonts w:hint="cs"/>
        <w:noProof/>
        <w:rtl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7353300</wp:posOffset>
          </wp:positionH>
          <wp:positionV relativeFrom="page">
            <wp:posOffset>63500</wp:posOffset>
          </wp:positionV>
          <wp:extent cx="352474" cy="1000265"/>
          <wp:effectExtent xmlns:wp="http://schemas.openxmlformats.org/drawingml/2006/wordprocessingDrawing" l="0" t="0" r="0" b="0"/>
          <wp:wrapNone/>
          <wp:docPr id="3" name="">
            <a:hlinkClick xmlns:a="http://schemas.openxmlformats.org/drawingml/2006/main" r:id="rId14"/>
          </wp:docPr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3"/>
                  <a:stretch>
                    <a:fillRect/>
                  </a:stretch>
                </pic:blipFill>
                <pic:spPr bwMode="auto">
                  <a:xfrm>
                    <a:off x="0" y="0"/>
                    <a:ext cx="352474" cy="1000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320" w:val="center"/>
        <w:tab w:pos="8640" w:val="right"/>
      </w:tabs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320" w:val="center"/>
        <w:tab w:pos="8640" w:val="right"/>
      </w:tabs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320" w:val="center"/>
        <w:tab w:pos="8640" w:val="right"/>
      </w:tabs>
      <w:spacing/>
      <w:rPr>
        <w:rtl/>
      </w:rPr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  <w:lang w:eastAsia="en-US" w:bidi="he-IL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3">
    <w:multiLevelType w:val="hybridMultilevel"/>
    <w:lvl w:ilvl="0">
      <w:start w:val="1"/>
      <w:numFmt w:val="decimal"/>
      <w:suff w:val="tab"/>
      <w:lvlText w:val="%1."/>
      <w:pPr>
        <w:spacing/>
        <w:ind w:left="108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80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520" w:hanging="180"/>
      </w:pPr>
      <w:rPr/>
    </w:lvl>
    <w:lvl w:ilvl="3">
      <w:start w:val="1"/>
      <w:numFmt w:val="decimal"/>
      <w:suff w:val="tab"/>
      <w:lvlText w:val="%4."/>
      <w:pPr>
        <w:spacing/>
        <w:ind w:left="3240" w:hanging="360"/>
      </w:pPr>
      <w:rPr/>
    </w:lvl>
    <w:lvl w:ilvl="4">
      <w:start w:val="1"/>
      <w:numFmt w:val="lowerLetter"/>
      <w:suff w:val="tab"/>
      <w:lvlText w:val="%5."/>
      <w:pPr>
        <w:spacing/>
        <w:ind w:left="396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680" w:hanging="180"/>
      </w:pPr>
      <w:rPr/>
    </w:lvl>
    <w:lvl w:ilvl="6">
      <w:start w:val="1"/>
      <w:numFmt w:val="decimal"/>
      <w:suff w:val="tab"/>
      <w:lvlText w:val="%7."/>
      <w:pPr>
        <w:spacing/>
        <w:ind w:left="5400" w:hanging="360"/>
      </w:pPr>
      <w:rPr/>
    </w:lvl>
    <w:lvl w:ilvl="7">
      <w:start w:val="1"/>
      <w:numFmt w:val="lowerLetter"/>
      <w:suff w:val="tab"/>
      <w:lvlText w:val="%8."/>
      <w:pPr>
        <w:spacing/>
        <w:ind w:left="612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840" w:hanging="180"/>
      </w:pPr>
      <w:rPr/>
    </w:lvl>
  </w:abstractNum>
  <w:abstractNum w:abstractNumId="4">
    <w:multiLevelType w:val="hybridMultilevel"/>
    <w:lvl w:ilvl="0">
      <w:start w:val="1"/>
      <w:numFmt w:val="bullet"/>
      <w:suff w:val="tab"/>
      <w:lvlText w:val="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C7C5AEB"/>
  <w15:docId xmlns:w15="http://schemas.microsoft.com/office/word/2012/wordml" w15:val="{7FB7A0CE-40C1-4371-9D4D-4D971148FE7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>
      <w:sz w:val="24"/>
      <w:szCs w:val="24"/>
      <w:lang w:eastAsia="he-IL"/>
    </w:rPr>
  </w:style>
  <w:style w:type="paragraph" w:styleId="Heading2">
    <w:name w:val="Heading 2"/>
    <w:basedOn w:val="Normal"/>
    <w:next w:val="Normal"/>
    <w:qFormat/>
    <w:pPr>
      <w:keepNext/>
      <w:spacing/>
      <w:outlineLvl w:val="1"/>
    </w:pPr>
    <w:rPr>
      <w:rFonts w:cs="Miriam"/>
      <w:sz w:val="20"/>
      <w:szCs w:val="28"/>
      <w:u w:val="single"/>
      <w:lang w:eastAsia="en-US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next w:val="Normal"/>
    <w:pPr>
      <w:tabs>
        <w:tab w:pos="4320" w:val="center"/>
        <w:tab w:pos="8640" w:val="right"/>
      </w:tabs>
      <w:spacing/>
    </w:pPr>
    <w:rPr/>
  </w:style>
  <w:style w:type="paragraph" w:styleId="Footer">
    <w:name w:val="Footer"/>
    <w:basedOn w:val="Normal"/>
    <w:next w:val="Normal"/>
    <w:pPr>
      <w:tabs>
        <w:tab w:pos="4320" w:val="center"/>
        <w:tab w:pos="8640" w:val="right"/>
      </w:tabs>
      <w:spacing/>
    </w:pPr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p" w:customStyle="1">
    <w:name w:val="p"/>
    <w:basedOn w:val="Normal"/>
    <w:pPr>
      <w:bidi w:val="false"/>
      <w:spacing/>
    </w:pPr>
    <w:rPr>
      <w:color w:val="000000"/>
    </w:rPr>
  </w:style>
  <w:style w:type="paragraph" w:styleId="1" w:customStyle="1">
    <w:name w:val="רגיל1"/>
    <w:pPr>
      <w:bidi/>
      <w:spacing w:after="200" w:line="276" w:lineRule="auto"/>
    </w:pPr>
    <w:rPr>
      <w:rFonts w:ascii="Calibri" w:eastAsia="Calibri" w:hAnsi="Calibri" w:cs="Calibri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pPr>
      <w:spacing/>
    </w:pPr>
    <w:rPr>
      <w:rFonts w:ascii="Tahoma" w:eastAsia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Pr>
      <w:rFonts w:ascii="Tahoma" w:eastAsia="Tahoma" w:hAnsi="Tahoma" w:cs="Tahoma"/>
      <w:sz w:val="16"/>
      <w:szCs w:val="16"/>
      <w:lang w:eastAsia="he-IL"/>
    </w:rPr>
  </w:style>
  <w:style w:type="paragraph" w:styleId="ListParagraph" w:customStyle="1">
    <w:name w:val="List Paragraph"/>
    <w:basedOn w:val="Normal"/>
    <w:link w:val="ListParagraphChar"/>
    <w:qFormat/>
    <w:pPr>
      <w:spacing/>
      <w:ind w:left="720"/>
    </w:pPr>
    <w:rPr>
      <w:rFonts w:cs="David"/>
      <w:sz w:val="28"/>
      <w:szCs w:val="28"/>
      <w:lang w:eastAsia="en-US"/>
    </w:rPr>
  </w:style>
  <w:style w:type="character" w:styleId="ListParagraphChar" w:customStyle="1">
    <w:name w:val="List Paragraph Char"/>
    <w:basedOn w:val="DefaultParagraphFont"/>
    <w:link w:val="ListParagraph"/>
    <w:rPr>
      <w:rFonts w:cs="David"/>
      <w:sz w:val="28"/>
      <w:szCs w:val="28"/>
    </w:rPr>
  </w:style>
</w:styles>
</file>

<file path=word/_rels/document.xml.rels>&#65279;<?xml version="1.0" encoding="utf-8" standalone="yes"?><Relationships xmlns="http://schemas.openxmlformats.org/package/2006/relationships"><Relationship Id="rId17" Type="http://schemas.openxmlformats.org/officeDocument/2006/relationships/styles" Target="styles.xml" /><Relationship Id="rId18" Type="http://schemas.openxmlformats.org/officeDocument/2006/relationships/settings" Target="settings.xml" /><Relationship Id="rId19" Type="http://schemas.openxmlformats.org/officeDocument/2006/relationships/numbering" Target="numbering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3" Type="http://schemas.openxmlformats.org/officeDocument/2006/relationships/footer" Target="footer3.xml" /><Relationship Id="rId2" Type="http://schemas.openxmlformats.org/officeDocument/2006/relationships/header" Target="header2.xml" /><Relationship Id="rId7" Type="http://schemas.openxmlformats.org/officeDocument/2006/relationships/footer" Target="footer7.xml" /><Relationship Id="rId6" Type="http://schemas.openxmlformats.org/officeDocument/2006/relationships/header" Target="header6.xml" /><Relationship Id="rId20" Type="http://schemas.openxmlformats.org/officeDocument/2006/relationships/fontTable" Target="fontTable.xml" /><Relationship Id="rId21" Type="http://schemas.openxmlformats.org/officeDocument/2006/relationships/theme" Target="theme/theme1.xml" /><Relationship Id="rId1" Type="http://schemas.openxmlformats.org/officeDocument/2006/relationships/hyperlink" Target="mailto:asafyagod@gmail.com" TargetMode="External" /><Relationship Id="rIdRTWK4M" Type="http://schemas.openxmlformats.org/officeDocument/2006/relationships/image" Target="media/35URK6.jpg"/></Relationships>
</file>

<file path=word/_rels/footer7.xml.rels>&#65279;<?xml version="1.0" encoding="utf-8" standalone="yes"?><Relationships xmlns="http://schemas.openxmlformats.org/package/2006/relationships"><Relationship Id="rId13" Type="http://schemas.openxmlformats.org/officeDocument/2006/relationships/image" Target="media/image13.jpeg" /><Relationship Id="rId14" Type="http://schemas.openxmlformats.org/officeDocument/2006/relationships/hyperlink" Target="http://cv-next.com/" TargetMode="External" /></Relationships>
</file>

<file path=word/_rels/header2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52</TotalTime>
  <Pages>3</Pages>
  <Words>1004</Words>
  <Characters>5021</Characters>
  <Application>Microsoft Office Word</Application>
  <DocSecurity>0</DocSecurity>
  <Lines>41</Lines>
  <Paragraphs>12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[TIMEDATE]נשלח ב:</dc:title>
  <dc:creator>cvneto</dc:creator>
  <cp:lastModifiedBy>Yagodiner, Assaf / Kuehne + Nagel / Tlv CF-KK</cp:lastModifiedBy>
  <cp:revision>26</cp:revision>
  <dcterms:created xsi:type="dcterms:W3CDTF">2022-08-23T08:10:00Z</dcterms:created>
  <dcterms:modified xsi:type="dcterms:W3CDTF">2024-05-20T15:00:00Z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MSIP_Label_0828794a-ad25-45b2-b935-93f5b652d9d4_Enabled" pid="2">
    <vt:lpstr/>
  </property>
  <property fmtid="{D5CDD505-2E9C-101B-9397-08002B2CF9AE}" name="MSIP_Label_0828794a-ad25-45b2-b935-93f5b652d9d4_SetDate" pid="3">
    <vt:lpstr/>
  </property>
  <property fmtid="{D5CDD505-2E9C-101B-9397-08002B2CF9AE}" name="MSIP_Label_0828794a-ad25-45b2-b935-93f5b652d9d4_Method" pid="4">
    <vt:lpstr/>
  </property>
  <property fmtid="{D5CDD505-2E9C-101B-9397-08002B2CF9AE}" name="MSIP_Label_0828794a-ad25-45b2-b935-93f5b652d9d4_Name" pid="5">
    <vt:lpstr/>
  </property>
  <property fmtid="{D5CDD505-2E9C-101B-9397-08002B2CF9AE}" name="MSIP_Label_0828794a-ad25-45b2-b935-93f5b652d9d4_SiteId" pid="6">
    <vt:lpstr/>
  </property>
  <property fmtid="{D5CDD505-2E9C-101B-9397-08002B2CF9AE}" name="MSIP_Label_0828794a-ad25-45b2-b935-93f5b652d9d4_ActionId" pid="7">
    <vt:lpstr/>
  </property>
  <property fmtid="{D5CDD505-2E9C-101B-9397-08002B2CF9AE}" name="MSIP_Label_0828794a-ad25-45b2-b935-93f5b652d9d4_ContentBits" pid="8">
    <vt:lpstr/>
  </property>
</Properties>
</file>