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3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2236"/>
                    <pic:cNvPicPr/>
                  </pic:nvPicPr>
                  <pic:blipFill>
                    <a:blip xmlns:r="http://schemas.openxmlformats.org/officeDocument/2006/relationships" r:embed="rIdM893B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Default="00000000">
      <w:pPr>
        <w:spacing w:line="276" w:lineRule="auto"/>
        <w:jc w:val="center"/>
        <w:rPr>
          <w:rFonts w:ascii="Arial" w:hAnsi="Arial" w:cs="Arial" w:hint="eastAsia"/>
          <w:sz w:val="21"/>
          <w:szCs w:val="21"/>
          <w:rtl/>
        </w:rPr>
      </w:pPr>
      <w:r>
        <w:rPr>
          <w:rFonts w:ascii="Arial" w:hAnsi="Arial" w:cs="Arial"/>
          <w:b/>
          <w:bCs/>
          <w:sz w:val="34"/>
          <w:szCs w:val="34"/>
          <w:rtl/>
        </w:rPr>
        <w:t>זאב כץ</w:t>
      </w:r>
    </w:p>
    <w:p w:rsidR="00000000" w:rsidRDefault="00000000">
      <w:pPr>
        <w:spacing w:line="276" w:lineRule="auto"/>
        <w:jc w:val="center"/>
      </w:pPr>
      <w:r>
        <w:rPr>
          <w:rFonts w:ascii="Arial" w:hAnsi="Arial" w:cs="Arial" w:hint="eastAsia"/>
          <w:sz w:val="21"/>
          <w:szCs w:val="21"/>
          <w:rtl/>
        </w:rPr>
        <w:t xml:space="preserve">מגורים: נהריה | </w:t>
      </w:r>
      <w:r>
        <w:rPr>
          <w:rFonts w:ascii="Arial" w:hAnsi="Arial" w:cs="Arial"/>
          <w:sz w:val="21"/>
          <w:szCs w:val="21"/>
          <w:rtl/>
        </w:rPr>
        <w:t xml:space="preserve"> </w:t>
      </w:r>
      <w:r>
        <w:rPr>
          <w:rFonts w:ascii="Arial" w:hAnsi="Arial" w:cs="Arial"/>
          <w:b/>
          <w:bCs/>
          <w:sz w:val="21"/>
          <w:szCs w:val="21"/>
          <w:rtl/>
        </w:rPr>
        <w:t>054-8858080</w:t>
      </w:r>
      <w:r>
        <w:rPr>
          <w:rFonts w:ascii="Arial" w:hAnsi="Arial" w:cs="Arial" w:hint="eastAsia"/>
          <w:sz w:val="21"/>
          <w:szCs w:val="21"/>
          <w:rtl/>
        </w:rPr>
        <w:t xml:space="preserve"> | </w:t>
      </w:r>
      <w:hyperlink r:id="rId7" w:history="1">
        <w:r>
          <w:rPr>
            <w:rStyle w:val="a1"/>
            <w:rFonts w:ascii="Arial" w:hAnsi="Arial" w:cs="Arial"/>
            <w:sz w:val="21"/>
            <w:szCs w:val="21"/>
          </w:rPr>
          <w:t>kzeev@013.net.il</w:t>
        </w:r>
      </w:hyperlink>
    </w:p>
    <w:p w:rsidR="00000000" w:rsidRDefault="00000000">
      <w:pPr>
        <w:spacing w:line="276" w:lineRule="auto"/>
        <w:jc w:val="left"/>
        <w:rPr>
          <w:rFonts w:ascii="Arial" w:hAnsi="Arial" w:cs="Arial"/>
          <w:sz w:val="21"/>
          <w:szCs w:val="21"/>
          <w:rtl/>
          <w:lang w:val="en-US"/>
        </w:rPr>
      </w:pPr>
      <w:r>
        <w:pict>
          <v:line id="Straight Connector 2" o:spid="_x0000_s1026" style="position:absolute;left:0;text-align:left;flip:x;z-index:1;mso-position-horizontal:absolute;mso-position-horizontal-relative:text;mso-position-vertical:absolute;mso-position-vertical-relative:text" from="-24.65pt,11.65pt" to="511.15pt,11.65pt" strokecolor="#4f81bd" strokeweight=".71mm">
            <v:stroke color2="#b07e42" joinstyle="miter" endcap="square"/>
            <v:shadow on="t" color="black" opacity="24926f" offset="0,.55mm"/>
          </v:line>
        </w:pict>
      </w:r>
    </w:p>
    <w:p w:rsidR="00000000" w:rsidRDefault="00000000">
      <w:pPr>
        <w:spacing w:line="300" w:lineRule="auto"/>
        <w:ind w:left="209"/>
        <w:jc w:val="left"/>
        <w:rPr>
          <w:rFonts w:ascii="Arial" w:hAnsi="Arial" w:cs="Arial" w:hint="eastAsia"/>
          <w:b/>
          <w:bCs/>
          <w:sz w:val="21"/>
          <w:szCs w:val="21"/>
        </w:rPr>
      </w:pPr>
    </w:p>
    <w:p w:rsidR="00000000" w:rsidRDefault="00000000">
      <w:pPr>
        <w:numPr>
          <w:ilvl w:val="0"/>
          <w:numId w:val="3"/>
        </w:numPr>
        <w:spacing w:line="288" w:lineRule="auto"/>
        <w:ind w:left="209" w:hanging="280"/>
        <w:jc w:val="left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/>
          <w:b/>
          <w:bCs/>
          <w:sz w:val="21"/>
          <w:szCs w:val="21"/>
          <w:rtl/>
        </w:rPr>
        <w:t xml:space="preserve">תואר </w:t>
      </w:r>
      <w:r>
        <w:rPr>
          <w:rFonts w:ascii="Arial" w:hAnsi="Arial" w:cs="Arial"/>
          <w:b/>
          <w:bCs/>
          <w:sz w:val="21"/>
          <w:szCs w:val="21"/>
        </w:rPr>
        <w:t>BA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 במנהל עסקים ובעל ניסיון מוכח בניהול מערכי מכירות, סחר ושיווק בארגונים קמעונאיים.</w:t>
      </w:r>
    </w:p>
    <w:p w:rsidR="00000000" w:rsidRDefault="00000000">
      <w:pPr>
        <w:numPr>
          <w:ilvl w:val="0"/>
          <w:numId w:val="3"/>
        </w:numPr>
        <w:spacing w:line="288" w:lineRule="auto"/>
        <w:ind w:left="209" w:hanging="280"/>
        <w:jc w:val="left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/>
          <w:b/>
          <w:bCs/>
          <w:sz w:val="21"/>
          <w:szCs w:val="21"/>
          <w:rtl/>
        </w:rPr>
        <w:t>הובלת צוותים ותהליכים להרחבת הפעילות וגידול ברווחיות, טיפול בנראות ושטחי תצוגה, לצד החדרה והשקת מוצרים.</w:t>
      </w:r>
    </w:p>
    <w:p w:rsidR="00000000" w:rsidRDefault="00000000">
      <w:pPr>
        <w:numPr>
          <w:ilvl w:val="0"/>
          <w:numId w:val="3"/>
        </w:numPr>
        <w:spacing w:line="288" w:lineRule="auto"/>
        <w:ind w:left="209" w:right="-709" w:hanging="280"/>
        <w:jc w:val="left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/>
          <w:b/>
          <w:bCs/>
          <w:sz w:val="21"/>
          <w:szCs w:val="21"/>
          <w:rtl/>
        </w:rPr>
        <w:t>ייזום והטמעת שיפורים, יישום כלי בקרה לצד פיתוח ותמרוץ עובדים ומנהלים ורתימתם להשגת יעדי החברה.</w:t>
      </w:r>
    </w:p>
    <w:p w:rsidR="00000000" w:rsidRDefault="00000000">
      <w:pPr>
        <w:numPr>
          <w:ilvl w:val="0"/>
          <w:numId w:val="3"/>
        </w:numPr>
        <w:spacing w:line="288" w:lineRule="auto"/>
        <w:ind w:left="209" w:right="-709" w:hanging="280"/>
        <w:jc w:val="left"/>
        <w:rPr>
          <w:rFonts w:ascii="Arial" w:hAnsi="Arial" w:cs="Arial"/>
          <w:b/>
          <w:bCs/>
          <w:sz w:val="21"/>
          <w:szCs w:val="21"/>
          <w:rtl/>
        </w:rPr>
      </w:pPr>
      <w:r>
        <w:rPr>
          <w:rFonts w:ascii="Arial" w:hAnsi="Arial" w:cs="Arial"/>
          <w:b/>
          <w:bCs/>
          <w:sz w:val="21"/>
          <w:szCs w:val="21"/>
          <w:rtl/>
        </w:rPr>
        <w:t>ניהול הסחר, עבודה מול ספקים בחו"ל ורשתות בארץ, קביעת מדיניות מחירים וסגירת הסכמים.</w:t>
      </w:r>
    </w:p>
    <w:p w:rsidR="00000000" w:rsidRDefault="00000000">
      <w:pPr>
        <w:numPr>
          <w:ilvl w:val="0"/>
          <w:numId w:val="3"/>
        </w:numPr>
        <w:spacing w:line="288" w:lineRule="auto"/>
        <w:ind w:left="209" w:right="-709" w:hanging="280"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1"/>
          <w:szCs w:val="21"/>
          <w:rtl/>
        </w:rPr>
        <w:t>ראיה עסקית רחבה ויכולת ניהול מו"מ, כישורי הובלה, תקשורת מצוינת ברמת השטח והנהלה.</w:t>
      </w:r>
    </w:p>
    <w:p w:rsidR="00000000" w:rsidRDefault="00000000">
      <w:pPr>
        <w:spacing w:line="288" w:lineRule="auto"/>
        <w:jc w:val="left"/>
        <w:rPr>
          <w:rFonts w:ascii="Arial" w:hAnsi="Arial" w:cs="Arial" w:hint="eastAsia"/>
          <w:sz w:val="20"/>
          <w:szCs w:val="20"/>
          <w:rtl/>
          <w:lang w:val="en-GB"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תעסוקתי:</w:t>
      </w:r>
    </w:p>
    <w:p w:rsidR="00000000" w:rsidRDefault="00000000">
      <w:pPr>
        <w:spacing w:line="288" w:lineRule="auto"/>
        <w:jc w:val="left"/>
        <w:rPr>
          <w:rFonts w:ascii="Arial" w:hAnsi="Arial" w:cs="Arial" w:hint="eastAsia"/>
          <w:sz w:val="20"/>
          <w:szCs w:val="20"/>
          <w:rtl/>
        </w:rPr>
      </w:pPr>
      <w:r>
        <w:rPr>
          <w:rFonts w:ascii="Arial" w:hAnsi="Arial" w:cs="Arial" w:hint="eastAsia"/>
          <w:sz w:val="20"/>
          <w:szCs w:val="20"/>
          <w:rtl/>
          <w:lang w:val="en-GB"/>
        </w:rPr>
        <w:t>ועד היום</w:t>
      </w:r>
      <w:r>
        <w:rPr>
          <w:rFonts w:ascii="Arial" w:hAnsi="Arial" w:cs="Arial" w:hint="eastAsia"/>
          <w:sz w:val="20"/>
          <w:szCs w:val="20"/>
          <w:rtl/>
        </w:rPr>
        <w:t>-2019</w:t>
      </w:r>
      <w:r>
        <w:rPr>
          <w:rFonts w:ascii="Arial" w:hAnsi="Arial" w:cs="Arial" w:hint="eastAsia"/>
          <w:b/>
          <w:bCs/>
          <w:sz w:val="20"/>
          <w:szCs w:val="20"/>
          <w:rtl/>
        </w:rPr>
        <w:t xml:space="preserve">    </w:t>
      </w:r>
      <w:r>
        <w:rPr>
          <w:rFonts w:ascii="Arial" w:hAnsi="Arial" w:cs="Arial" w:hint="eastAsia"/>
          <w:b/>
          <w:bCs/>
          <w:sz w:val="20"/>
          <w:szCs w:val="20"/>
          <w:u w:val="single"/>
          <w:rtl/>
        </w:rPr>
        <w:t>חברה ארצית בתחום עיצוב הבית</w:t>
      </w:r>
      <w:r>
        <w:rPr>
          <w:rFonts w:ascii="Arial" w:hAnsi="Arial" w:cs="Arial" w:hint="eastAsia"/>
          <w:sz w:val="20"/>
          <w:szCs w:val="20"/>
          <w:rtl/>
        </w:rPr>
        <w:t>- מנהל אולם תצוגה בחום הבנייה והעיצוב</w:t>
      </w:r>
    </w:p>
    <w:p w:rsidR="00000000" w:rsidRDefault="00000000">
      <w:pPr>
        <w:numPr>
          <w:ilvl w:val="0"/>
          <w:numId w:val="4"/>
        </w:numPr>
        <w:spacing w:line="288" w:lineRule="auto"/>
        <w:jc w:val="left"/>
        <w:rPr>
          <w:rFonts w:ascii="Arial" w:hAnsi="Arial" w:cs="Arial" w:hint="eastAsia"/>
          <w:color w:val="333333"/>
          <w:sz w:val="20"/>
          <w:szCs w:val="20"/>
          <w:rtl/>
        </w:rPr>
      </w:pPr>
      <w:r>
        <w:rPr>
          <w:rFonts w:ascii="Arial" w:hAnsi="Arial" w:cs="Arial" w:hint="eastAsia"/>
          <w:sz w:val="20"/>
          <w:szCs w:val="20"/>
          <w:rtl/>
        </w:rPr>
        <w:t>הקמת וניהול מערך המכירות בסניף</w:t>
      </w:r>
    </w:p>
    <w:p w:rsidR="00000000" w:rsidRDefault="00000000">
      <w:pPr>
        <w:numPr>
          <w:ilvl w:val="0"/>
          <w:numId w:val="4"/>
        </w:numPr>
        <w:spacing w:line="288" w:lineRule="auto"/>
        <w:jc w:val="left"/>
        <w:rPr>
          <w:rFonts w:ascii="Arial" w:hAnsi="Arial" w:cs="Arial" w:hint="eastAsia"/>
          <w:sz w:val="20"/>
          <w:szCs w:val="20"/>
          <w:rtl/>
        </w:rPr>
      </w:pPr>
      <w:r>
        <w:rPr>
          <w:rFonts w:ascii="Arial" w:hAnsi="Arial" w:cs="Arial" w:hint="eastAsia"/>
          <w:color w:val="333333"/>
          <w:sz w:val="20"/>
          <w:szCs w:val="20"/>
          <w:rtl/>
        </w:rPr>
        <w:t>ניהול הסניף בתחום המקצועי ניהול צוות עובדים,הובלת צוות המכירות, לעמידה ביעדיים</w:t>
      </w:r>
      <w:r>
        <w:rPr>
          <w:rFonts w:ascii="Arial" w:hAnsi="Arial" w:cs="Arial" w:hint="eastAsia"/>
          <w:sz w:val="20"/>
          <w:szCs w:val="20"/>
          <w:rtl/>
        </w:rPr>
        <w:br/>
      </w:r>
      <w:r>
        <w:rPr>
          <w:rFonts w:ascii="Arial" w:hAnsi="Arial" w:cs="Arial" w:hint="eastAsia"/>
          <w:color w:val="333333"/>
          <w:sz w:val="20"/>
          <w:szCs w:val="20"/>
          <w:rtl/>
        </w:rPr>
        <w:t>ניהול מו"מ מסחרי עם לקוחות במגזר הפרטי,קבלני,עבודה מול אדריכלים ואנשי מקצוע</w:t>
      </w:r>
      <w:r>
        <w:rPr>
          <w:rFonts w:ascii="Arial" w:hAnsi="Arial" w:cs="Arial" w:hint="eastAsia"/>
          <w:sz w:val="20"/>
          <w:szCs w:val="20"/>
          <w:rtl/>
        </w:rPr>
        <w:t xml:space="preserve"> </w:t>
      </w:r>
    </w:p>
    <w:p w:rsidR="00000000" w:rsidRDefault="00000000">
      <w:pPr>
        <w:numPr>
          <w:ilvl w:val="0"/>
          <w:numId w:val="4"/>
        </w:numPr>
        <w:spacing w:line="288" w:lineRule="auto"/>
        <w:jc w:val="left"/>
        <w:rPr>
          <w:rFonts w:ascii="Arial" w:hAnsi="Arial" w:cs="Arial" w:hint="eastAsia"/>
          <w:sz w:val="20"/>
          <w:szCs w:val="20"/>
          <w:rtl/>
        </w:rPr>
      </w:pPr>
      <w:r>
        <w:rPr>
          <w:rFonts w:ascii="Arial" w:hAnsi="Arial" w:cs="Arial" w:hint="eastAsia"/>
          <w:sz w:val="20"/>
          <w:szCs w:val="20"/>
          <w:rtl/>
        </w:rPr>
        <w:t>ניהול צוות מכירות מורכב להשגת יעדי החברה</w:t>
      </w:r>
    </w:p>
    <w:p w:rsidR="00000000" w:rsidRDefault="00000000">
      <w:pPr>
        <w:numPr>
          <w:ilvl w:val="0"/>
          <w:numId w:val="4"/>
        </w:numPr>
        <w:spacing w:line="288" w:lineRule="auto"/>
        <w:jc w:val="left"/>
        <w:rPr>
          <w:rFonts w:ascii="Arial" w:hAnsi="Arial" w:cs="Arial" w:hint="eastAsia"/>
          <w:sz w:val="21"/>
          <w:szCs w:val="21"/>
          <w:rtl/>
        </w:rPr>
      </w:pPr>
      <w:r>
        <w:rPr>
          <w:rFonts w:ascii="Arial" w:hAnsi="Arial" w:cs="Arial" w:hint="eastAsia"/>
          <w:sz w:val="20"/>
          <w:szCs w:val="20"/>
          <w:rtl/>
        </w:rPr>
        <w:t>גיבוש מדיניות מסחרית סוחרים/ לקוחות פרטיים</w:t>
      </w:r>
    </w:p>
    <w:p w:rsidR="00000000" w:rsidRDefault="00000000">
      <w:pPr>
        <w:tabs>
          <w:tab w:val="left" w:pos="1189"/>
        </w:tabs>
        <w:spacing w:line="288" w:lineRule="auto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sz w:val="21"/>
          <w:szCs w:val="21"/>
          <w:rtl/>
        </w:rPr>
        <w:t xml:space="preserve">2010 -2018:  </w:t>
      </w:r>
      <w:r>
        <w:rPr>
          <w:rFonts w:ascii="Arial" w:hAnsi="Arial" w:cs="Arial"/>
          <w:b/>
          <w:bCs/>
          <w:sz w:val="20"/>
          <w:szCs w:val="20"/>
          <w:u w:val="single"/>
          <w:rtl/>
        </w:rPr>
        <w:t>מנהל מכירות וסחר ארצי</w:t>
      </w:r>
      <w:r>
        <w:rPr>
          <w:rFonts w:ascii="Arial" w:hAnsi="Arial" w:cs="Arial" w:hint="eastAsia"/>
          <w:b/>
          <w:bCs/>
          <w:sz w:val="20"/>
          <w:szCs w:val="20"/>
          <w:u w:val="single"/>
          <w:rtl/>
        </w:rPr>
        <w:t>,</w:t>
      </w:r>
      <w:r>
        <w:rPr>
          <w:rFonts w:ascii="Arial" w:hAnsi="Arial" w:cs="Arial"/>
          <w:b/>
          <w:bCs/>
          <w:sz w:val="20"/>
          <w:szCs w:val="20"/>
          <w:u w:val="single"/>
          <w:rtl/>
        </w:rPr>
        <w:t xml:space="preserve"> </w:t>
      </w:r>
      <w:r>
        <w:rPr>
          <w:rFonts w:ascii="Arial" w:hAnsi="Arial" w:cs="Arial" w:hint="eastAsia"/>
          <w:sz w:val="20"/>
          <w:szCs w:val="20"/>
          <w:rtl/>
        </w:rPr>
        <w:t>(</w:t>
      </w:r>
      <w:r>
        <w:rPr>
          <w:rFonts w:ascii="Arial" w:hAnsi="Arial" w:cs="Arial"/>
          <w:sz w:val="20"/>
          <w:szCs w:val="20"/>
          <w:rtl/>
        </w:rPr>
        <w:t>חברה קמעונאית</w:t>
      </w:r>
      <w:r>
        <w:rPr>
          <w:rFonts w:ascii="Arial" w:hAnsi="Arial" w:cs="Arial" w:hint="eastAsia"/>
          <w:sz w:val="20"/>
          <w:szCs w:val="20"/>
          <w:rtl/>
        </w:rPr>
        <w:t>)</w:t>
      </w:r>
      <w:r>
        <w:rPr>
          <w:rFonts w:ascii="Arial" w:hAnsi="Arial" w:cs="Arial"/>
          <w:sz w:val="20"/>
          <w:szCs w:val="20"/>
          <w:rtl/>
        </w:rPr>
        <w:t xml:space="preserve"> 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אחריות לפיתוח המוצרים והפעילות המסחרית והעסקית, גיבוש אסטרטגית המכירות והוצאתה לפועל.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בנית תוכניות העבודה וניהול התקציב</w:t>
      </w:r>
      <w:r>
        <w:rPr>
          <w:rFonts w:ascii="Arial" w:hAnsi="Arial" w:cs="Arial" w:hint="eastAsia"/>
          <w:sz w:val="20"/>
          <w:szCs w:val="20"/>
          <w:rtl/>
        </w:rPr>
        <w:t>, הגדרת יעדי מכירות, עזרי מכירה, תגמול ותמריצים.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ניהול צוותי המכירות באולמות התצוגה</w:t>
      </w:r>
      <w:r>
        <w:rPr>
          <w:rFonts w:ascii="Arial" w:hAnsi="Arial" w:cs="Arial" w:hint="eastAsia"/>
          <w:sz w:val="20"/>
          <w:szCs w:val="20"/>
          <w:rtl/>
        </w:rPr>
        <w:t>; גיוס וקליטה, הדרכה שוטפת, ליווי מקצועי ובקרת ביצועים.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הנעת פעילות מול המגזר המקצועי</w:t>
      </w:r>
      <w:r>
        <w:rPr>
          <w:rFonts w:ascii="Arial" w:hAnsi="Arial" w:cs="Arial" w:hint="eastAsia"/>
          <w:sz w:val="20"/>
          <w:szCs w:val="20"/>
          <w:rtl/>
        </w:rPr>
        <w:t>; אדריכלים,מפקחים, קבלנים  מענה למכרזים וסגירת הסכמים מסחרים 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ניהול המרקום-בנית אתר האינטרנט</w:t>
      </w:r>
      <w:r>
        <w:rPr>
          <w:rFonts w:ascii="Arial" w:hAnsi="Arial" w:cs="Arial" w:hint="eastAsia"/>
          <w:sz w:val="20"/>
          <w:szCs w:val="20"/>
          <w:rtl/>
        </w:rPr>
        <w:t>, קידום מוצרים ותחזוקה, פיתוח קטלוגים, ברושורים ועזרי מכירה.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עבודה מול ספקים בינ"ל;</w:t>
      </w:r>
      <w:r>
        <w:rPr>
          <w:rFonts w:ascii="Arial" w:hAnsi="Arial" w:cs="Arial" w:hint="eastAsia"/>
          <w:sz w:val="20"/>
          <w:szCs w:val="20"/>
          <w:rtl/>
        </w:rPr>
        <w:t xml:space="preserve"> איתור, בחירת המוצרים  וקביעת מדיניות, סגירת תהליך העבודה וההזמנות.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ניהול מערך קשרי אדריכלים</w:t>
      </w:r>
      <w:r>
        <w:rPr>
          <w:rFonts w:ascii="Arial" w:hAnsi="Arial" w:cs="Arial" w:hint="eastAsia"/>
          <w:sz w:val="20"/>
          <w:szCs w:val="20"/>
          <w:rtl/>
        </w:rPr>
        <w:t>; הרחבת הפעילות, מענה למכרזים, פיתוח שת"פ כולל קביעת תגמולים.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ארגון כנסים לאנשי מקצוע</w:t>
      </w:r>
      <w:r>
        <w:rPr>
          <w:rFonts w:ascii="Arial" w:hAnsi="Arial" w:cs="Arial" w:hint="eastAsia"/>
          <w:sz w:val="20"/>
          <w:szCs w:val="20"/>
          <w:rtl/>
        </w:rPr>
        <w:t>; תכנון וארגון, קביעת תכנים ואחריות ליישום בשטח.</w:t>
      </w:r>
    </w:p>
    <w:p w:rsidR="00000000" w:rsidRDefault="00000000">
      <w:pPr>
        <w:numPr>
          <w:ilvl w:val="0"/>
          <w:numId w:val="2"/>
        </w:numPr>
        <w:tabs>
          <w:tab w:val="left" w:pos="1427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 xml:space="preserve">ניתוח דוחות </w:t>
      </w:r>
      <w:r>
        <w:rPr>
          <w:rFonts w:ascii="Arial" w:hAnsi="Arial" w:cs="Arial" w:hint="eastAsia"/>
          <w:sz w:val="20"/>
          <w:szCs w:val="20"/>
          <w:rtl/>
        </w:rPr>
        <w:t>והנעת תהליכים לטיוב הפעילות לצד הכנת מצגות והצגה להנהלה.</w:t>
      </w:r>
    </w:p>
    <w:p w:rsidR="00000000" w:rsidRDefault="00000000">
      <w:pPr>
        <w:numPr>
          <w:ilvl w:val="0"/>
          <w:numId w:val="1"/>
        </w:numPr>
        <w:tabs>
          <w:tab w:val="left" w:pos="1413"/>
        </w:tabs>
        <w:spacing w:line="288" w:lineRule="auto"/>
        <w:ind w:right="-284" w:hanging="790"/>
        <w:jc w:val="left"/>
        <w:rPr>
          <w:rFonts w:ascii="Arial" w:hAnsi="Arial" w:cs="Arial"/>
          <w:sz w:val="21"/>
          <w:szCs w:val="21"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הישג מרכזי: מיצוב החברה כיוקרתית ואיכותית לצד  הובלה לגידול של כ- 35% במכירות.</w:t>
      </w:r>
    </w:p>
    <w:p w:rsidR="00000000" w:rsidRDefault="00000000">
      <w:pPr>
        <w:tabs>
          <w:tab w:val="left" w:pos="1175"/>
        </w:tabs>
        <w:spacing w:line="288" w:lineRule="auto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/>
          <w:sz w:val="21"/>
          <w:szCs w:val="21"/>
        </w:rPr>
        <w:t>2010-2009</w:t>
      </w:r>
      <w:r>
        <w:rPr>
          <w:rFonts w:ascii="Arial" w:hAnsi="Arial" w:cs="Arial"/>
          <w:sz w:val="21"/>
          <w:szCs w:val="21"/>
          <w:rtl/>
        </w:rPr>
        <w:t xml:space="preserve">: </w:t>
      </w:r>
      <w:r>
        <w:rPr>
          <w:rFonts w:ascii="Arial" w:hAnsi="Arial" w:cs="Arial" w:hint="eastAsia"/>
          <w:sz w:val="21"/>
          <w:szCs w:val="21"/>
          <w:rtl/>
        </w:rPr>
        <w:tab/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מנהל מכירות וסחר ארצי</w:t>
      </w:r>
      <w:r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, מאפית</w:t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 xml:space="preserve"> דגנית עין בר</w:t>
      </w:r>
      <w:r>
        <w:rPr>
          <w:rFonts w:ascii="Arial" w:hAnsi="Arial" w:cs="Arial"/>
          <w:sz w:val="21"/>
          <w:szCs w:val="21"/>
          <w:rtl/>
        </w:rPr>
        <w:t xml:space="preserve"> 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 xml:space="preserve">ניהול </w:t>
      </w:r>
      <w:r>
        <w:rPr>
          <w:rFonts w:ascii="Arial" w:hAnsi="Arial" w:cs="Arial"/>
          <w:b/>
          <w:bCs/>
          <w:sz w:val="20"/>
          <w:szCs w:val="20"/>
          <w:rtl/>
        </w:rPr>
        <w:t xml:space="preserve">פעילות </w:t>
      </w:r>
      <w:r>
        <w:rPr>
          <w:rFonts w:ascii="Arial" w:hAnsi="Arial" w:cs="Arial" w:hint="eastAsia"/>
          <w:b/>
          <w:bCs/>
          <w:sz w:val="20"/>
          <w:szCs w:val="20"/>
          <w:rtl/>
        </w:rPr>
        <w:t>המכירות והסחר</w:t>
      </w:r>
      <w:r>
        <w:rPr>
          <w:rFonts w:ascii="Arial" w:hAnsi="Arial" w:cs="Arial"/>
          <w:b/>
          <w:bCs/>
          <w:sz w:val="20"/>
          <w:szCs w:val="20"/>
          <w:rtl/>
        </w:rPr>
        <w:t xml:space="preserve"> מול רשתות השיווק ורשת</w:t>
      </w:r>
      <w:r>
        <w:rPr>
          <w:rFonts w:ascii="Arial" w:hAnsi="Arial" w:cs="Arial" w:hint="eastAsia"/>
          <w:b/>
          <w:bCs/>
          <w:sz w:val="20"/>
          <w:szCs w:val="20"/>
          <w:rtl/>
        </w:rPr>
        <w:t xml:space="preserve"> </w:t>
      </w:r>
      <w:r>
        <w:rPr>
          <w:rFonts w:ascii="Arial" w:hAnsi="Arial" w:cs="Arial"/>
          <w:b/>
          <w:bCs/>
          <w:sz w:val="20"/>
          <w:szCs w:val="20"/>
          <w:rtl/>
        </w:rPr>
        <w:t>4</w:t>
      </w:r>
      <w:r>
        <w:rPr>
          <w:rFonts w:ascii="Arial" w:hAnsi="Arial" w:cs="Arial" w:hint="eastAsia"/>
          <w:b/>
          <w:bCs/>
          <w:sz w:val="20"/>
          <w:szCs w:val="20"/>
          <w:rtl/>
        </w:rPr>
        <w:t>,</w:t>
      </w:r>
      <w:r>
        <w:rPr>
          <w:rFonts w:ascii="Arial" w:hAnsi="Arial" w:cs="Arial" w:hint="eastAsia"/>
          <w:sz w:val="20"/>
          <w:szCs w:val="20"/>
          <w:rtl/>
        </w:rPr>
        <w:t xml:space="preserve"> קביעת מדיניות הסחר וסגירת הסכמים.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עבודה מול מנהלי הקטגוריות</w:t>
      </w:r>
      <w:r>
        <w:rPr>
          <w:rFonts w:ascii="Arial" w:hAnsi="Arial" w:cs="Arial" w:hint="eastAsia"/>
          <w:sz w:val="20"/>
          <w:szCs w:val="20"/>
          <w:rtl/>
        </w:rPr>
        <w:t>; השקות והחדרת מוצרים חדשים, קביעת מדיניות הנחות, מבצעים, נראות,</w:t>
      </w:r>
    </w:p>
    <w:p w:rsidR="00000000" w:rsidRDefault="00000000">
      <w:pPr>
        <w:tabs>
          <w:tab w:val="left" w:pos="1413"/>
        </w:tabs>
        <w:spacing w:line="288" w:lineRule="auto"/>
        <w:ind w:left="1217"/>
        <w:jc w:val="left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eastAsia"/>
          <w:sz w:val="20"/>
          <w:szCs w:val="20"/>
          <w:rtl/>
        </w:rPr>
        <w:tab/>
        <w:t>שטחי מדף ופלנוגרמות, השתתפות בפעילויות של מועדוני הלקוחות.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 xml:space="preserve">ניהול מנהלי </w:t>
      </w:r>
      <w:r>
        <w:rPr>
          <w:rFonts w:ascii="Arial" w:hAnsi="Arial" w:cs="Arial" w:hint="eastAsia"/>
          <w:b/>
          <w:bCs/>
          <w:sz w:val="20"/>
          <w:szCs w:val="20"/>
          <w:rtl/>
        </w:rPr>
        <w:t>המ</w:t>
      </w:r>
      <w:r>
        <w:rPr>
          <w:rFonts w:ascii="Arial" w:hAnsi="Arial" w:cs="Arial"/>
          <w:b/>
          <w:bCs/>
          <w:sz w:val="20"/>
          <w:szCs w:val="20"/>
          <w:rtl/>
        </w:rPr>
        <w:t>רחב</w:t>
      </w:r>
      <w:r>
        <w:rPr>
          <w:rFonts w:ascii="Arial" w:hAnsi="Arial" w:cs="Arial" w:hint="eastAsia"/>
          <w:b/>
          <w:bCs/>
          <w:sz w:val="20"/>
          <w:szCs w:val="20"/>
          <w:rtl/>
        </w:rPr>
        <w:t>ים;</w:t>
      </w:r>
      <w:r>
        <w:rPr>
          <w:rFonts w:ascii="Arial" w:hAnsi="Arial" w:cs="Arial" w:hint="eastAsia"/>
          <w:sz w:val="20"/>
          <w:szCs w:val="20"/>
          <w:rtl/>
        </w:rPr>
        <w:t xml:space="preserve"> הגדרת יעדים והטמעת מדדי איכות, </w:t>
      </w:r>
      <w:r>
        <w:rPr>
          <w:rFonts w:ascii="Arial" w:hAnsi="Arial" w:cs="Arial"/>
          <w:sz w:val="20"/>
          <w:szCs w:val="20"/>
          <w:rtl/>
        </w:rPr>
        <w:t>ייעול תהליכי עבודה</w:t>
      </w:r>
      <w:r>
        <w:rPr>
          <w:rFonts w:ascii="Arial" w:hAnsi="Arial" w:cs="Arial" w:hint="eastAsia"/>
          <w:sz w:val="20"/>
          <w:szCs w:val="20"/>
          <w:rtl/>
        </w:rPr>
        <w:t xml:space="preserve"> והנעה להגדלת המכירות.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ניהול פעילות הקד"מ</w:t>
      </w:r>
      <w:r>
        <w:rPr>
          <w:rFonts w:ascii="Arial" w:hAnsi="Arial" w:cs="Arial" w:hint="eastAsia"/>
          <w:sz w:val="20"/>
          <w:szCs w:val="20"/>
          <w:rtl/>
        </w:rPr>
        <w:t>; תכנון ובקרת הפעילות השוטפת בשטח (סדרנות ומכירות).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sz w:val="21"/>
          <w:szCs w:val="21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>שיווק</w:t>
      </w:r>
      <w:r>
        <w:rPr>
          <w:rFonts w:ascii="Arial" w:hAnsi="Arial" w:cs="Arial" w:hint="eastAsia"/>
          <w:b/>
          <w:bCs/>
          <w:sz w:val="20"/>
          <w:szCs w:val="20"/>
          <w:rtl/>
        </w:rPr>
        <w:t>;</w:t>
      </w:r>
      <w:r>
        <w:rPr>
          <w:rFonts w:ascii="Arial" w:hAnsi="Arial" w:cs="Arial" w:hint="eastAsia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  <w:rtl/>
        </w:rPr>
        <w:t xml:space="preserve">בניית תוכנית שנתית, </w:t>
      </w:r>
      <w:r>
        <w:rPr>
          <w:rFonts w:ascii="Arial" w:hAnsi="Arial" w:cs="Arial" w:hint="eastAsia"/>
          <w:sz w:val="20"/>
          <w:szCs w:val="20"/>
          <w:rtl/>
        </w:rPr>
        <w:t>פיתוח מ</w:t>
      </w:r>
      <w:r>
        <w:rPr>
          <w:rFonts w:ascii="Arial" w:hAnsi="Arial" w:cs="Arial"/>
          <w:sz w:val="20"/>
          <w:szCs w:val="20"/>
          <w:rtl/>
        </w:rPr>
        <w:t>וצרים חדשים</w:t>
      </w:r>
      <w:r>
        <w:rPr>
          <w:rFonts w:ascii="Arial" w:hAnsi="Arial" w:cs="Arial"/>
          <w:sz w:val="20"/>
          <w:szCs w:val="20"/>
        </w:rPr>
        <w:t>.</w:t>
      </w:r>
      <w:r>
        <w:rPr>
          <w:rFonts w:ascii="Arial" w:hAnsi="Arial" w:cs="Arial"/>
          <w:sz w:val="20"/>
          <w:szCs w:val="20"/>
          <w:rtl/>
        </w:rPr>
        <w:t xml:space="preserve"> </w:t>
      </w:r>
      <w:r>
        <w:rPr>
          <w:rFonts w:ascii="Arial" w:hAnsi="Arial" w:cs="Arial" w:hint="eastAsia"/>
          <w:sz w:val="20"/>
          <w:szCs w:val="20"/>
          <w:rtl/>
        </w:rPr>
        <w:t>עבודת ממשקים( טרייד מרקטינג,שיווק,כספים,לוג')</w:t>
      </w:r>
      <w:r>
        <w:rPr>
          <w:rFonts w:ascii="Arial" w:hAnsi="Arial" w:cs="Arial"/>
          <w:sz w:val="20"/>
          <w:szCs w:val="20"/>
          <w:rtl/>
        </w:rPr>
        <w:t xml:space="preserve">   </w:t>
      </w:r>
      <w:r>
        <w:rPr>
          <w:rFonts w:ascii="Arial" w:hAnsi="Arial" w:cs="Arial"/>
          <w:sz w:val="21"/>
          <w:szCs w:val="21"/>
          <w:rtl/>
        </w:rPr>
        <w:t xml:space="preserve">      </w:t>
      </w:r>
    </w:p>
    <w:p w:rsidR="00000000" w:rsidRDefault="00000000">
      <w:pPr>
        <w:spacing w:line="288" w:lineRule="auto"/>
        <w:jc w:val="left"/>
        <w:rPr>
          <w:rFonts w:ascii="Arial" w:hAnsi="Arial" w:cs="Arial"/>
          <w:sz w:val="10"/>
          <w:szCs w:val="10"/>
          <w:rtl/>
        </w:rPr>
      </w:pPr>
      <w:r>
        <w:rPr>
          <w:rFonts w:ascii="Arial" w:hAnsi="Arial" w:cs="Arial" w:hint="eastAsia"/>
          <w:sz w:val="21"/>
          <w:szCs w:val="21"/>
          <w:rtl/>
        </w:rPr>
        <w:t xml:space="preserve">2009-2001:  </w:t>
      </w:r>
      <w:r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קבוצת שטראוס גרופ</w:t>
      </w:r>
      <w:r>
        <w:rPr>
          <w:rFonts w:ascii="Arial" w:hAnsi="Arial" w:cs="Arial"/>
          <w:sz w:val="21"/>
          <w:szCs w:val="21"/>
          <w:rtl/>
        </w:rPr>
        <w:t xml:space="preserve">  </w:t>
      </w:r>
    </w:p>
    <w:p w:rsidR="00000000" w:rsidRDefault="00000000">
      <w:pPr>
        <w:spacing w:line="288" w:lineRule="auto"/>
        <w:jc w:val="left"/>
        <w:rPr>
          <w:rFonts w:ascii="Arial" w:hAnsi="Arial" w:cs="Arial"/>
          <w:sz w:val="10"/>
          <w:szCs w:val="10"/>
          <w:rtl/>
        </w:rPr>
      </w:pPr>
    </w:p>
    <w:p w:rsidR="00000000" w:rsidRDefault="00000000">
      <w:pPr>
        <w:tabs>
          <w:tab w:val="left" w:pos="1189"/>
        </w:tabs>
        <w:spacing w:line="288" w:lineRule="auto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sz w:val="21"/>
          <w:szCs w:val="21"/>
          <w:rtl/>
        </w:rPr>
        <w:tab/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מנהל מרחב צפון - שטראוס גרו</w:t>
      </w:r>
      <w:r>
        <w:rPr>
          <w:rFonts w:ascii="Arial" w:hAnsi="Arial" w:cs="Arial" w:hint="eastAsia"/>
          <w:b/>
          <w:bCs/>
          <w:sz w:val="21"/>
          <w:szCs w:val="21"/>
          <w:u w:val="single"/>
          <w:rtl/>
        </w:rPr>
        <w:t>פ</w:t>
      </w:r>
      <w:r>
        <w:rPr>
          <w:rFonts w:ascii="Arial" w:hAnsi="Arial" w:cs="Arial" w:hint="eastAsia"/>
          <w:sz w:val="21"/>
          <w:szCs w:val="21"/>
          <w:rtl/>
        </w:rPr>
        <w:t xml:space="preserve"> (2009-2006)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ניהול קטגוריות יבש ומצונן</w:t>
      </w:r>
      <w:r>
        <w:rPr>
          <w:rFonts w:ascii="Arial" w:hAnsi="Arial" w:cs="Arial" w:hint="eastAsia"/>
          <w:sz w:val="20"/>
          <w:szCs w:val="20"/>
          <w:rtl/>
        </w:rPr>
        <w:t xml:space="preserve"> (עקב המיזוג של 2 החברות) הטמעת האסטרטגיה, תהליכי העבודה ונהלים.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 xml:space="preserve">הובלת תהליכים לחיזוק הקשר מול החנויות </w:t>
      </w:r>
      <w:r>
        <w:rPr>
          <w:rFonts w:ascii="Arial" w:hAnsi="Arial" w:cs="Arial" w:hint="eastAsia"/>
          <w:sz w:val="20"/>
          <w:szCs w:val="20"/>
          <w:rtl/>
        </w:rPr>
        <w:t>והטמעת הקטגוריות בפעילות השוטפת.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אחריות לתוצאות העסקיות</w:t>
      </w:r>
      <w:r>
        <w:rPr>
          <w:rFonts w:ascii="Arial" w:hAnsi="Arial" w:cs="Arial" w:hint="eastAsia"/>
          <w:sz w:val="20"/>
          <w:szCs w:val="20"/>
          <w:rtl/>
        </w:rPr>
        <w:t>, הכנת תוכנית עבודה, ניהול תקציבים, קביעת יעדים חודשיים/ שנתיים 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97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/>
          <w:b/>
          <w:bCs/>
          <w:sz w:val="20"/>
          <w:szCs w:val="20"/>
          <w:rtl/>
        </w:rPr>
        <w:t>ניהול מנהלי מכירות אזורים</w:t>
      </w:r>
      <w:r>
        <w:rPr>
          <w:rFonts w:ascii="Arial" w:hAnsi="Arial" w:cs="Arial" w:hint="eastAsia"/>
          <w:sz w:val="20"/>
          <w:szCs w:val="20"/>
          <w:rtl/>
        </w:rPr>
        <w:t xml:space="preserve">, ליווי בשטח והנעה להשגת היעדים תוך בקרה ומשוב. 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97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חניכה והדרכת המנהלים</w:t>
      </w:r>
      <w:r>
        <w:rPr>
          <w:rFonts w:ascii="Arial" w:hAnsi="Arial" w:cs="Arial" w:hint="eastAsia"/>
          <w:sz w:val="20"/>
          <w:szCs w:val="20"/>
          <w:rtl/>
        </w:rPr>
        <w:t xml:space="preserve"> </w:t>
      </w:r>
      <w:r>
        <w:rPr>
          <w:rFonts w:ascii="Arial" w:hAnsi="Arial" w:cs="Arial" w:hint="eastAsia"/>
          <w:b/>
          <w:bCs/>
          <w:sz w:val="20"/>
          <w:szCs w:val="20"/>
          <w:rtl/>
        </w:rPr>
        <w:t>לטיוב פעילות המכירות והשירות</w:t>
      </w:r>
      <w:r>
        <w:rPr>
          <w:rFonts w:ascii="Arial" w:hAnsi="Arial" w:cs="Arial" w:hint="eastAsia"/>
          <w:sz w:val="20"/>
          <w:szCs w:val="20"/>
          <w:rtl/>
        </w:rPr>
        <w:t>, פיתוח תוכניות והעברת מתודות ועזרי מכירה.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69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אחריות על אמצעי הנראות בנקודות</w:t>
      </w:r>
      <w:r>
        <w:rPr>
          <w:rFonts w:ascii="Arial" w:hAnsi="Arial" w:cs="Arial" w:hint="eastAsia"/>
          <w:sz w:val="20"/>
          <w:szCs w:val="20"/>
          <w:rtl/>
        </w:rPr>
        <w:t xml:space="preserve"> (עזרים, שטחי מדף, פלנוגרמות ועוד).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97"/>
        <w:jc w:val="left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ממשק עבודה שוטף למול המערך הלוגיסטי</w:t>
      </w:r>
      <w:r>
        <w:rPr>
          <w:rFonts w:ascii="Arial" w:hAnsi="Arial" w:cs="Arial" w:hint="eastAsia"/>
          <w:sz w:val="20"/>
          <w:szCs w:val="20"/>
          <w:rtl/>
        </w:rPr>
        <w:t xml:space="preserve"> לטובת עמידה ביעדי הפצה תוך טיפול בבעיות בשטח.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97"/>
        <w:jc w:val="left"/>
        <w:rPr>
          <w:rFonts w:ascii="Arial" w:hAnsi="Arial" w:cs="Arial"/>
          <w:sz w:val="10"/>
          <w:szCs w:val="10"/>
          <w:rtl/>
        </w:rPr>
      </w:pPr>
      <w:r>
        <w:rPr>
          <w:rFonts w:ascii="Arial" w:hAnsi="Arial" w:cs="Arial"/>
          <w:sz w:val="20"/>
          <w:szCs w:val="20"/>
          <w:rtl/>
        </w:rPr>
        <w:tab/>
      </w:r>
      <w:r>
        <w:rPr>
          <w:rFonts w:ascii="Arial" w:hAnsi="Arial" w:cs="Arial" w:hint="eastAsia"/>
          <w:b/>
          <w:bCs/>
          <w:sz w:val="20"/>
          <w:szCs w:val="20"/>
          <w:rtl/>
        </w:rPr>
        <w:t>ייעול ושיפור תהליכים</w:t>
      </w:r>
      <w:r>
        <w:rPr>
          <w:rFonts w:ascii="Arial" w:hAnsi="Arial" w:cs="Arial" w:hint="eastAsia"/>
          <w:sz w:val="20"/>
          <w:szCs w:val="20"/>
          <w:rtl/>
        </w:rPr>
        <w:t>; בקרת התהליכים העסקיים ניתוח והובלה להרחבת פעילות ושיפור רווחיות</w:t>
      </w:r>
      <w:r>
        <w:rPr>
          <w:rFonts w:ascii="Arial" w:hAnsi="Arial" w:cs="Arial" w:hint="eastAsia"/>
          <w:sz w:val="21"/>
          <w:szCs w:val="21"/>
          <w:rtl/>
        </w:rPr>
        <w:t xml:space="preserve">. </w:t>
      </w:r>
    </w:p>
    <w:p w:rsidR="00000000" w:rsidRDefault="00000000">
      <w:pPr>
        <w:tabs>
          <w:tab w:val="left" w:pos="3430"/>
        </w:tabs>
        <w:spacing w:line="288" w:lineRule="auto"/>
        <w:jc w:val="left"/>
        <w:rPr>
          <w:rFonts w:ascii="Arial" w:hAnsi="Arial" w:cs="Arial"/>
          <w:sz w:val="10"/>
          <w:szCs w:val="10"/>
          <w:rtl/>
        </w:rPr>
      </w:pPr>
    </w:p>
    <w:p w:rsidR="00000000" w:rsidRDefault="00000000">
      <w:pPr>
        <w:tabs>
          <w:tab w:val="left" w:pos="1217"/>
        </w:tabs>
        <w:spacing w:line="288" w:lineRule="auto"/>
        <w:jc w:val="left"/>
        <w:rPr>
          <w:rFonts w:ascii="Arial" w:hAnsi="Arial" w:cs="Arial" w:hint="eastAsia"/>
          <w:b/>
          <w:bCs/>
          <w:sz w:val="20"/>
          <w:szCs w:val="20"/>
          <w:rtl/>
        </w:rPr>
      </w:pPr>
      <w:r>
        <w:rPr>
          <w:rFonts w:ascii="Arial" w:hAnsi="Arial" w:cs="Arial" w:hint="eastAsia"/>
          <w:sz w:val="21"/>
          <w:szCs w:val="21"/>
          <w:rtl/>
        </w:rPr>
        <w:tab/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מנהל מרחב</w:t>
      </w:r>
      <w:r>
        <w:rPr>
          <w:rFonts w:ascii="Arial" w:hAnsi="Arial" w:cs="Arial" w:hint="eastAsia"/>
          <w:b/>
          <w:bCs/>
          <w:sz w:val="21"/>
          <w:szCs w:val="21"/>
          <w:u w:val="single"/>
          <w:rtl/>
        </w:rPr>
        <w:t xml:space="preserve"> שוק מאורגן, </w:t>
      </w:r>
      <w:r>
        <w:rPr>
          <w:rFonts w:ascii="Arial" w:hAnsi="Arial" w:cs="Arial"/>
          <w:b/>
          <w:bCs/>
          <w:sz w:val="21"/>
          <w:szCs w:val="21"/>
          <w:u w:val="single"/>
          <w:rtl/>
        </w:rPr>
        <w:t>חב' עלית</w:t>
      </w:r>
      <w:r>
        <w:rPr>
          <w:rFonts w:ascii="Arial" w:hAnsi="Arial" w:cs="Arial" w:hint="eastAsia"/>
          <w:sz w:val="21"/>
          <w:szCs w:val="21"/>
          <w:rtl/>
        </w:rPr>
        <w:t xml:space="preserve"> (2006-2001)</w:t>
      </w:r>
      <w:r>
        <w:rPr>
          <w:rFonts w:ascii="Arial" w:hAnsi="Arial" w:cs="Arial"/>
          <w:sz w:val="21"/>
          <w:szCs w:val="21"/>
          <w:rtl/>
        </w:rPr>
        <w:t xml:space="preserve"> 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right="-284" w:firstLine="469"/>
        <w:jc w:val="left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eastAsia"/>
          <w:b/>
          <w:bCs/>
          <w:sz w:val="20"/>
          <w:szCs w:val="20"/>
          <w:rtl/>
        </w:rPr>
        <w:t>אחריות לתוצאות העסקיות של המרחב</w:t>
      </w:r>
      <w:r>
        <w:rPr>
          <w:rFonts w:ascii="Arial" w:hAnsi="Arial" w:cs="Arial" w:hint="eastAsia"/>
          <w:sz w:val="20"/>
          <w:szCs w:val="20"/>
          <w:rtl/>
        </w:rPr>
        <w:t xml:space="preserve">, הכנת תוכנית עבודה, קביעת יעדים חודשיים/ שנתיים והטמעת נהלים. </w:t>
      </w:r>
    </w:p>
    <w:p w:rsidR="00000000" w:rsidRDefault="00000000">
      <w:pPr>
        <w:numPr>
          <w:ilvl w:val="0"/>
          <w:numId w:val="2"/>
        </w:numPr>
        <w:tabs>
          <w:tab w:val="left" w:pos="1413"/>
        </w:tabs>
        <w:spacing w:line="288" w:lineRule="auto"/>
        <w:ind w:firstLine="497"/>
        <w:jc w:val="left"/>
        <w:rPr>
          <w:rFonts w:ascii="Arial" w:hAnsi="Arial" w:cs="Arial" w:hint="eastAsia"/>
          <w:sz w:val="21"/>
          <w:szCs w:val="21"/>
          <w:rtl/>
        </w:rPr>
      </w:pPr>
      <w:r>
        <w:rPr>
          <w:rFonts w:ascii="Arial" w:hAnsi="Arial" w:cs="Arial"/>
          <w:sz w:val="20"/>
          <w:szCs w:val="20"/>
          <w:rtl/>
        </w:rPr>
        <w:t xml:space="preserve">ניהול </w:t>
      </w:r>
      <w:r>
        <w:rPr>
          <w:rFonts w:ascii="Arial" w:hAnsi="Arial" w:cs="Arial" w:hint="eastAsia"/>
          <w:sz w:val="20"/>
          <w:szCs w:val="20"/>
          <w:rtl/>
        </w:rPr>
        <w:t xml:space="preserve">וחניכת </w:t>
      </w:r>
      <w:r>
        <w:rPr>
          <w:rFonts w:ascii="Arial" w:hAnsi="Arial" w:cs="Arial"/>
          <w:sz w:val="20"/>
          <w:szCs w:val="20"/>
          <w:rtl/>
        </w:rPr>
        <w:t>מנהלי מכירות אזורים</w:t>
      </w:r>
      <w:r>
        <w:rPr>
          <w:rFonts w:ascii="Arial" w:hAnsi="Arial" w:cs="Arial" w:hint="eastAsia"/>
          <w:sz w:val="20"/>
          <w:szCs w:val="20"/>
          <w:rtl/>
        </w:rPr>
        <w:t xml:space="preserve">, ניהול המשאבים </w:t>
      </w:r>
      <w:r>
        <w:rPr>
          <w:rFonts w:ascii="Arial" w:hAnsi="Arial" w:cs="Arial"/>
          <w:sz w:val="20"/>
          <w:szCs w:val="20"/>
          <w:rtl/>
        </w:rPr>
        <w:t>(הוצאות/תקורות) ומימוש הפוטנציאל העסקי בחנויות</w:t>
      </w:r>
      <w:r>
        <w:rPr>
          <w:rFonts w:ascii="Arial" w:hAnsi="Arial" w:cs="Arial" w:hint="eastAsia"/>
          <w:sz w:val="21"/>
          <w:szCs w:val="21"/>
          <w:rtl/>
        </w:rPr>
        <w:t xml:space="preserve"> .</w:t>
      </w:r>
    </w:p>
    <w:p w:rsidR="00000000" w:rsidRDefault="00000000">
      <w:pPr>
        <w:spacing w:line="300" w:lineRule="auto"/>
        <w:jc w:val="left"/>
        <w:rPr>
          <w:rFonts w:ascii="Arial" w:hAnsi="Arial" w:cs="Arial" w:hint="eastAsia"/>
          <w:sz w:val="21"/>
          <w:szCs w:val="21"/>
          <w:rtl/>
        </w:rPr>
      </w:pPr>
    </w:p>
    <w:p w:rsidR="00000000" w:rsidRDefault="00000000">
      <w:pPr>
        <w:spacing w:line="276" w:lineRule="auto"/>
        <w:jc w:val="left"/>
        <w:rPr>
          <w:rFonts w:ascii="Arial" w:hAnsi="Arial" w:cs="Arial"/>
          <w:sz w:val="21"/>
          <w:szCs w:val="21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השכלה:</w:t>
      </w:r>
    </w:p>
    <w:p w:rsidR="00000000" w:rsidRDefault="00000000">
      <w:pPr>
        <w:spacing w:line="276" w:lineRule="auto"/>
        <w:jc w:val="left"/>
        <w:rPr>
          <w:rFonts w:ascii="Arial" w:hAnsi="Arial" w:cs="Arial" w:hint="eastAsia"/>
          <w:sz w:val="21"/>
          <w:szCs w:val="21"/>
          <w:rtl/>
        </w:rPr>
      </w:pPr>
      <w:r>
        <w:rPr>
          <w:rFonts w:ascii="Arial" w:hAnsi="Arial" w:cs="Arial"/>
          <w:sz w:val="21"/>
          <w:szCs w:val="21"/>
          <w:rtl/>
        </w:rPr>
        <w:t>199</w:t>
      </w:r>
      <w:r>
        <w:rPr>
          <w:rFonts w:ascii="Arial" w:hAnsi="Arial" w:cs="Arial" w:hint="eastAsia"/>
          <w:sz w:val="21"/>
          <w:szCs w:val="21"/>
          <w:rtl/>
        </w:rPr>
        <w:t>2</w:t>
      </w:r>
      <w:r>
        <w:rPr>
          <w:rFonts w:ascii="Arial" w:hAnsi="Arial" w:cs="Arial"/>
          <w:sz w:val="21"/>
          <w:szCs w:val="21"/>
          <w:rtl/>
        </w:rPr>
        <w:t>-199</w:t>
      </w:r>
      <w:r>
        <w:rPr>
          <w:rFonts w:ascii="Arial" w:hAnsi="Arial" w:cs="Arial" w:hint="eastAsia"/>
          <w:sz w:val="21"/>
          <w:szCs w:val="21"/>
          <w:rtl/>
        </w:rPr>
        <w:t xml:space="preserve">0: </w:t>
      </w:r>
      <w:r>
        <w:rPr>
          <w:rFonts w:ascii="Arial" w:hAnsi="Arial" w:cs="Arial"/>
          <w:b/>
          <w:bCs/>
          <w:sz w:val="21"/>
          <w:szCs w:val="21"/>
          <w:rtl/>
        </w:rPr>
        <w:t xml:space="preserve">תואר </w:t>
      </w:r>
      <w:r>
        <w:rPr>
          <w:rFonts w:ascii="Arial" w:hAnsi="Arial" w:cs="Arial" w:hint="eastAsia"/>
          <w:b/>
          <w:bCs/>
          <w:sz w:val="21"/>
          <w:szCs w:val="21"/>
        </w:rPr>
        <w:t>BA</w:t>
      </w:r>
      <w:r>
        <w:rPr>
          <w:rFonts w:ascii="Arial" w:hAnsi="Arial" w:cs="Arial" w:hint="eastAsia"/>
          <w:b/>
          <w:bCs/>
          <w:sz w:val="21"/>
          <w:szCs w:val="21"/>
          <w:rtl/>
        </w:rPr>
        <w:t xml:space="preserve"> </w:t>
      </w:r>
      <w:r>
        <w:rPr>
          <w:rFonts w:ascii="Arial" w:hAnsi="Arial" w:cs="Arial"/>
          <w:b/>
          <w:bCs/>
          <w:sz w:val="21"/>
          <w:szCs w:val="21"/>
          <w:rtl/>
        </w:rPr>
        <w:t>במינהל</w:t>
      </w:r>
      <w:r>
        <w:rPr>
          <w:rFonts w:ascii="Arial" w:hAnsi="Arial" w:cs="Arial"/>
          <w:sz w:val="21"/>
          <w:szCs w:val="21"/>
          <w:rtl/>
        </w:rPr>
        <w:t xml:space="preserve">  עסקים</w:t>
      </w:r>
      <w:r>
        <w:rPr>
          <w:rFonts w:ascii="Arial" w:hAnsi="Arial" w:cs="Arial" w:hint="eastAsia"/>
          <w:sz w:val="21"/>
          <w:szCs w:val="21"/>
          <w:rtl/>
        </w:rPr>
        <w:t xml:space="preserve"> אוניברסיטת חיפה</w:t>
      </w:r>
    </w:p>
    <w:p w:rsidR="00000000" w:rsidRDefault="00000000">
      <w:pPr>
        <w:spacing w:line="276" w:lineRule="auto"/>
        <w:jc w:val="left"/>
        <w:rPr>
          <w:rFonts w:ascii="Arial" w:hAnsi="Arial" w:cs="Arial" w:hint="eastAsia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eastAsia"/>
          <w:sz w:val="21"/>
          <w:szCs w:val="21"/>
          <w:rtl/>
        </w:rPr>
        <w:t xml:space="preserve">1990-1989: </w:t>
      </w:r>
      <w:r>
        <w:rPr>
          <w:rFonts w:ascii="Arial" w:hAnsi="Arial" w:cs="Arial"/>
          <w:sz w:val="21"/>
          <w:szCs w:val="21"/>
          <w:rtl/>
        </w:rPr>
        <w:t>לימודי תעודה</w:t>
      </w:r>
      <w:r>
        <w:rPr>
          <w:rFonts w:ascii="Arial" w:hAnsi="Arial" w:cs="Arial" w:hint="eastAsia"/>
          <w:sz w:val="21"/>
          <w:szCs w:val="21"/>
          <w:rtl/>
        </w:rPr>
        <w:t xml:space="preserve">, </w:t>
      </w:r>
      <w:r>
        <w:rPr>
          <w:rFonts w:ascii="Arial" w:hAnsi="Arial" w:cs="Arial"/>
          <w:sz w:val="21"/>
          <w:szCs w:val="21"/>
          <w:rtl/>
        </w:rPr>
        <w:t>ניהול שיווק ומכירות, אוניברסיט</w:t>
      </w:r>
      <w:r>
        <w:rPr>
          <w:rFonts w:ascii="Arial" w:hAnsi="Arial" w:cs="Arial" w:hint="eastAsia"/>
          <w:sz w:val="21"/>
          <w:szCs w:val="21"/>
          <w:rtl/>
        </w:rPr>
        <w:t>ה העברית, ירושלים</w:t>
      </w:r>
    </w:p>
    <w:p w:rsidR="00000000" w:rsidRDefault="00000000">
      <w:pPr>
        <w:spacing w:line="276" w:lineRule="auto"/>
        <w:jc w:val="left"/>
        <w:rPr>
          <w:rFonts w:ascii="Arial" w:hAnsi="Arial" w:cs="Arial" w:hint="eastAsia"/>
          <w:b/>
          <w:bCs/>
          <w:sz w:val="22"/>
          <w:szCs w:val="22"/>
          <w:u w:val="single"/>
          <w:rtl/>
        </w:rPr>
      </w:pPr>
    </w:p>
    <w:p w:rsidR="00000000" w:rsidRDefault="00000000">
      <w:pPr>
        <w:spacing w:line="276" w:lineRule="auto"/>
        <w:jc w:val="left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>יישומי מחשב</w:t>
      </w:r>
      <w:r>
        <w:rPr>
          <w:rFonts w:ascii="Arial" w:hAnsi="Arial" w:cs="Arial" w:hint="eastAsia"/>
          <w:sz w:val="22"/>
          <w:szCs w:val="22"/>
          <w:rtl/>
        </w:rPr>
        <w:t>:</w:t>
      </w:r>
      <w:r>
        <w:rPr>
          <w:rFonts w:ascii="Arial" w:hAnsi="Arial" w:cs="Arial" w:hint="eastAsia"/>
          <w:sz w:val="21"/>
          <w:szCs w:val="21"/>
          <w:rtl/>
        </w:rPr>
        <w:t xml:space="preserve"> תכ</w:t>
      </w:r>
      <w:r>
        <w:rPr>
          <w:rFonts w:ascii="Arial" w:hAnsi="Arial" w:cs="Arial"/>
          <w:sz w:val="21"/>
          <w:szCs w:val="21"/>
          <w:rtl/>
        </w:rPr>
        <w:t xml:space="preserve">נות </w:t>
      </w:r>
      <w:r>
        <w:rPr>
          <w:rFonts w:ascii="Arial" w:hAnsi="Arial" w:cs="Arial"/>
          <w:sz w:val="21"/>
          <w:szCs w:val="21"/>
        </w:rPr>
        <w:t>office</w:t>
      </w:r>
      <w:r>
        <w:rPr>
          <w:rFonts w:ascii="Arial" w:hAnsi="Arial" w:cs="Arial"/>
          <w:sz w:val="21"/>
          <w:szCs w:val="21"/>
          <w:rtl/>
        </w:rPr>
        <w:t>,</w:t>
      </w:r>
      <w:r>
        <w:rPr>
          <w:rFonts w:ascii="Arial" w:hAnsi="Arial" w:cs="Arial" w:hint="eastAsia"/>
          <w:sz w:val="21"/>
          <w:szCs w:val="21"/>
          <w:rtl/>
        </w:rPr>
        <w:t xml:space="preserve"> מערכות </w:t>
      </w:r>
      <w:r>
        <w:rPr>
          <w:rFonts w:ascii="Arial" w:hAnsi="Arial" w:cs="Arial" w:hint="eastAsia"/>
          <w:sz w:val="21"/>
          <w:szCs w:val="21"/>
        </w:rPr>
        <w:t>ERP</w:t>
      </w:r>
      <w:r>
        <w:rPr>
          <w:rFonts w:ascii="Arial" w:hAnsi="Arial" w:cs="Arial" w:hint="eastAsia"/>
          <w:sz w:val="21"/>
          <w:szCs w:val="21"/>
          <w:rtl/>
        </w:rPr>
        <w:t xml:space="preserve">: </w:t>
      </w:r>
      <w:r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 w:hint="eastAsia"/>
          <w:sz w:val="21"/>
          <w:szCs w:val="21"/>
        </w:rPr>
        <w:t>SAP</w:t>
      </w:r>
      <w:r>
        <w:rPr>
          <w:rFonts w:ascii="Arial" w:hAnsi="Arial" w:cs="Arial" w:hint="eastAsia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</w:rPr>
        <w:t>Prioirty</w:t>
      </w:r>
      <w:r>
        <w:rPr>
          <w:rFonts w:ascii="Arial" w:hAnsi="Arial" w:cs="Arial"/>
          <w:sz w:val="21"/>
          <w:szCs w:val="21"/>
          <w:rtl/>
        </w:rPr>
        <w:t>,פנורמה,</w:t>
      </w:r>
      <w:r>
        <w:rPr>
          <w:rFonts w:ascii="Arial" w:hAnsi="Arial" w:cs="Arial" w:hint="eastAsia"/>
          <w:sz w:val="21"/>
          <w:szCs w:val="21"/>
          <w:rtl/>
        </w:rPr>
        <w:t xml:space="preserve"> </w:t>
      </w:r>
      <w:r>
        <w:rPr>
          <w:rFonts w:ascii="Arial" w:hAnsi="Arial" w:cs="Arial"/>
          <w:sz w:val="21"/>
          <w:szCs w:val="21"/>
          <w:rtl/>
        </w:rPr>
        <w:t>מעלה</w:t>
      </w:r>
    </w:p>
    <w:p w:rsidR="00000000" w:rsidRDefault="00000000">
      <w:pPr>
        <w:tabs>
          <w:tab w:val="left" w:pos="1259"/>
        </w:tabs>
        <w:spacing w:line="276" w:lineRule="auto"/>
        <w:jc w:val="left"/>
        <w:rPr>
          <w:rFonts w:ascii="Arial" w:hAnsi="Arial" w:cs="Arial" w:hint="eastAsia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b/>
          <w:bCs/>
          <w:sz w:val="22"/>
          <w:szCs w:val="22"/>
          <w:u w:val="single"/>
          <w:rtl/>
        </w:rPr>
        <w:t>שפות</w:t>
      </w:r>
      <w:r>
        <w:rPr>
          <w:rFonts w:ascii="Arial" w:hAnsi="Arial" w:cs="Arial"/>
          <w:sz w:val="21"/>
          <w:szCs w:val="21"/>
          <w:rtl/>
        </w:rPr>
        <w:t xml:space="preserve">:   </w:t>
      </w:r>
      <w:r>
        <w:rPr>
          <w:rFonts w:ascii="Arial" w:hAnsi="Arial" w:cs="Arial" w:hint="eastAsia"/>
          <w:sz w:val="21"/>
          <w:szCs w:val="21"/>
          <w:rtl/>
        </w:rPr>
        <w:tab/>
        <w:t xml:space="preserve"> </w:t>
      </w:r>
      <w:r>
        <w:rPr>
          <w:rFonts w:ascii="Arial" w:hAnsi="Arial" w:cs="Arial"/>
          <w:sz w:val="21"/>
          <w:szCs w:val="21"/>
          <w:rtl/>
        </w:rPr>
        <w:t>עברית - שפת אם</w:t>
      </w:r>
      <w:r>
        <w:rPr>
          <w:rFonts w:ascii="Arial" w:hAnsi="Arial" w:cs="Arial" w:hint="eastAsia"/>
          <w:sz w:val="21"/>
          <w:szCs w:val="21"/>
          <w:rtl/>
        </w:rPr>
        <w:t xml:space="preserve">, </w:t>
      </w:r>
      <w:r>
        <w:rPr>
          <w:rFonts w:ascii="Arial" w:hAnsi="Arial" w:cs="Arial"/>
          <w:sz w:val="21"/>
          <w:szCs w:val="21"/>
          <w:rtl/>
        </w:rPr>
        <w:t>אנגלית-  טובה מאוד</w:t>
      </w:r>
      <w:r>
        <w:rPr>
          <w:rFonts w:ascii="Arial" w:hAnsi="Arial" w:cs="Arial" w:hint="eastAsia"/>
          <w:sz w:val="21"/>
          <w:szCs w:val="21"/>
          <w:rtl/>
        </w:rPr>
        <w:t xml:space="preserve">, </w:t>
      </w:r>
      <w:r>
        <w:rPr>
          <w:rFonts w:ascii="Arial" w:hAnsi="Arial" w:cs="Arial"/>
          <w:sz w:val="21"/>
          <w:szCs w:val="21"/>
          <w:rtl/>
        </w:rPr>
        <w:t xml:space="preserve">רומנית-   </w:t>
      </w:r>
      <w:r>
        <w:rPr>
          <w:rFonts w:ascii="Arial" w:hAnsi="Arial" w:cs="Arial" w:hint="eastAsia"/>
          <w:sz w:val="21"/>
          <w:szCs w:val="21"/>
          <w:rtl/>
        </w:rPr>
        <w:t>רמת שיחה</w:t>
      </w:r>
      <w:r>
        <w:rPr>
          <w:rFonts w:ascii="Arial" w:hAnsi="Arial" w:cs="Arial"/>
          <w:sz w:val="21"/>
          <w:szCs w:val="21"/>
          <w:rtl/>
        </w:rPr>
        <w:t xml:space="preserve">  </w:t>
      </w:r>
    </w:p>
    <w:p w:rsidR="00000000" w:rsidRDefault="00000000">
      <w:pPr>
        <w:tabs>
          <w:tab w:val="left" w:pos="1301"/>
        </w:tabs>
        <w:spacing w:line="276" w:lineRule="auto"/>
        <w:ind w:right="-426"/>
        <w:jc w:val="left"/>
        <w:rPr>
          <w:rFonts w:ascii="Arial" w:hAnsi="Arial" w:cs="Arial"/>
          <w:b/>
          <w:bCs/>
          <w:i/>
          <w:iCs/>
          <w:sz w:val="18"/>
          <w:szCs w:val="18"/>
          <w:rtl/>
        </w:rPr>
      </w:pPr>
      <w:r>
        <w:rPr>
          <w:rFonts w:ascii="Arial" w:hAnsi="Arial" w:cs="Arial" w:hint="eastAsia"/>
          <w:b/>
          <w:bCs/>
          <w:sz w:val="22"/>
          <w:szCs w:val="22"/>
          <w:u w:val="single"/>
          <w:rtl/>
        </w:rPr>
        <w:t xml:space="preserve">שירות צבאי: </w:t>
      </w:r>
      <w:r>
        <w:rPr>
          <w:rFonts w:ascii="Arial" w:hAnsi="Arial" w:cs="Arial" w:hint="eastAsia"/>
          <w:sz w:val="21"/>
          <w:szCs w:val="21"/>
          <w:rtl/>
        </w:rPr>
        <w:tab/>
        <w:t>חיל אוויר</w:t>
      </w:r>
      <w:r>
        <w:rPr>
          <w:rFonts w:ascii="Arial" w:hAnsi="Arial" w:cs="Arial"/>
          <w:sz w:val="21"/>
          <w:szCs w:val="21"/>
          <w:rtl/>
        </w:rPr>
        <w:t>,מפקד גף קשר בבסיס רמת דוד</w:t>
      </w:r>
      <w:r>
        <w:rPr>
          <w:rFonts w:ascii="Arial" w:hAnsi="Arial" w:cs="Arial" w:hint="eastAsia"/>
          <w:sz w:val="21"/>
          <w:szCs w:val="21"/>
          <w:rtl/>
        </w:rPr>
        <w:t>, שחרור ברמת רס"ן (1993-1986)</w:t>
      </w:r>
      <w:r>
        <w:rPr>
          <w:rFonts w:ascii="Arial" w:hAnsi="Arial" w:cs="Arial" w:hint="eastAsia"/>
          <w:b/>
          <w:bCs/>
          <w:sz w:val="22"/>
          <w:szCs w:val="22"/>
          <w:rtl/>
        </w:rPr>
        <w:t xml:space="preserve">          </w:t>
      </w:r>
      <w:r>
        <w:rPr>
          <w:rFonts w:ascii="Arial" w:hAnsi="Arial" w:cs="Arial" w:hint="eastAsia"/>
          <w:b/>
          <w:bCs/>
          <w:i/>
          <w:iCs/>
          <w:sz w:val="18"/>
          <w:szCs w:val="18"/>
          <w:rtl/>
        </w:rPr>
        <w:t xml:space="preserve">  **</w:t>
      </w:r>
      <w:r>
        <w:rPr>
          <w:rFonts w:ascii="Arial" w:hAnsi="Arial" w:cs="Arial"/>
          <w:b/>
          <w:bCs/>
          <w:i/>
          <w:iCs/>
          <w:sz w:val="18"/>
          <w:szCs w:val="18"/>
          <w:rtl/>
        </w:rPr>
        <w:t>המלצות ימסרו ע"פ דרישה</w:t>
      </w:r>
    </w:p>
    <w:sectPr w:rsidR="00000000">
      <w:footerReference w:type="default" r:id="rId8"/>
      <w:pgSz w:w="11906" w:h="16838"/>
      <w:pgMar w:top="142" w:right="849" w:bottom="0" w:left="993" w:header="720" w:footer="720" w:gutter="0"/>
      <w:cols w:space="720"/>
      <w:bidi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8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"/>
      <w:lvlJc w:val="left"/>
      <w:pPr>
        <w:tabs>
          <w:tab w:val="num" w:pos="0"/>
        </w:tabs>
        <w:ind w:left="1937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Arial" w:hint="default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"/>
      <w:lvlJc w:val="left"/>
      <w:pPr>
        <w:tabs>
          <w:tab w:val="num" w:pos="0"/>
        </w:tabs>
        <w:ind w:left="720" w:hanging="360"/>
      </w:pPr>
      <w:rPr>
        <w:rFonts w:ascii="Wingdings" w:hAnsi="Wingdings" w:cs="Symbol" w:hint="default"/>
        <w:b/>
        <w:bCs/>
        <w:outline w:val="0"/>
        <w:shadow w:val="0"/>
        <w:color w:val="auto"/>
        <w:sz w:val="16"/>
        <w:szCs w:val="16"/>
        <w:lang w:eastAsia="he-IL" w:bidi="he-I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2018"/>
      <w:numFmt w:val="bullet"/>
      <w:lvlText w:val=""/>
      <w:lvlJc w:val="left"/>
      <w:pPr>
        <w:tabs>
          <w:tab w:val="num" w:pos="0"/>
        </w:tabs>
        <w:ind w:left="1590" w:hanging="360"/>
      </w:pPr>
      <w:rPr>
        <w:rFonts w:ascii="Symbol" w:hAnsi="Symbol" w:cs="Arial" w:hint="default"/>
        <w:sz w:val="20"/>
      </w:rPr>
    </w:lvl>
  </w:abstractNum>
  <w:abstractNum w:abstractNumId="4" w15:restartNumberingAfterBreak="0">
    <w:nsid w:val="00000005"/>
    <w:multiLevelType w:val="multilevel"/>
    <w:tmpl w:val="00000005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oNotEmbedSmartTags/>
  <w:decimalSymbol w:val="."/>
  <w:listSeparator w:val=","/>
  <w15:chartTrackingRefBased/>
  <w15:docId w15:val="{A55C12FE-812F-4192-86C2-469624477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ברירת מחדל"/>
    <w:qFormat/>
    <w:pPr>
      <w:suppressAutoHyphens/>
      <w:bidi/>
      <w:jc w:val="right"/>
    </w:pPr>
    <w:rPr>
      <w:sz w:val="24"/>
      <w:szCs w:val="24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 w:hint="default"/>
    </w:rPr>
  </w:style>
  <w:style w:type="character" w:customStyle="1" w:styleId="WW8Num2z0">
    <w:name w:val="WW8Num2z0"/>
    <w:rPr>
      <w:rFonts w:cs="Arial" w:hint="default"/>
      <w:sz w:val="20"/>
    </w:rPr>
  </w:style>
  <w:style w:type="character" w:customStyle="1" w:styleId="WW8Num3z0">
    <w:name w:val="WW8Num3z0"/>
    <w:rPr>
      <w:rFonts w:ascii="Symbol" w:hAnsi="Symbol" w:cs="Symbol" w:hint="default"/>
      <w:b/>
      <w:bCs/>
      <w:outline w:val="0"/>
      <w:shadow w:val="0"/>
      <w:color w:val="auto"/>
      <w:sz w:val="16"/>
      <w:szCs w:val="16"/>
      <w:lang w:eastAsia="he-IL" w:bidi="he-IL"/>
    </w:rPr>
  </w:style>
  <w:style w:type="character" w:customStyle="1" w:styleId="WW8Num4z0">
    <w:name w:val="WW8Num4z0"/>
    <w:rPr>
      <w:rFonts w:ascii="Symbol" w:eastAsia="Times New Roman" w:hAnsi="Symbol" w:cs="Arial" w:hint="default"/>
      <w:sz w:val="20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1z1">
    <w:name w:val="WW8Num1z1"/>
    <w:rPr>
      <w:rFonts w:ascii="Courier New" w:hAnsi="Courier New" w:cs="Courier New" w:hint="default"/>
    </w:rPr>
  </w:style>
  <w:style w:type="character" w:customStyle="1" w:styleId="WW8Num1z3">
    <w:name w:val="WW8Num1z3"/>
    <w:rPr>
      <w:rFonts w:ascii="Symbol" w:hAnsi="Symbol" w:cs="Symbol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3z3">
    <w:name w:val="WW8Num3z3"/>
    <w:rPr>
      <w:rFonts w:ascii="Symbol" w:hAnsi="Symbol" w:cs="Symbol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6z0">
    <w:name w:val="WW8Num6z0"/>
    <w:rPr>
      <w:rFonts w:ascii="Wingdings" w:hAnsi="Wingdings" w:cs="Wingdings" w:hint="default"/>
      <w:sz w:val="21"/>
      <w:szCs w:val="21"/>
      <w:rtl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  <w:sz w:val="20"/>
      <w:szCs w:val="20"/>
      <w:rtl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Symbol" w:eastAsia="Times New Roman" w:hAnsi="Symbol" w:cs="Arial" w:hint="default"/>
      <w:u w:val="none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Symbol" w:eastAsia="Times New Roman" w:hAnsi="Symbol" w:cs="Arial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2">
    <w:name w:val="WW8Num9z2"/>
    <w:rPr>
      <w:rFonts w:ascii="Wingdings" w:hAnsi="Wingdings" w:cs="Wingdings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Wingdings" w:eastAsia="Times New Roman" w:hAnsi="Wingdings" w:cs="Arial" w:hint="default"/>
      <w:b/>
      <w:sz w:val="22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0z3">
    <w:name w:val="WW8Num10z3"/>
    <w:rPr>
      <w:rFonts w:ascii="Symbol" w:hAnsi="Symbol" w:cs="Symbol" w:hint="default"/>
    </w:rPr>
  </w:style>
  <w:style w:type="character" w:customStyle="1" w:styleId="WW8Num11z0">
    <w:name w:val="WW8Num11z0"/>
    <w:rPr>
      <w:rFonts w:ascii="Symbol" w:hAnsi="Symbol" w:cs="Symbol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2">
    <w:name w:val="WW8Num11z2"/>
    <w:rPr>
      <w:rFonts w:ascii="Wingdings" w:hAnsi="Wingdings" w:cs="Wingdings" w:hint="default"/>
    </w:rPr>
  </w:style>
  <w:style w:type="character" w:customStyle="1" w:styleId="WW8Num12z0">
    <w:name w:val="WW8Num12z0"/>
    <w:rPr>
      <w:rFonts w:ascii="Wingdings" w:hAnsi="Wingdings" w:cs="Wingdings" w:hint="default"/>
      <w:b/>
      <w:bCs w:val="0"/>
      <w:sz w:val="21"/>
      <w:szCs w:val="21"/>
      <w:rtl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2">
    <w:name w:val="WW8Num12z2"/>
    <w:rPr>
      <w:rFonts w:ascii="Wingdings" w:hAnsi="Wingdings" w:cs="Wingdings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eastAsia="Times New Roman" w:hAnsi="Symbol" w:cs="Arial" w:hint="default"/>
      <w:u w:val="none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3z3">
    <w:name w:val="WW8Num13z3"/>
    <w:rPr>
      <w:rFonts w:ascii="Symbol" w:hAnsi="Symbol" w:cs="Symbol" w:hint="default"/>
    </w:rPr>
  </w:style>
  <w:style w:type="character" w:customStyle="1" w:styleId="WW8Num14z0">
    <w:name w:val="WW8Num14z0"/>
    <w:rPr>
      <w:rFonts w:hint="default"/>
      <w:u w:val="none"/>
    </w:rPr>
  </w:style>
  <w:style w:type="character" w:customStyle="1" w:styleId="WW8Num15z0">
    <w:name w:val="WW8Num15z0"/>
    <w:rPr>
      <w:rFonts w:ascii="Courier New" w:hAnsi="Courier New" w:cs="Courier New" w:hint="default"/>
      <w:sz w:val="16"/>
      <w:szCs w:val="16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Wingdings" w:hAnsi="Wingdings" w:cs="Wingdings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9z0">
    <w:name w:val="WW8Num19z0"/>
    <w:rPr>
      <w:rFonts w:ascii="Symbol" w:eastAsia="Times New Roman" w:hAnsi="Symbol" w:cs="Arial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</w:style>
  <w:style w:type="character" w:customStyle="1" w:styleId="WW8Num20z2">
    <w:name w:val="WW8Num20z2"/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8Num21z0">
    <w:name w:val="WW8Num21z0"/>
    <w:rPr>
      <w:rFonts w:ascii="Symbol" w:eastAsia="Times New Roman" w:hAnsi="Symbol" w:cs="Times New Roman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1z3">
    <w:name w:val="WW8Num21z3"/>
    <w:rPr>
      <w:rFonts w:ascii="Symbol" w:hAnsi="Symbol" w:cs="Symbol" w:hint="default"/>
    </w:rPr>
  </w:style>
  <w:style w:type="character" w:customStyle="1" w:styleId="a0">
    <w:name w:val="גופן ברירת המחדל של פיסקה"/>
  </w:style>
  <w:style w:type="character" w:styleId="a1">
    <w:name w:val="קישור אינטרנט"/>
    <w:rPr>
      <w:color w:val="0000FF"/>
      <w:u w:val="single"/>
    </w:rPr>
  </w:style>
  <w:style w:type="character" w:customStyle="1" w:styleId="a2">
    <w:name w:val="טקסט בלונים תו"/>
    <w:rPr>
      <w:rFonts w:ascii="Tahoma" w:eastAsia="Times New Roman" w:hAnsi="Tahoma" w:cs="Tahoma"/>
      <w:sz w:val="16"/>
      <w:szCs w:val="16"/>
    </w:rPr>
  </w:style>
  <w:style w:type="paragraph" w:customStyle="1" w:styleId="a3">
    <w:name w:val="כותרת"/>
    <w:basedOn w:val="a"/>
    <w:next w:val="a4"/>
    <w:pPr>
      <w:keepNext/>
      <w:spacing w:before="240" w:after="120"/>
    </w:pPr>
    <w:rPr>
      <w:rFonts w:ascii="Arial" w:eastAsia="Microsoft YaHei" w:hAnsi="Arial" w:cs="Tahoma"/>
      <w:sz w:val="28"/>
      <w:szCs w:val="28"/>
    </w:rPr>
  </w:style>
  <w:style w:type="paragraph" w:styleId="a4">
    <w:name w:val="טקסט"/>
    <w:basedOn w:val="a"/>
    <w:pPr>
      <w:spacing w:after="120"/>
    </w:pPr>
  </w:style>
  <w:style w:type="paragraph" w:styleId="a5">
    <w:name w:val="רשימה"/>
    <w:basedOn w:val="a4"/>
    <w:rPr>
      <w:rFonts w:cs="Tahoma"/>
    </w:rPr>
  </w:style>
  <w:style w:type="paragraph" w:customStyle="1" w:styleId="a6">
    <w:name w:val="כתובית"/>
    <w:basedOn w:val="a"/>
    <w:pPr>
      <w:suppressLineNumbers/>
      <w:spacing w:before="120" w:after="120"/>
    </w:pPr>
    <w:rPr>
      <w:rFonts w:cs="Tahoma"/>
      <w:i/>
      <w:iCs/>
    </w:rPr>
  </w:style>
  <w:style w:type="paragraph" w:customStyle="1" w:styleId="a7">
    <w:name w:val="מפתחות"/>
    <w:basedOn w:val="a"/>
    <w:pPr>
      <w:suppressLineNumbers/>
    </w:pPr>
    <w:rPr>
      <w:rFonts w:cs="Tahoma"/>
    </w:rPr>
  </w:style>
  <w:style w:type="paragraph" w:customStyle="1" w:styleId="a8">
    <w:name w:val="טקסט בלונים"/>
    <w:basedOn w:val="a"/>
    <w:pPr>
      <w:jc w:val="left"/>
    </w:pPr>
    <w:rPr>
      <w:rFonts w:ascii="Tahoma" w:hAnsi="Tahoma" w:cs="Tahoma"/>
      <w:sz w:val="16"/>
      <w:szCs w:val="16"/>
      <w:lang w:val="x-none"/>
    </w:rPr>
  </w:style>
  <w:style w:type="paragraph" w:customStyle="1" w:styleId="a9">
    <w:name w:val="פיסקת רשימה"/>
    <w:basedOn w:val="a"/>
    <w:pPr>
      <w:spacing w:after="200" w:line="276" w:lineRule="auto"/>
      <w:ind w:left="720"/>
      <w:jc w:val="left"/>
    </w:pPr>
    <w:rPr>
      <w:rFonts w:ascii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kzeev@013.net.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M893BN" Type="http://schemas.openxmlformats.org/officeDocument/2006/relationships/image" Target="media/6P79Z6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553</Words>
  <Characters>3155</Characters>
  <Application>Microsoft Office Word</Application>
  <DocSecurity>4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Zeev Katz (מנהל אולם תצוגה סניף חיפה)</cp:lastModifiedBy>
  <cp:revision>5</cp:revision>
  <cp:lastPrinted>2021-02-08T11:22:00Z</cp:lastPrinted>
  <dcterms:created xsi:type="dcterms:W3CDTF">2020-01-22T07:16:00Z</dcterms:created>
  <dcterms:modified xsi:type="dcterms:W3CDTF">2021-02-08T11:23:00Z</dcterms:modified>
</cp:coreProperties>
</file>