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 2026 Regional Notes</w:t>
      </w:r>
    </w:p>
    <w:p>
      <w:r>
        <w:t>The West region has shown stable but unremarkable Widget B performance through Q2, with no major supply or demand shifts reported by the field team.</w:t>
      </w:r>
    </w:p>
    <w:p>
      <w:r>
        <w:t>Leadership is considering a promotional push in West during Q3 to test whether demand is being under-served rather than genuinely flat.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