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olor w:val="1A365D"/>
          <w:sz w:val="40"/>
          <w:szCs w:val="40"/>
        </w:rPr>
        <w:t xml:space="preserve">PRINCIPIA MATHEMATICA GEOMETRICA</w:t>
      </w:r>
    </w:p>
    <w:p>
      <w:pPr>
        <w:spacing w:after="240" w:before="0"/>
        <w:jc w:val="center"/>
      </w:pPr>
      <w:r>
        <w:rPr>
          <w:rFonts w:ascii="Arial" w:cs="Arial" w:eastAsia="Arial" w:hAnsi="Arial"/>
          <w:i/>
          <w:iCs/>
          <w:color w:val="2C5282"/>
          <w:sz w:val="28"/>
          <w:szCs w:val="28"/>
        </w:rPr>
        <w:t xml:space="preserve">Part I: The Axiomatic Genesis of the Mathman</w:t>
      </w:r>
    </w:p>
    <w:p>
      <w:pPr>
        <w:pBdr>
          <w:bottom w:val="single" w:color="CCCCCC" w:sz="4" w:space="1"/>
        </w:pBdr>
        <w:spacing w:after="240" w:before="240"/>
      </w:pPr>
      <w:r>
        <w:t xml:space="preserve"/>
      </w:r>
    </w:p>
    <w:p>
      <w:pPr>
        <w:spacing w:after="60" w:before="0"/>
      </w:pPr>
      <w:r>
        <w:t xml:space="preserve"/>
      </w:r>
    </w:p>
    <w:p>
      <w:pPr>
        <w:spacing w:after="80" w:before="0"/>
        <w:jc w:val="center"/>
      </w:pPr>
      <w:r>
        <w:rPr>
          <w:rFonts w:ascii="Arial" w:cs="Arial" w:eastAsia="Arial" w:hAnsi="Arial"/>
          <w:color w:val="444444"/>
          <w:sz w:val="22"/>
          <w:szCs w:val="22"/>
        </w:rPr>
        <w:t xml:space="preserve">D. McMillan</w:t>
      </w:r>
    </w:p>
    <w:p>
      <w:pPr>
        <w:spacing w:after="80" w:before="0"/>
        <w:jc w:val="center"/>
      </w:pPr>
      <w:r>
        <w:rPr>
          <w:rFonts w:ascii="Arial" w:cs="Arial" w:eastAsia="Arial" w:hAnsi="Arial"/>
          <w:color w:val="444444"/>
          <w:sz w:val="22"/>
          <w:szCs w:val="22"/>
        </w:rPr>
        <w:t xml:space="preserve">McMillan Family Trust</w:t>
      </w:r>
    </w:p>
    <w:p>
      <w:pPr>
        <w:spacing w:after="80" w:before="0"/>
        <w:jc w:val="center"/>
      </w:pPr>
      <w:r>
        <w:rPr>
          <w:rFonts w:ascii="Arial" w:cs="Arial" w:eastAsia="Arial" w:hAnsi="Arial"/>
          <w:color w:val="444444"/>
          <w:sz w:val="22"/>
          <w:szCs w:val="22"/>
        </w:rPr>
        <w:t xml:space="preserve">Cairns, Queensland, Australia</w:t>
      </w:r>
    </w:p>
    <w:p>
      <w:pPr>
        <w:spacing w:after="120" w:before="0"/>
      </w:pPr>
      <w:r>
        <w:t xml:space="preserve"/>
      </w:r>
    </w:p>
    <w:p>
      <w:pPr>
        <w:spacing w:after="80" w:before="120"/>
        <w:jc w:val="center"/>
      </w:pPr>
      <w:r>
        <w:rPr>
          <w:rFonts w:ascii="Arial" w:cs="Arial" w:eastAsia="Arial" w:hAnsi="Arial"/>
          <w:i/>
          <w:iCs/>
          <w:color w:val="555555"/>
          <w:sz w:val="22"/>
          <w:szCs w:val="22"/>
        </w:rPr>
        <w:t xml:space="preserve">“The best laid schemes o’ mice an’ men</w:t>
      </w:r>
    </w:p>
    <w:p>
      <w:pPr>
        <w:spacing w:after="80" w:before="0"/>
        <w:jc w:val="center"/>
      </w:pPr>
      <w:r>
        <w:rPr>
          <w:rFonts w:ascii="Arial" w:cs="Arial" w:eastAsia="Arial" w:hAnsi="Arial"/>
          <w:i/>
          <w:iCs/>
          <w:color w:val="555555"/>
          <w:sz w:val="22"/>
          <w:szCs w:val="22"/>
        </w:rPr>
        <w:t xml:space="preserve">Gang aft agley.”</w:t>
      </w:r>
    </w:p>
    <w:p>
      <w:pPr>
        <w:spacing w:after="240" w:before="0"/>
        <w:jc w:val="center"/>
      </w:pPr>
      <w:r>
        <w:rPr>
          <w:rFonts w:ascii="Arial" w:cs="Arial" w:eastAsia="Arial" w:hAnsi="Arial"/>
          <w:color w:val="777777"/>
          <w:sz w:val="20"/>
          <w:szCs w:val="20"/>
        </w:rPr>
        <w:t xml:space="preserve">— Robert Burns, To a Mouse (1785)</w:t>
      </w:r>
    </w:p>
    <w:p>
      <w:pPr>
        <w:spacing w:after="360" w:before="0"/>
      </w:pPr>
      <w:r>
        <w:t xml:space="preserve"/>
      </w:r>
    </w:p>
    <w:p>
      <w:pPr>
        <w:pStyle w:val="Heading1"/>
        <w:spacing w:after="120" w:before="480"/>
      </w:pPr>
      <w:r>
        <w:rPr>
          <w:rFonts w:ascii="Arial" w:cs="Arial" w:eastAsia="Arial" w:hAnsi="Arial"/>
          <w:b/>
          <w:bCs/>
          <w:sz w:val="32"/>
          <w:szCs w:val="32"/>
        </w:rPr>
        <w:t xml:space="preserve">Abstract</w:t>
      </w:r>
    </w:p>
    <w:p>
      <w:pPr>
        <w:spacing w:after="120" w:before="80"/>
      </w:pPr>
      <w:r>
        <w:rPr>
          <w:rFonts w:ascii="Arial" w:cs="Arial" w:eastAsia="Arial" w:hAnsi="Arial"/>
          <w:sz w:val="22"/>
          <w:szCs w:val="22"/>
        </w:rPr>
        <w:t xml:space="preserve">This paper derives a sequence of integer triples — (3,4,5), (5,12,13), (10,24,26) — from four minimal axioms governing counting, succession, boundary, and closure. The derivation requires no empirical assumptions and no measurement. Each step is explicitly flagged as either forced (arithmetic necessity) or chosen (utilitarian preference), so the reader can assess exactly where the argument requires human judgment.</w:t>
      </w:r>
    </w:p>
    <w:p>
      <w:pPr>
        <w:spacing w:after="60" w:before="0"/>
      </w:pPr>
      <w:r>
        <w:t xml:space="preserve"/>
      </w:r>
    </w:p>
    <w:p>
      <w:pPr>
        <w:spacing w:after="120" w:before="80"/>
      </w:pPr>
      <w:r>
        <w:rPr>
          <w:rFonts w:ascii="Arial" w:cs="Arial" w:eastAsia="Arial" w:hAnsi="Arial"/>
          <w:sz w:val="22"/>
          <w:szCs w:val="22"/>
        </w:rPr>
        <w:t xml:space="preserve">The central claim is that a bilateral observer operating in a base-12 measurement system is structurally constrained to a 10-24-26 geometry. The Mathman — ten counting units, a twenty-four-hour cycle, a twenty-six-symbol alphabet — is not a cultural artifact. It is the unique integer solution that fits a bilateral counter into a base-12 universe.</w:t>
      </w:r>
    </w:p>
    <w:p>
      <w:pPr>
        <w:spacing w:after="60" w:before="0"/>
      </w:pPr>
      <w:r>
        <w:t xml:space="preserve"/>
      </w:r>
    </w:p>
    <w:p>
      <w:pPr>
        <w:spacing w:after="120" w:before="80"/>
      </w:pPr>
      <w:r>
        <w:rPr>
          <w:rFonts w:ascii="Arial" w:cs="Arial" w:eastAsia="Arial" w:hAnsi="Arial"/>
          <w:sz w:val="22"/>
          <w:szCs w:val="22"/>
        </w:rPr>
        <w:t xml:space="preserve">What this paper does not claim: that the geometry is the cause of physical structures, that it explains supersymmetry or atomic orbitals, or that it constitutes a unified theory of anything. Those are future hypotheses that require independent derivation. This paper establishes only the bedrock.</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1. The Axiomatic Bedrock</w:t>
      </w:r>
    </w:p>
    <w:p>
      <w:pPr>
        <w:spacing w:after="120" w:before="80"/>
      </w:pPr>
      <w:r>
        <w:rPr>
          <w:rFonts w:ascii="Arial" w:cs="Arial" w:eastAsia="Arial" w:hAnsi="Arial"/>
          <w:sz w:val="22"/>
          <w:szCs w:val="22"/>
        </w:rPr>
        <w:t xml:space="preserve">The system rests on three axioms and one observation. These are stated without proof — they are the starting conditions.</w:t>
      </w:r>
    </w:p>
    <w:p>
      <w:pPr>
        <w:spacing w:after="60" w:before="0"/>
      </w:pPr>
      <w:r>
        <w:t xml:space="preserve"/>
      </w:r>
    </w:p>
    <w:p>
      <w:pPr>
        <w:pStyle w:val="Heading2"/>
        <w:spacing w:after="80" w:before="320"/>
      </w:pPr>
      <w:r>
        <w:rPr>
          <w:rFonts w:ascii="Arial" w:cs="Arial" w:eastAsia="Arial" w:hAnsi="Arial"/>
          <w:b/>
          <w:bCs/>
          <w:sz w:val="26"/>
          <w:szCs w:val="26"/>
        </w:rPr>
        <w:t xml:space="preserve">Axiom 1 — Existence</w:t>
      </w:r>
    </w:p>
    <w:p>
      <w:pPr>
        <w:spacing w:after="120" w:before="80"/>
      </w:pPr>
      <w:r>
        <w:rPr>
          <w:rFonts w:ascii="Arial" w:cs="Arial" w:eastAsia="Arial" w:hAnsi="Arial"/>
          <w:sz w:val="22"/>
          <w:szCs w:val="22"/>
        </w:rPr>
        <w:t xml:space="preserve">A prior field of undifferentiated potential exists. Call it the origin, (0, 0), the blank page, or the silence before the count. Its structure is symmetric: every direction is equivalent to every other.</w:t>
      </w:r>
    </w:p>
    <w:p>
      <w:pPr>
        <w:spacing w:after="60" w:before="0"/>
      </w:pPr>
      <w:r>
        <w:t xml:space="preserve"/>
      </w:r>
    </w:p>
    <w:p>
      <w:pPr>
        <w:pStyle w:val="Heading2"/>
        <w:spacing w:after="80" w:before="320"/>
      </w:pPr>
      <w:r>
        <w:rPr>
          <w:rFonts w:ascii="Arial" w:cs="Arial" w:eastAsia="Arial" w:hAnsi="Arial"/>
          <w:b/>
          <w:bCs/>
          <w:sz w:val="26"/>
          <w:szCs w:val="26"/>
        </w:rPr>
        <w:t xml:space="preserve">Axiom 2 — Succession</w:t>
      </w:r>
    </w:p>
    <w:p>
      <w:pPr>
        <w:spacing w:after="120" w:before="80"/>
      </w:pPr>
      <w:r>
        <w:rPr>
          <w:rFonts w:ascii="Arial" w:cs="Arial" w:eastAsia="Arial" w:hAnsi="Arial"/>
          <w:sz w:val="22"/>
          <w:szCs w:val="22"/>
        </w:rPr>
        <w:t xml:space="preserve">Every act of counting generates a successor. If n exists, then n+1 exists. This is the minimal requirement for counting to be possible at all.</w:t>
      </w:r>
    </w:p>
    <w:p>
      <w:pPr>
        <w:spacing w:after="60" w:before="0"/>
      </w:pPr>
      <w:r>
        <w:t xml:space="preserve"/>
      </w:r>
    </w:p>
    <w:p>
      <w:pPr>
        <w:pStyle w:val="Heading2"/>
        <w:spacing w:after="80" w:before="320"/>
      </w:pPr>
      <w:r>
        <w:rPr>
          <w:rFonts w:ascii="Arial" w:cs="Arial" w:eastAsia="Arial" w:hAnsi="Arial"/>
          <w:b/>
          <w:bCs/>
          <w:sz w:val="26"/>
          <w:szCs w:val="26"/>
        </w:rPr>
        <w:t xml:space="preserve">Axiom 3 — Boundary (The Ghost Post)</w:t>
      </w:r>
    </w:p>
    <w:p>
      <w:pPr>
        <w:spacing w:after="120" w:before="80"/>
      </w:pPr>
      <w:r>
        <w:rPr>
          <w:rFonts w:ascii="Arial" w:cs="Arial" w:eastAsia="Arial" w:hAnsi="Arial"/>
          <w:i/>
          <w:iCs/>
          <w:sz w:val="22"/>
          <w:szCs w:val="22"/>
        </w:rPr>
        <w:t xml:space="preserve">To define n discrete intervals, you need n+1 boundary markers.</w:t>
      </w:r>
      <w:r>
        <w:rPr>
          <w:rFonts w:ascii="Arial" w:cs="Arial" w:eastAsia="Arial" w:hAnsi="Arial"/>
          <w:sz w:val="22"/>
          <w:szCs w:val="22"/>
        </w:rPr>
        <w:t xml:space="preserve"> A fence with five sections requires six posts. A ruler measuring five inches requires marks at 0, 1, 2, 3, 4, and 5 — six marks, not five. The final marker is always one more than the count it closes. This surplus boundary is the Ghost Post.</w:t>
      </w:r>
    </w:p>
    <w:p>
      <w:pPr>
        <w:spacing w:after="60" w:before="0"/>
      </w:pPr>
      <w:r>
        <w:t xml:space="preserve"/>
      </w:r>
    </w:p>
    <w:p>
      <w:pPr>
        <w:pStyle w:val="Heading2"/>
        <w:spacing w:after="80" w:before="320"/>
      </w:pPr>
      <w:r>
        <w:rPr>
          <w:rFonts w:ascii="Arial" w:cs="Arial" w:eastAsia="Arial" w:hAnsi="Arial"/>
          <w:b/>
          <w:bCs/>
          <w:sz w:val="26"/>
          <w:szCs w:val="26"/>
        </w:rPr>
        <w:t xml:space="preserve">Observation — Closure</w:t>
      </w:r>
    </w:p>
    <w:p>
      <w:pPr>
        <w:spacing w:after="120" w:before="80"/>
      </w:pPr>
      <w:r>
        <w:rPr>
          <w:rFonts w:ascii="Arial" w:cs="Arial" w:eastAsia="Arial" w:hAnsi="Arial"/>
          <w:sz w:val="22"/>
          <w:szCs w:val="22"/>
        </w:rPr>
        <w:t xml:space="preserve">A counting system that generates successors indefinitely without closure produces no stable structure. For the count to produce something a physical observer can use, it must close. The search for the minimal integer closure is the engine of everything that follows.</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2. From Counting to Geometry: The First Move</w:t>
      </w:r>
    </w:p>
    <w:p>
      <w:pPr>
        <w:spacing w:after="120" w:before="80"/>
      </w:pPr>
      <w:r>
        <w:rPr>
          <w:rFonts w:ascii="Arial" w:cs="Arial" w:eastAsia="Arial" w:hAnsi="Arial"/>
          <w:sz w:val="22"/>
          <w:szCs w:val="22"/>
        </w:rPr>
        <w:t xml:space="preserve">Begin with a line of length 1. You have created a unit. Apply the Ghost Post axiom: this 1-unit interval requires 2 boundary points (0 and 1). The ratio of interval to boundaries is 1:2.</w:t>
      </w:r>
    </w:p>
    <w:p>
      <w:pPr>
        <w:spacing w:after="60" w:before="0"/>
      </w:pPr>
      <w:r>
        <w:t xml:space="preserve"/>
      </w:r>
    </w:p>
    <w:p>
      <w:pPr>
        <w:spacing w:after="120" w:before="80"/>
      </w:pPr>
      <w:r>
        <w:rPr>
          <w:rFonts w:ascii="Arial" w:cs="Arial" w:eastAsia="Arial" w:hAnsi="Arial"/>
          <w:sz w:val="22"/>
          <w:szCs w:val="22"/>
        </w:rPr>
        <w:t xml:space="preserve">Now count to n. You have n intervals and n+1 boundaries. This is a 1-dimensional system: everything is collinear, nothing can turn, nothing can close.</w:t>
      </w:r>
    </w:p>
    <w:p>
      <w:pPr>
        <w:spacing w:after="60" w:before="0"/>
      </w:pPr>
      <w:r>
        <w:t xml:space="preserve"/>
      </w:r>
    </w:p>
    <w:p>
      <w:pPr>
        <w:spacing w:after="120" w:before="80"/>
      </w:pPr>
      <w:r>
        <w:rPr>
          <w:rFonts w:ascii="Arial" w:cs="Arial" w:eastAsia="Arial" w:hAnsi="Arial"/>
          <w:sz w:val="22"/>
          <w:szCs w:val="22"/>
        </w:rPr>
        <w:t xml:space="preserve">To produce a 2-dimensional structure, the count must leave the line. The minimal departure is a rotation. A rotation of 60° applied three times returns to the origin (3 × 60° = 180° — reflection symmetry) and applied six times completes a full cycle (6 × 60° = 360°). The 60° angle is the primary angle of the symmetric origin field.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282" w:sz="4"/>
              <w:left w:val="thick" w:color="2C5282" w:sz="12"/>
              <w:bottom w:val="single" w:color="2C5282" w:sz="4"/>
              <w:right w:val="single" w:color="2C5282" w:sz="4"/>
            </w:tcBorders>
            <w:shd w:fill="EBF4FF" w:val="clear"/>
            <w:tcMar>
              <w:top w:type="dxa" w:w="120"/>
              <w:left w:type="dxa" w:w="180"/>
              <w:bottom w:type="dxa" w:w="120"/>
              <w:right w:type="dxa" w:w="120"/>
            </w:tcMar>
          </w:tcPr>
          <w:p>
            <w:r>
              <w:rPr>
                <w:rFonts w:ascii="Arial" w:cs="Arial" w:eastAsia="Arial" w:hAnsi="Arial"/>
                <w:b/>
                <w:bCs/>
                <w:color w:val="2C5282"/>
                <w:sz w:val="20"/>
                <w:szCs w:val="20"/>
              </w:rPr>
              <w:t xml:space="preserve">The Hex-Mountain</w:t>
            </w:r>
          </w:p>
          <w:p>
            <w:pPr>
              <w:spacing w:before="40"/>
            </w:pPr>
            <w:r>
              <w:rPr>
                <w:rFonts w:ascii="Arial" w:cs="Arial" w:eastAsia="Arial" w:hAnsi="Arial"/>
                <w:sz w:val="20"/>
                <w:szCs w:val="20"/>
              </w:rPr>
              <w:t xml:space="preserve">A field of pure 60° symmetry is geometrically closed but operationally inert. It can rotate forever and build nothing that ‘stands.’ To do work — to build a floor, to erect a wall, to define a right-angle closure — the symmetry must be broken. The introduction of a 90° angle is not an arbitrary choice: it is the minimum departure from 60° that produces a stable orthogonal structure.</w:t>
            </w:r>
          </w:p>
        </w:tc>
      </w:tr>
    </w:tbl>
    <w:p>
      <w:pPr>
        <w:spacing w:after="60" w:before="0"/>
      </w:pPr>
      <w:r>
        <w:t xml:space="preserve"/>
      </w:r>
    </w:p>
    <w:p>
      <w:pPr>
        <w:spacing w:after="120" w:before="80"/>
      </w:pPr>
      <w:r>
        <w:rPr>
          <w:rFonts w:ascii="Arial" w:cs="Arial" w:eastAsia="Arial" w:hAnsi="Arial"/>
          <w:sz w:val="22"/>
          <w:szCs w:val="22"/>
        </w:rPr>
        <w:t xml:space="preserve">The 60° field is potential. The 90° angle is actuality. The gap between them is where construction begins.</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3. The 3-4-5 Triangle: The First Forced Closure</w:t>
      </w:r>
    </w:p>
    <w:p>
      <w:pPr>
        <w:spacing w:after="120" w:before="80"/>
      </w:pPr>
      <w:r>
        <w:rPr>
          <w:rFonts w:ascii="Arial" w:cs="Arial" w:eastAsia="Arial" w:hAnsi="Arial"/>
          <w:sz w:val="22"/>
          <w:szCs w:val="22"/>
        </w:rPr>
        <w:t xml:space="preserve">With a 90° angle in hand, the question is: what is the smallest set of integers that closes a right-angled figure? This is a direct search, not a choice.</w:t>
      </w:r>
    </w:p>
    <w:p>
      <w:pPr>
        <w:spacing w:after="60" w:before="0"/>
      </w:pPr>
      <w:r>
        <w:t xml:space="preserve"/>
      </w:r>
    </w:p>
    <w:p>
      <w:pPr>
        <w:pStyle w:val="Heading2"/>
        <w:spacing w:after="80" w:before="320"/>
      </w:pPr>
      <w:r>
        <w:rPr>
          <w:rFonts w:ascii="Arial" w:cs="Arial" w:eastAsia="Arial" w:hAnsi="Arial"/>
          <w:b/>
          <w:bCs/>
          <w:sz w:val="26"/>
          <w:szCs w:val="26"/>
        </w:rPr>
        <w:t xml:space="preserve">The Prime Post Rule</w:t>
      </w:r>
    </w:p>
    <w:p>
      <w:pPr>
        <w:spacing w:after="120" w:before="80"/>
      </w:pPr>
      <w:r>
        <w:rPr>
          <w:rFonts w:ascii="Arial" w:cs="Arial" w:eastAsia="Arial" w:hAnsi="Arial"/>
          <w:sz w:val="22"/>
          <w:szCs w:val="22"/>
        </w:rPr>
        <w:t xml:space="preserve">For any odd integer </w:t>
      </w:r>
      <w:r>
        <w:rPr>
          <w:rFonts w:ascii="Arial" w:cs="Arial" w:eastAsia="Arial" w:hAnsi="Arial"/>
          <w:i/>
          <w:iCs/>
          <w:sz w:val="22"/>
          <w:szCs w:val="22"/>
        </w:rPr>
        <w:t xml:space="preserve">a</w:t>
      </w:r>
      <w:r>
        <w:rPr>
          <w:rFonts w:ascii="Arial" w:cs="Arial" w:eastAsia="Arial" w:hAnsi="Arial"/>
          <w:sz w:val="22"/>
          <w:szCs w:val="22"/>
        </w:rPr>
        <w:t xml:space="preserve">, there exists a unique pair of integers (</w:t>
      </w:r>
      <w:r>
        <w:rPr>
          <w:rFonts w:ascii="Arial" w:cs="Arial" w:eastAsia="Arial" w:hAnsi="Arial"/>
          <w:i/>
          <w:iCs/>
          <w:sz w:val="22"/>
          <w:szCs w:val="22"/>
        </w:rPr>
        <w:t xml:space="preserve">b</w:t>
      </w:r>
      <w:r>
        <w:rPr>
          <w:rFonts w:ascii="Arial" w:cs="Arial" w:eastAsia="Arial" w:hAnsi="Arial"/>
          <w:sz w:val="22"/>
          <w:szCs w:val="22"/>
        </w:rPr>
        <w:t xml:space="preserve">, </w:t>
      </w:r>
      <w:r>
        <w:rPr>
          <w:rFonts w:ascii="Arial" w:cs="Arial" w:eastAsia="Arial" w:hAnsi="Arial"/>
          <w:i/>
          <w:iCs/>
          <w:sz w:val="22"/>
          <w:szCs w:val="22"/>
        </w:rPr>
        <w:t xml:space="preserve">c</w:t>
      </w:r>
      <w:r>
        <w:rPr>
          <w:rFonts w:ascii="Arial" w:cs="Arial" w:eastAsia="Arial" w:hAnsi="Arial"/>
          <w:sz w:val="22"/>
          <w:szCs w:val="22"/>
        </w:rPr>
        <w:t xml:space="preserve">) such that a² + b² = c². The relationship is:</w:t>
      </w:r>
    </w:p>
    <w:p>
      <w:pPr>
        <w:spacing w:after="60" w:before="0"/>
      </w:pPr>
      <w:r>
        <w:t xml:space="preserve"/>
      </w:r>
    </w:p>
    <w:p>
      <w:pPr>
        <w:spacing w:after="160" w:before="160"/>
        <w:jc w:val="center"/>
      </w:pPr>
      <w:r>
        <w:rPr>
          <w:rFonts w:ascii="Courier New" w:cs="Courier New" w:eastAsia="Courier New" w:hAnsi="Courier New"/>
          <w:b/>
          <w:bCs/>
          <w:sz w:val="24"/>
          <w:szCs w:val="24"/>
        </w:rPr>
        <w:t xml:space="preserve">a² = 2b + 1</w:t>
      </w:r>
    </w:p>
    <w:p>
      <w:pPr>
        <w:spacing w:after="60" w:before="0"/>
      </w:pPr>
      <w:r>
        <w:t xml:space="preserve"/>
      </w:r>
    </w:p>
    <w:p>
      <w:pPr>
        <w:spacing w:after="120" w:before="80"/>
      </w:pPr>
      <w:r>
        <w:rPr>
          <w:rFonts w:ascii="Arial" w:cs="Arial" w:eastAsia="Arial" w:hAnsi="Arial"/>
          <w:sz w:val="22"/>
          <w:szCs w:val="22"/>
        </w:rPr>
        <w:t xml:space="preserve">Which gives: </w:t>
      </w:r>
      <w:r>
        <w:rPr>
          <w:rFonts w:ascii="Arial" w:cs="Arial" w:eastAsia="Arial" w:hAnsi="Arial"/>
          <w:i/>
          <w:iCs/>
          <w:sz w:val="22"/>
          <w:szCs w:val="22"/>
        </w:rPr>
        <w:t xml:space="preserve">b</w:t>
      </w:r>
      <w:r>
        <w:rPr>
          <w:rFonts w:ascii="Arial" w:cs="Arial" w:eastAsia="Arial" w:hAnsi="Arial"/>
          <w:sz w:val="22"/>
          <w:szCs w:val="22"/>
        </w:rPr>
        <w:t xml:space="preserve"> = (a² - 1) / 2 and </w:t>
      </w:r>
      <w:r>
        <w:rPr>
          <w:rFonts w:ascii="Arial" w:cs="Arial" w:eastAsia="Arial" w:hAnsi="Arial"/>
          <w:i/>
          <w:iCs/>
          <w:sz w:val="22"/>
          <w:szCs w:val="22"/>
        </w:rPr>
        <w:t xml:space="preserve">c</w:t>
      </w:r>
      <w:r>
        <w:rPr>
          <w:rFonts w:ascii="Arial" w:cs="Arial" w:eastAsia="Arial" w:hAnsi="Arial"/>
          <w:sz w:val="22"/>
          <w:szCs w:val="22"/>
        </w:rPr>
        <w:t xml:space="preserve"> = b + 1.</w:t>
      </w:r>
    </w:p>
    <w:p>
      <w:pPr>
        <w:spacing w:after="60" w:before="0"/>
      </w:pPr>
      <w:r>
        <w:t xml:space="preserve"/>
      </w:r>
    </w:p>
    <w:p>
      <w:pPr>
        <w:spacing w:after="120" w:before="80"/>
      </w:pPr>
      <w:r>
        <w:rPr>
          <w:rFonts w:ascii="Arial" w:cs="Arial" w:eastAsia="Arial" w:hAnsi="Arial"/>
          <w:sz w:val="22"/>
          <w:szCs w:val="22"/>
        </w:rPr>
        <w:t xml:space="preserve">This formula has a geometric reading: for every odd post-count a, the road length b is uniquely determined, and the hypotenuse c is always exactly one more than the road. The ‘+1’ in the hypotenuse is the Ghost Post again, now appearing in 2D.</w:t>
      </w:r>
    </w:p>
    <w:p>
      <w:pPr>
        <w:spacing w:after="60" w:before="0"/>
      </w:pPr>
      <w:r>
        <w:t xml:space="preserve"/>
      </w:r>
    </w:p>
    <w:p>
      <w:pPr>
        <w:pStyle w:val="Heading2"/>
        <w:spacing w:after="80" w:before="320"/>
      </w:pPr>
      <w:r>
        <w:rPr>
          <w:rFonts w:ascii="Arial" w:cs="Arial" w:eastAsia="Arial" w:hAnsi="Arial"/>
          <w:b/>
          <w:bCs/>
          <w:sz w:val="26"/>
          <w:szCs w:val="26"/>
        </w:rPr>
        <w:t xml:space="preserve">Verification: The 3-4-5 Solution</w:t>
      </w:r>
    </w:p>
    <w:p>
      <w:pPr>
        <w:spacing w:after="120" w:before="80"/>
      </w:pPr>
      <w:r>
        <w:rPr>
          <w:rFonts w:ascii="Arial" w:cs="Arial" w:eastAsia="Arial" w:hAnsi="Arial"/>
          <w:sz w:val="22"/>
          <w:szCs w:val="22"/>
        </w:rPr>
        <w:t xml:space="preserve">Let a = 3 (the smallest odd integer that produces a non-trivial result):</w:t>
      </w:r>
    </w:p>
    <w:p>
      <w:pPr>
        <w:spacing w:after="60" w:before="0"/>
      </w:pPr>
      <w:r>
        <w:t xml:space="preserve"/>
      </w:r>
    </w:p>
    <w:p>
      <w:pPr>
        <w:spacing w:after="160" w:before="160"/>
        <w:jc w:val="center"/>
      </w:pPr>
      <w:r>
        <w:rPr>
          <w:rFonts w:ascii="Courier New" w:cs="Courier New" w:eastAsia="Courier New" w:hAnsi="Courier New"/>
          <w:b/>
          <w:bCs/>
          <w:sz w:val="24"/>
          <w:szCs w:val="24"/>
        </w:rPr>
        <w:t xml:space="preserve">b = (3² - 1) / 2 = (9 - 1) / 2 = 4</w:t>
      </w:r>
    </w:p>
    <w:p>
      <w:pPr>
        <w:spacing w:after="160" w:before="160"/>
        <w:jc w:val="center"/>
      </w:pPr>
      <w:r>
        <w:rPr>
          <w:rFonts w:ascii="Courier New" w:cs="Courier New" w:eastAsia="Courier New" w:hAnsi="Courier New"/>
          <w:b/>
          <w:bCs/>
          <w:sz w:val="24"/>
          <w:szCs w:val="24"/>
        </w:rPr>
        <w:t xml:space="preserve">c = b + 1 = 5</w:t>
      </w:r>
    </w:p>
    <w:p>
      <w:pPr>
        <w:spacing w:after="160" w:before="160"/>
        <w:jc w:val="center"/>
      </w:pPr>
      <w:r>
        <w:rPr>
          <w:rFonts w:ascii="Courier New" w:cs="Courier New" w:eastAsia="Courier New" w:hAnsi="Courier New"/>
          <w:b/>
          <w:bCs/>
          <w:sz w:val="24"/>
          <w:szCs w:val="24"/>
        </w:rPr>
        <w:t xml:space="preserve">3² + 4² = 9 + 16 = 25 = 5²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282" w:sz="4"/>
              <w:left w:val="thick" w:color="2C5282" w:sz="12"/>
              <w:bottom w:val="single" w:color="2C5282" w:sz="4"/>
              <w:right w:val="single" w:color="2C5282" w:sz="4"/>
            </w:tcBorders>
            <w:shd w:fill="EBF4FF" w:val="clear"/>
            <w:tcMar>
              <w:top w:type="dxa" w:w="120"/>
              <w:left w:type="dxa" w:w="180"/>
              <w:bottom w:type="dxa" w:w="120"/>
              <w:right w:type="dxa" w:w="120"/>
            </w:tcMar>
          </w:tcPr>
          <w:p>
            <w:r>
              <w:rPr>
                <w:rFonts w:ascii="Arial" w:cs="Arial" w:eastAsia="Arial" w:hAnsi="Arial"/>
                <w:b/>
                <w:bCs/>
                <w:color w:val="2C5282"/>
                <w:sz w:val="20"/>
                <w:szCs w:val="20"/>
              </w:rPr>
              <w:t xml:space="preserve">Forced vs. Chosen</w:t>
            </w:r>
          </w:p>
          <w:p>
            <w:pPr>
              <w:spacing w:before="40"/>
            </w:pPr>
            <w:r>
              <w:rPr>
                <w:rFonts w:ascii="Arial" w:cs="Arial" w:eastAsia="Arial" w:hAnsi="Arial"/>
                <w:sz w:val="20"/>
                <w:szCs w:val="20"/>
              </w:rPr>
              <w:t xml:space="preserve">The 3-4-5 triangle is forced. Given the constraint of integer values and a right angle, it is the minimum solution — there is no smaller one. No human preference determined it. The next decision — how large a measurement cycle to build around it — is a choice, as explained in the next section.</w:t>
            </w:r>
          </w:p>
        </w:tc>
      </w:tr>
    </w:tbl>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4. The 12-Fold Cycle: A Motivated Choice</w:t>
      </w:r>
    </w:p>
    <w:p>
      <w:pPr>
        <w:spacing w:after="120" w:before="80"/>
      </w:pPr>
      <w:r>
        <w:rPr>
          <w:rFonts w:ascii="Arial" w:cs="Arial" w:eastAsia="Arial" w:hAnsi="Arial"/>
          <w:sz w:val="22"/>
          <w:szCs w:val="22"/>
        </w:rPr>
        <w:t xml:space="preserve">The 3-4-5 triangle gives us a unit of construction. To measure and coordinate time, space, and division, we need a cycle — a standard number of intervals for one full rotation.</w:t>
      </w:r>
    </w:p>
    <w:p>
      <w:pPr>
        <w:spacing w:after="60" w:before="0"/>
      </w:pPr>
      <w:r>
        <w:t xml:space="preserve"/>
      </w:r>
    </w:p>
    <w:p>
      <w:pPr>
        <w:spacing w:after="120" w:before="80"/>
      </w:pPr>
      <w:r>
        <w:rPr>
          <w:rFonts w:ascii="Arial" w:cs="Arial" w:eastAsia="Arial" w:hAnsi="Arial"/>
          <w:sz w:val="22"/>
          <w:szCs w:val="22"/>
        </w:rPr>
        <w:t xml:space="preserve">The choice of base is utilitarian, not forced. We choose base-12 for a specific, explicit reason: 12 is the smallest highly composite number that is simultaneously divisible by 2, 3, 4, and 6. This makes it maximally useful for sub-division without remainder.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Divisors</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1, 2, 5, 10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Familiar but 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1, 2, 3, 4, 6, 12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with 2, 3, 4, 6 — chosen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1, 2, 3, 4, 6, 8, 12, 24</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Double of 12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1, 2, 3, 4, 5, 6, 10, 12...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Highly composite; derived later</w:t>
            </w:r>
          </w:p>
        </w:tc>
      </w:tr>
    </w:tbl>
    <w:p>
      <w:pPr>
        <w:spacing w:after="60" w:before="0"/>
      </w:pPr>
      <w:r>
        <w:t xml:space="preserve"/>
      </w:r>
    </w:p>
    <w:p>
      <w:pPr>
        <w:spacing w:after="120" w:before="80"/>
      </w:pPr>
      <w:r>
        <w:rPr>
          <w:rFonts w:ascii="Arial" w:cs="Arial" w:eastAsia="Arial" w:hAnsi="Arial"/>
          <w:sz w:val="22"/>
          <w:szCs w:val="22"/>
        </w:rPr>
        <w:t xml:space="preserve">This is a choice, not a necessity. Other bases are possible. Base-10 is familiar. Base-60 is used in angle measurement and timekeeping. The choice of base-12 is marked as utilitarian throughout this paper. It is the choice that produces the most tractable geometry for a bilateral observer. The downstream consequences of that choice are shown below.</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5. The 5-12-13 Triple: The Forced Consequence of Base-12</w:t>
      </w:r>
    </w:p>
    <w:p>
      <w:pPr>
        <w:spacing w:after="120" w:before="80"/>
      </w:pPr>
      <w:r>
        <w:rPr>
          <w:rFonts w:ascii="Arial" w:cs="Arial" w:eastAsia="Arial" w:hAnsi="Arial"/>
          <w:sz w:val="22"/>
          <w:szCs w:val="22"/>
        </w:rPr>
        <w:t xml:space="preserve">Given the choice of base-12, the resulting Pythagorean triple is no longer a choice. It is forced.</w:t>
      </w:r>
    </w:p>
    <w:p>
      <w:pPr>
        <w:spacing w:after="60" w:before="0"/>
      </w:pPr>
      <w:r>
        <w:t xml:space="preserve"/>
      </w:r>
    </w:p>
    <w:p>
      <w:pPr>
        <w:spacing w:after="120" w:before="80"/>
      </w:pPr>
      <w:r>
        <w:rPr>
          <w:rFonts w:ascii="Arial" w:cs="Arial" w:eastAsia="Arial" w:hAnsi="Arial"/>
          <w:sz w:val="22"/>
          <w:szCs w:val="22"/>
        </w:rPr>
        <w:t xml:space="preserve">Apply the Ghost Post axiom to a 12-unit cycle: 12 intervals require 13 boundary markers. So the cycle count is 12 and the boundary post is 13.</w:t>
      </w:r>
    </w:p>
    <w:p>
      <w:pPr>
        <w:spacing w:after="60" w:before="0"/>
      </w:pPr>
      <w:r>
        <w:t xml:space="preserve"/>
      </w:r>
    </w:p>
    <w:p>
      <w:pPr>
        <w:spacing w:after="120" w:before="80"/>
      </w:pPr>
      <w:r>
        <w:rPr>
          <w:rFonts w:ascii="Arial" w:cs="Arial" w:eastAsia="Arial" w:hAnsi="Arial"/>
          <w:sz w:val="22"/>
          <w:szCs w:val="22"/>
        </w:rPr>
        <w:t xml:space="preserve">Apply the Prime Post Rule to find the matching closure post:</w:t>
      </w:r>
    </w:p>
    <w:p>
      <w:pPr>
        <w:spacing w:after="60" w:before="0"/>
      </w:pPr>
      <w:r>
        <w:t xml:space="preserve"/>
      </w:r>
    </w:p>
    <w:p>
      <w:pPr>
        <w:spacing w:after="160" w:before="160"/>
        <w:jc w:val="center"/>
      </w:pPr>
      <w:r>
        <w:rPr>
          <w:rFonts w:ascii="Courier New" w:cs="Courier New" w:eastAsia="Courier New" w:hAnsi="Courier New"/>
          <w:b/>
          <w:bCs/>
          <w:sz w:val="24"/>
          <w:szCs w:val="24"/>
        </w:rPr>
        <w:t xml:space="preserve">a² = 2b + 1 where b = 12</w:t>
      </w:r>
    </w:p>
    <w:p>
      <w:pPr>
        <w:spacing w:after="160" w:before="160"/>
        <w:jc w:val="center"/>
      </w:pPr>
      <w:r>
        <w:rPr>
          <w:rFonts w:ascii="Courier New" w:cs="Courier New" w:eastAsia="Courier New" w:hAnsi="Courier New"/>
          <w:b/>
          <w:bCs/>
          <w:sz w:val="24"/>
          <w:szCs w:val="24"/>
        </w:rPr>
        <w:t xml:space="preserve">a² = 2(12) + 1 = 25</w:t>
      </w:r>
    </w:p>
    <w:p>
      <w:pPr>
        <w:spacing w:after="160" w:before="160"/>
        <w:jc w:val="center"/>
      </w:pPr>
      <w:r>
        <w:rPr>
          <w:rFonts w:ascii="Courier New" w:cs="Courier New" w:eastAsia="Courier New" w:hAnsi="Courier New"/>
          <w:b/>
          <w:bCs/>
          <w:sz w:val="24"/>
          <w:szCs w:val="24"/>
        </w:rPr>
        <w:t xml:space="preserve">a = 5</w:t>
      </w:r>
    </w:p>
    <w:p>
      <w:pPr>
        <w:spacing w:after="160" w:before="160"/>
        <w:jc w:val="center"/>
      </w:pPr>
      <w:r>
        <w:rPr>
          <w:rFonts w:ascii="Courier New" w:cs="Courier New" w:eastAsia="Courier New" w:hAnsi="Courier New"/>
          <w:b/>
          <w:bCs/>
          <w:sz w:val="24"/>
          <w:szCs w:val="24"/>
        </w:rPr>
        <w:t xml:space="preserve">c = b + 1 = 13</w:t>
      </w:r>
    </w:p>
    <w:p>
      <w:pPr>
        <w:spacing w:after="160" w:before="160"/>
        <w:jc w:val="center"/>
      </w:pPr>
      <w:r>
        <w:rPr>
          <w:rFonts w:ascii="Courier New" w:cs="Courier New" w:eastAsia="Courier New" w:hAnsi="Courier New"/>
          <w:b/>
          <w:bCs/>
          <w:sz w:val="24"/>
          <w:szCs w:val="24"/>
        </w:rPr>
        <w:t xml:space="preserve">5² + 12² = 25 + 144 = 169 = 13²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282" w:sz="4"/>
              <w:left w:val="thick" w:color="2C5282" w:sz="12"/>
              <w:bottom w:val="single" w:color="2C5282" w:sz="4"/>
              <w:right w:val="single" w:color="2C5282" w:sz="4"/>
            </w:tcBorders>
            <w:shd w:fill="EBF4FF" w:val="clear"/>
            <w:tcMar>
              <w:top w:type="dxa" w:w="120"/>
              <w:left w:type="dxa" w:w="180"/>
              <w:bottom w:type="dxa" w:w="120"/>
              <w:right w:type="dxa" w:w="120"/>
            </w:tcMar>
          </w:tcPr>
          <w:p>
            <w:r>
              <w:rPr>
                <w:rFonts w:ascii="Arial" w:cs="Arial" w:eastAsia="Arial" w:hAnsi="Arial"/>
                <w:b/>
                <w:bCs/>
                <w:color w:val="2C5282"/>
                <w:sz w:val="20"/>
                <w:szCs w:val="20"/>
              </w:rPr>
              <w:t xml:space="preserve">Why This Is Forced</w:t>
            </w:r>
          </w:p>
          <w:p>
            <w:pPr>
              <w:spacing w:before="40"/>
            </w:pPr>
            <w:r>
              <w:rPr>
                <w:rFonts w:ascii="Arial" w:cs="Arial" w:eastAsia="Arial" w:hAnsi="Arial"/>
                <w:sz w:val="20"/>
                <w:szCs w:val="20"/>
              </w:rPr>
              <w:t xml:space="preserve">If you accept base-12 as your cycle (a choice), the Prime Post Rule and the Ghost Post axiom jointly determine the triple. You cannot choose a different triple without abandoning base-12. The 5-12-13 is the unique consequence of the cycle choice.</w:t>
            </w:r>
          </w:p>
        </w:tc>
      </w:tr>
    </w:tbl>
    <w:p>
      <w:pPr>
        <w:spacing w:after="60" w:before="0"/>
      </w:pPr>
      <w:r>
        <w:t xml:space="preserve"/>
      </w:r>
    </w:p>
    <w:p>
      <w:pPr>
        <w:pStyle w:val="Heading2"/>
        <w:spacing w:after="80" w:before="320"/>
      </w:pPr>
      <w:r>
        <w:rPr>
          <w:rFonts w:ascii="Arial" w:cs="Arial" w:eastAsia="Arial" w:hAnsi="Arial"/>
          <w:b/>
          <w:bCs/>
          <w:sz w:val="26"/>
          <w:szCs w:val="26"/>
        </w:rPr>
        <w:t xml:space="preserve">What the Numbers Mean</w:t>
      </w:r>
    </w:p>
    <w:p>
      <w:pPr>
        <w:spacing w:after="120" w:before="80"/>
      </w:pPr>
      <w:r>
        <w:rPr>
          <w:rFonts w:ascii="Arial" w:cs="Arial" w:eastAsia="Arial" w:hAnsi="Arial"/>
          <w:sz w:val="22"/>
          <w:szCs w:val="22"/>
        </w:rPr>
        <w:t xml:space="preserve">The triple (5, 12, 13) has a physical reading in the context of a measuring observer:</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5 — the closure post: the number of counting units on the observer’s dominant hand</w:t>
      </w:r>
    </w:p>
    <w:p>
      <w:pPr>
        <w:pStyle w:val="ListParagraph"/>
        <w:numPr>
          <w:ilvl w:val="0"/>
          <w:numId w:val="2"/>
        </w:numPr>
        <w:spacing w:after="40" w:before="40"/>
      </w:pPr>
      <w:r>
        <w:rPr>
          <w:rFonts w:ascii="Arial" w:cs="Arial" w:eastAsia="Arial" w:hAnsi="Arial"/>
          <w:sz w:val="22"/>
          <w:szCs w:val="22"/>
        </w:rPr>
        <w:t xml:space="preserve">12 — the road: the cycle the observer uses to measure time and arc</w:t>
      </w:r>
    </w:p>
    <w:p>
      <w:pPr>
        <w:pStyle w:val="ListParagraph"/>
        <w:numPr>
          <w:ilvl w:val="0"/>
          <w:numId w:val="2"/>
        </w:numPr>
        <w:spacing w:after="40" w:before="40"/>
      </w:pPr>
      <w:r>
        <w:rPr>
          <w:rFonts w:ascii="Arial" w:cs="Arial" w:eastAsia="Arial" w:hAnsi="Arial"/>
          <w:sz w:val="22"/>
          <w:szCs w:val="22"/>
        </w:rPr>
        <w:t xml:space="preserve">13 — the hypotenuse: the boundary marker that closes the cycle; one more than the road</w:t>
      </w:r>
    </w:p>
    <w:p>
      <w:pPr>
        <w:spacing w:after="60" w:before="0"/>
      </w:pPr>
      <w:r>
        <w:t xml:space="preserve"/>
      </w:r>
    </w:p>
    <w:p>
      <w:pPr>
        <w:spacing w:after="120" w:before="80"/>
      </w:pPr>
      <w:r>
        <w:rPr>
          <w:rFonts w:ascii="Arial" w:cs="Arial" w:eastAsia="Arial" w:hAnsi="Arial"/>
          <w:sz w:val="22"/>
          <w:szCs w:val="22"/>
        </w:rPr>
        <w:t xml:space="preserve">The 5-12-13 is a single-sided tool. An observer with one hand can use it, but cannot achieve bilateral balance. The next step addresses that constraint.</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6. The 10-24-26 Manifold: The Bilateral Observer</w:t>
      </w:r>
    </w:p>
    <w:p>
      <w:pPr>
        <w:spacing w:after="120" w:before="80"/>
      </w:pPr>
      <w:r>
        <w:rPr>
          <w:rFonts w:ascii="Arial" w:cs="Arial" w:eastAsia="Arial" w:hAnsi="Arial"/>
          <w:sz w:val="22"/>
          <w:szCs w:val="22"/>
        </w:rPr>
        <w:t xml:space="preserve">A single 5-12-13 triangle is an abstract counting instrument. A physical observer requires bilateral symmetry to stand, to balance, to observe without falling. This is not mystical — it is the mechanical requirement for a stable measurement platform.</w:t>
      </w:r>
    </w:p>
    <w:p>
      <w:pPr>
        <w:spacing w:after="60" w:before="0"/>
      </w:pPr>
      <w:r>
        <w:t xml:space="preserve"/>
      </w:r>
    </w:p>
    <w:p>
      <w:pPr>
        <w:pStyle w:val="Heading2"/>
        <w:spacing w:after="80" w:before="320"/>
      </w:pPr>
      <w:r>
        <w:rPr>
          <w:rFonts w:ascii="Arial" w:cs="Arial" w:eastAsia="Arial" w:hAnsi="Arial"/>
          <w:b/>
          <w:bCs/>
          <w:sz w:val="26"/>
          <w:szCs w:val="26"/>
        </w:rPr>
        <w:t xml:space="preserve">The Bilateral Doubling</w:t>
      </w:r>
    </w:p>
    <w:p>
      <w:pPr>
        <w:spacing w:after="120" w:before="80"/>
      </w:pPr>
      <w:r>
        <w:rPr>
          <w:rFonts w:ascii="Arial" w:cs="Arial" w:eastAsia="Arial" w:hAnsi="Arial"/>
          <w:sz w:val="22"/>
          <w:szCs w:val="22"/>
        </w:rPr>
        <w:t xml:space="preserve">Double the 5-12-13 to accommodate bilateral symmetry:</w:t>
      </w:r>
    </w:p>
    <w:p>
      <w:pPr>
        <w:spacing w:after="60" w:before="0"/>
      </w:pPr>
      <w:r>
        <w:t xml:space="preserve"/>
      </w:r>
    </w:p>
    <w:p>
      <w:pPr>
        <w:spacing w:after="160" w:before="160"/>
        <w:jc w:val="center"/>
      </w:pPr>
      <w:r>
        <w:rPr>
          <w:rFonts w:ascii="Courier New" w:cs="Courier New" w:eastAsia="Courier New" w:hAnsi="Courier New"/>
          <w:b/>
          <w:bCs/>
          <w:sz w:val="24"/>
          <w:szCs w:val="24"/>
        </w:rPr>
        <w:t xml:space="preserve">5 × 2 = 10     (both hands: the ten-fingered counting system)</w:t>
      </w:r>
    </w:p>
    <w:p>
      <w:pPr>
        <w:spacing w:after="160" w:before="160"/>
        <w:jc w:val="center"/>
      </w:pPr>
      <w:r>
        <w:rPr>
          <w:rFonts w:ascii="Courier New" w:cs="Courier New" w:eastAsia="Courier New" w:hAnsi="Courier New"/>
          <w:b/>
          <w:bCs/>
          <w:sz w:val="24"/>
          <w:szCs w:val="24"/>
        </w:rPr>
        <w:t xml:space="preserve">12 × 2 = 24    (both halves of the day: the 24-hour clock)</w:t>
      </w:r>
    </w:p>
    <w:p>
      <w:pPr>
        <w:spacing w:after="160" w:before="160"/>
        <w:jc w:val="center"/>
      </w:pPr>
      <w:r>
        <w:rPr>
          <w:rFonts w:ascii="Courier New" w:cs="Courier New" w:eastAsia="Courier New" w:hAnsi="Courier New"/>
          <w:b/>
          <w:bCs/>
          <w:sz w:val="24"/>
          <w:szCs w:val="24"/>
        </w:rPr>
        <w:t xml:space="preserve">13 × 2 = 26    (the boundary post doubled: the 26-symbol alphabet)</w:t>
      </w:r>
    </w:p>
    <w:p>
      <w:pPr>
        <w:spacing w:after="60" w:before="0"/>
      </w:pPr>
      <w:r>
        <w:t xml:space="preserve"/>
      </w:r>
    </w:p>
    <w:p>
      <w:pPr>
        <w:spacing w:after="120" w:before="80"/>
      </w:pPr>
      <w:r>
        <w:rPr>
          <w:rFonts w:ascii="Arial" w:cs="Arial" w:eastAsia="Arial" w:hAnsi="Arial"/>
          <w:sz w:val="22"/>
          <w:szCs w:val="22"/>
        </w:rPr>
        <w:t xml:space="preserve">The (10, 24, 26) triple is not a primitive Pythagorean triple — it is a scaled version of (5, 12, 13) and satisfies the Pythagorean identity:</w:t>
      </w:r>
    </w:p>
    <w:p>
      <w:pPr>
        <w:spacing w:after="60" w:before="0"/>
      </w:pPr>
      <w:r>
        <w:t xml:space="preserve"/>
      </w:r>
    </w:p>
    <w:p>
      <w:pPr>
        <w:spacing w:after="160" w:before="160"/>
        <w:jc w:val="center"/>
      </w:pPr>
      <w:r>
        <w:rPr>
          <w:rFonts w:ascii="Courier New" w:cs="Courier New" w:eastAsia="Courier New" w:hAnsi="Courier New"/>
          <w:b/>
          <w:bCs/>
          <w:sz w:val="24"/>
          <w:szCs w:val="24"/>
        </w:rPr>
        <w:t xml:space="preserve">10² + 24² = 100 + 576 = 676 = 26²  ✔</w:t>
      </w:r>
    </w:p>
    <w:p>
      <w:pPr>
        <w:spacing w:after="60" w:before="0"/>
      </w:pPr>
      <w:r>
        <w:t xml:space="preserve"/>
      </w:r>
    </w:p>
    <w:p>
      <w:pPr>
        <w:pStyle w:val="Heading2"/>
        <w:spacing w:after="80" w:before="320"/>
      </w:pPr>
      <w:r>
        <w:rPr>
          <w:rFonts w:ascii="Arial" w:cs="Arial" w:eastAsia="Arial" w:hAnsi="Arial"/>
          <w:b/>
          <w:bCs/>
          <w:sz w:val="26"/>
          <w:szCs w:val="26"/>
        </w:rPr>
        <w:t xml:space="preserve">The Mathman as Structural Vacancy</w:t>
      </w:r>
    </w:p>
    <w:p>
      <w:pPr>
        <w:spacing w:after="120" w:before="80"/>
      </w:pPr>
      <w:r>
        <w:rPr>
          <w:rFonts w:ascii="Arial" w:cs="Arial" w:eastAsia="Arial" w:hAnsi="Arial"/>
          <w:sz w:val="22"/>
          <w:szCs w:val="22"/>
        </w:rPr>
        <w:t xml:space="preserve">Consider the numbers assembled: 10 fingers for counting, 24 hours for the solar cycle, 26 symbols for a writing system. These three quantities recur across human measurement systems independently: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Cultural Instance</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Ten fingers</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Basis for decimal counting in virtually all human cultures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Twenty-four hours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standard solar day division in all major timekeeping traditions</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Twenty-six letters</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The Latin alphabet, the basis of English and many other writing systems</w:t>
            </w:r>
          </w:p>
        </w:tc>
      </w:tr>
    </w:tbl>
    <w:p>
      <w:pPr>
        <w:spacing w:after="60" w:before="0"/>
      </w:pPr>
      <w:r>
        <w:t xml:space="preserve"/>
      </w:r>
    </w:p>
    <w:p>
      <w:pPr>
        <w:spacing w:after="120" w:before="80"/>
      </w:pPr>
      <w:r>
        <w:rPr>
          <w:rFonts w:ascii="Arial" w:cs="Arial" w:eastAsia="Arial" w:hAnsi="Arial"/>
          <w:sz w:val="22"/>
          <w:szCs w:val="22"/>
        </w:rPr>
        <w:t xml:space="preserve">The hypothesis this paper advances is not that these cultural instances caused the mathematics. The hypothesis is that the mathematics — the unique bilateral bilateral integer solution to a base-12 counting system — constrained the cultural choices. The Mathman is the vacancy that human measurement filled, not the other way around.</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7. Summary of Invariants</w:t>
      </w:r>
    </w:p>
    <w:p>
      <w:pPr>
        <w:spacing w:after="120" w:before="80"/>
      </w:pPr>
      <w:r>
        <w:rPr>
          <w:rFonts w:ascii="Arial" w:cs="Arial" w:eastAsia="Arial" w:hAnsi="Arial"/>
          <w:sz w:val="22"/>
          <w:szCs w:val="22"/>
        </w:rPr>
        <w:t xml:space="preserve">The following table summarises every step in the derivation, flagging each as forced (arithmetic necessity) or chosen (utilitarian preference). A reader who accepts the axioms and disagrees with any choice should substitute their preferred value and derive the consequences.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tblHeader/>
        </w:trPr>
        <w:tc>
          <w:tcPr>
            <w:tcW w:type="auto" w:w="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auto" w:w="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auto" w:w="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auto" w:w="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Succession (n → n+1)</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Arithmetic law; not negotiable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(+1 Ghost Post)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Topological law; n intervals require n+1 marks</w:t>
            </w:r>
          </w:p>
        </w:tc>
      </w:tr>
      <w:tr>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Right Angle (90°)</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Choice/Utility</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CHOSEN</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Required for orthogonal construction; breaks 60° symmetry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 Triangle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integer Pythagorean triple; derived, not selected</w:t>
            </w:r>
          </w:p>
        </w:tc>
      </w:tr>
      <w:tr>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Base-12 Cycle</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Choice/Utility</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CHOSEN</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Optimal divisibility (2, 3, 4, 6); explicitly not the only option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5-12-13 Triple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consequence of base-12 + Ghost Post + Prime Post Rule</w:t>
            </w:r>
          </w:p>
        </w:tc>
      </w:tr>
      <w:tr>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Bilateral Symmetry</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Required for stable observation platform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10-24-26 Gate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Necessity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bilateral scaling of 5-12-13</w:t>
            </w:r>
          </w:p>
        </w:tc>
      </w:tr>
    </w:tbl>
    <w:p>
      <w:pPr>
        <w:spacing w:after="60" w:before="0"/>
      </w:pPr>
      <w:r>
        <w:t xml:space="preserve"/>
      </w:r>
    </w:p>
    <w:p>
      <w:pPr>
        <w:spacing w:after="120" w:before="80"/>
      </w:pPr>
      <w:r>
        <w:rPr>
          <w:rFonts w:ascii="Arial" w:cs="Arial" w:eastAsia="Arial" w:hAnsi="Arial"/>
          <w:sz w:val="22"/>
          <w:szCs w:val="22"/>
        </w:rPr>
        <w:t xml:space="preserve">Two choices appear in the derivation: the use of 90° rather than 60°, and the selection of base-12 rather than another cycle base. Both choices are motivated — they are made for reasons, not arbitrarily. The motivations are stated explicitly. All other steps are forced by the axioms.</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8. Explicit Scope Limits</w:t>
      </w:r>
    </w:p>
    <w:p>
      <w:pPr>
        <w:spacing w:after="120" w:before="80"/>
      </w:pPr>
      <w:r>
        <w:rPr>
          <w:rFonts w:ascii="Arial" w:cs="Arial" w:eastAsia="Arial" w:hAnsi="Arial"/>
          <w:sz w:val="22"/>
          <w:szCs w:val="22"/>
        </w:rPr>
        <w:t xml:space="preserve">To prevent the framework from expanding beyond its demonstrated reach, the following claims are explicitly excluded from this paper:</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This paper does not claim the 10-24-26 geometry causes physical structures such as crystal symmetries, atomic orbitals, or biological proportions.</w:t>
      </w:r>
    </w:p>
    <w:p>
      <w:pPr>
        <w:pStyle w:val="ListParagraph"/>
        <w:numPr>
          <w:ilvl w:val="0"/>
          <w:numId w:val="2"/>
        </w:numPr>
        <w:spacing w:after="40" w:before="40"/>
      </w:pPr>
      <w:r>
        <w:rPr>
          <w:rFonts w:ascii="Arial" w:cs="Arial" w:eastAsia="Arial" w:hAnsi="Arial"/>
          <w:sz w:val="22"/>
          <w:szCs w:val="22"/>
        </w:rPr>
        <w:t xml:space="preserve">This paper does not claim the framework explains or derives supersymmetry, quantum chromodynamics, or any other specific theory of physics.</w:t>
      </w:r>
    </w:p>
    <w:p>
      <w:pPr>
        <w:pStyle w:val="ListParagraph"/>
        <w:numPr>
          <w:ilvl w:val="0"/>
          <w:numId w:val="2"/>
        </w:numPr>
        <w:spacing w:after="40" w:before="40"/>
      </w:pPr>
      <w:r>
        <w:rPr>
          <w:rFonts w:ascii="Arial" w:cs="Arial" w:eastAsia="Arial" w:hAnsi="Arial"/>
          <w:sz w:val="22"/>
          <w:szCs w:val="22"/>
        </w:rPr>
        <w:t xml:space="preserve">This paper does not claim that the numerical correspondences between the derived triples and observed physical constants are more than structural resemblances worthy of further investigation.</w:t>
      </w:r>
    </w:p>
    <w:p>
      <w:pPr>
        <w:pStyle w:val="ListParagraph"/>
        <w:numPr>
          <w:ilvl w:val="0"/>
          <w:numId w:val="2"/>
        </w:numPr>
        <w:spacing w:after="40" w:before="40"/>
      </w:pPr>
      <w:r>
        <w:rPr>
          <w:rFonts w:ascii="Arial" w:cs="Arial" w:eastAsia="Arial" w:hAnsi="Arial"/>
          <w:sz w:val="22"/>
          <w:szCs w:val="22"/>
        </w:rPr>
        <w:t xml:space="preserve">This paper does not claim to provide a unified theory of physics, consciousness, language, or history.</w:t>
      </w:r>
    </w:p>
    <w:p>
      <w:pPr>
        <w:spacing w:after="60" w:before="0"/>
      </w:pPr>
      <w:r>
        <w:t xml:space="preserve"/>
      </w:r>
    </w:p>
    <w:p>
      <w:pPr>
        <w:spacing w:after="120" w:before="80"/>
      </w:pPr>
      <w:r>
        <w:rPr>
          <w:rFonts w:ascii="Arial" w:cs="Arial" w:eastAsia="Arial" w:hAnsi="Arial"/>
          <w:sz w:val="22"/>
          <w:szCs w:val="22"/>
        </w:rPr>
        <w:t xml:space="preserve">The scope of this paper is precisely: given four axioms, here is the unique path from counting to the 10-24-26 bilateral manifold, with every choice flagged. That claim is defensible. It is the one this paper makes.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282" w:sz="4"/>
              <w:left w:val="thick" w:color="2C5282" w:sz="12"/>
              <w:bottom w:val="single" w:color="2C5282" w:sz="4"/>
              <w:right w:val="single" w:color="2C5282" w:sz="4"/>
            </w:tcBorders>
            <w:shd w:fill="EBF4FF" w:val="clear"/>
            <w:tcMar>
              <w:top w:type="dxa" w:w="120"/>
              <w:left w:type="dxa" w:w="180"/>
              <w:bottom w:type="dxa" w:w="120"/>
              <w:right w:type="dxa" w:w="120"/>
            </w:tcMar>
          </w:tcPr>
          <w:p>
            <w:r>
              <w:rPr>
                <w:rFonts w:ascii="Arial" w:cs="Arial" w:eastAsia="Arial" w:hAnsi="Arial"/>
                <w:b/>
                <w:bCs/>
                <w:color w:val="2C5282"/>
                <w:sz w:val="20"/>
                <w:szCs w:val="20"/>
              </w:rPr>
              <w:t xml:space="preserve">What this paper does claim</w:t>
            </w:r>
          </w:p>
          <w:p>
            <w:pPr>
              <w:spacing w:before="40"/>
            </w:pPr>
            <w:r>
              <w:rPr>
                <w:rFonts w:ascii="Arial" w:cs="Arial" w:eastAsia="Arial" w:hAnsi="Arial"/>
                <w:sz w:val="20"/>
                <w:szCs w:val="20"/>
              </w:rPr>
              <w:t xml:space="preserve">Starting from succession, boundary, and closure — three axioms that any counting system must satisfy — a bilateral observer operating in a base-12 measurement system is structurally constrained to a 10-24-26 geometry. The derivation is complete in this document. Each step is checkable by any reader with secondary-school algebra.</w:t>
            </w:r>
          </w:p>
        </w:tc>
      </w:tr>
    </w:tbl>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9. Forward Path</w:t>
      </w:r>
    </w:p>
    <w:p>
      <w:pPr>
        <w:spacing w:after="120" w:before="80"/>
      </w:pPr>
      <w:r>
        <w:rPr>
          <w:rFonts w:ascii="Arial" w:cs="Arial" w:eastAsia="Arial" w:hAnsi="Arial"/>
          <w:sz w:val="22"/>
          <w:szCs w:val="22"/>
        </w:rPr>
        <w:t xml:space="preserve">Part I establishes the bedrock. Three directions are identified for future work, each requiring independent derivation before any claim is made:</w:t>
      </w:r>
    </w:p>
    <w:p>
      <w:pPr>
        <w:spacing w:after="60" w:before="0"/>
      </w:pPr>
      <w:r>
        <w:t xml:space="preserve"/>
      </w:r>
    </w:p>
    <w:p>
      <w:pPr>
        <w:pStyle w:val="Heading2"/>
        <w:spacing w:after="80" w:before="320"/>
      </w:pPr>
      <w:r>
        <w:rPr>
          <w:rFonts w:ascii="Arial" w:cs="Arial" w:eastAsia="Arial" w:hAnsi="Arial"/>
          <w:b/>
          <w:bCs/>
          <w:sz w:val="26"/>
          <w:szCs w:val="26"/>
        </w:rPr>
        <w:t xml:space="preserve">Part II — The Agnostic Number</w:t>
      </w:r>
    </w:p>
    <w:p>
      <w:pPr>
        <w:spacing w:after="120" w:before="80"/>
      </w:pPr>
      <w:r>
        <w:rPr>
          <w:rFonts w:ascii="Arial" w:cs="Arial" w:eastAsia="Arial" w:hAnsi="Arial"/>
          <w:sz w:val="22"/>
          <w:szCs w:val="22"/>
        </w:rPr>
        <w:t xml:space="preserve">The hypothesis that number is prior to dimension: that length, time, and mass are the same count read at different scales through different physical processes. The claim that 12 appears independently in hours, months, semitones, and inches-per-foot is consistent with this hypothesis; it requires systematic derivation to move from observation to argument.</w:t>
      </w:r>
    </w:p>
    <w:p>
      <w:pPr>
        <w:spacing w:after="60" w:before="0"/>
      </w:pPr>
      <w:r>
        <w:t xml:space="preserve"/>
      </w:r>
    </w:p>
    <w:p>
      <w:pPr>
        <w:pStyle w:val="Heading2"/>
        <w:spacing w:after="80" w:before="320"/>
      </w:pPr>
      <w:r>
        <w:rPr>
          <w:rFonts w:ascii="Arial" w:cs="Arial" w:eastAsia="Arial" w:hAnsi="Arial"/>
          <w:b/>
          <w:bCs/>
          <w:sz w:val="26"/>
          <w:szCs w:val="26"/>
        </w:rPr>
        <w:t xml:space="preserve">Part III — The Correspondence Mapping</w:t>
      </w:r>
    </w:p>
    <w:p>
      <w:pPr>
        <w:spacing w:after="120" w:before="80"/>
      </w:pPr>
      <w:r>
        <w:rPr>
          <w:rFonts w:ascii="Arial" w:cs="Arial" w:eastAsia="Arial" w:hAnsi="Arial"/>
          <w:sz w:val="22"/>
          <w:szCs w:val="22"/>
        </w:rPr>
        <w:t xml:space="preserve">A structured catalogue of where the 3:4:5, 5:12:13, and 10:24:26 ratios appear in physical, biological, musical, and architectural structures, with honest captions distinguishing structural resemblance from causal claim. In the tradition of D’Arcy Thompson’s On Growth and Form: showing the correspondences carefully, stating the hypothesis, and inviting investigation.</w:t>
      </w:r>
    </w:p>
    <w:p>
      <w:pPr>
        <w:spacing w:after="60" w:before="0"/>
      </w:pPr>
      <w:r>
        <w:t xml:space="preserve"/>
      </w:r>
    </w:p>
    <w:p>
      <w:pPr>
        <w:pStyle w:val="Heading2"/>
        <w:spacing w:after="80" w:before="320"/>
      </w:pPr>
      <w:r>
        <w:rPr>
          <w:rFonts w:ascii="Arial" w:cs="Arial" w:eastAsia="Arial" w:hAnsi="Arial"/>
          <w:b/>
          <w:bCs/>
          <w:sz w:val="26"/>
          <w:szCs w:val="26"/>
        </w:rPr>
        <w:t xml:space="preserve">Part IV — The Geometer’s Drawing Guide</w:t>
      </w:r>
    </w:p>
    <w:p>
      <w:pPr>
        <w:spacing w:after="120" w:before="80"/>
      </w:pPr>
      <w:r>
        <w:rPr>
          <w:rFonts w:ascii="Arial" w:cs="Arial" w:eastAsia="Arial" w:hAnsi="Arial"/>
          <w:sz w:val="22"/>
          <w:szCs w:val="22"/>
        </w:rPr>
        <w:t xml:space="preserve">Compass-and-straightedge construction sequences for the key figures derived in Part I, usable by working geometers and Illustrator users. The practical handbook.</w:t>
      </w:r>
    </w:p>
    <w:p>
      <w:pPr>
        <w:spacing w:after="60" w:before="0"/>
      </w:pPr>
      <w:r>
        <w:t xml:space="preserve"/>
      </w:r>
    </w:p>
    <w:p>
      <w:pPr>
        <w:spacing w:after="120" w:before="80"/>
      </w:pPr>
      <w:r>
        <w:rPr>
          <w:rFonts w:ascii="Arial" w:cs="Arial" w:eastAsia="Arial" w:hAnsi="Arial"/>
          <w:sz w:val="22"/>
          <w:szCs w:val="22"/>
        </w:rPr>
        <w:t xml:space="preserve">None of these parts will make claims beyond what the derivation demonstrates at each stage. The pattern of Part I — forced vs. chosen, derivation before verification — applies throughout.</w:t>
      </w:r>
    </w:p>
    <w:p>
      <w:pPr>
        <w:pBdr>
          <w:bottom w:val="single" w:color="CCCCCC" w:sz="4" w:space="1"/>
        </w:pBdr>
        <w:spacing w:after="240" w:before="240"/>
      </w:pPr>
      <w:r>
        <w:t xml:space="preserve"/>
      </w:r>
    </w:p>
    <w:p>
      <w:pPr>
        <w:pStyle w:val="Heading1"/>
        <w:spacing w:after="120" w:before="480"/>
      </w:pPr>
      <w:r>
        <w:rPr>
          <w:rFonts w:ascii="Arial" w:cs="Arial" w:eastAsia="Arial" w:hAnsi="Arial"/>
          <w:b/>
          <w:bCs/>
          <w:sz w:val="32"/>
          <w:szCs w:val="32"/>
        </w:rPr>
        <w:t xml:space="preserve">Selected References</w:t>
      </w:r>
    </w:p>
    <w:p>
      <w:pPr>
        <w:spacing w:after="120" w:before="80"/>
      </w:pPr>
      <w:r>
        <w:rPr>
          <w:rFonts w:ascii="Arial" w:cs="Arial" w:eastAsia="Arial" w:hAnsi="Arial"/>
          <w:sz w:val="22"/>
          <w:szCs w:val="22"/>
        </w:rPr>
        <w:t xml:space="preserve">Burns, R. (1785). To a Mouse. Poems, Chiefly in the Scottish Dialect. John Wilson, Kilmarnock.</w:t>
      </w:r>
    </w:p>
    <w:p>
      <w:pPr>
        <w:spacing w:after="120" w:before="80"/>
      </w:pPr>
      <w:r>
        <w:rPr>
          <w:rFonts w:ascii="Arial" w:cs="Arial" w:eastAsia="Arial" w:hAnsi="Arial"/>
          <w:sz w:val="22"/>
          <w:szCs w:val="22"/>
        </w:rPr>
        <w:t xml:space="preserve">Euclid. (c. 300 BCE). Elements (T. L. Heath, Trans., 1908). Cambridge University Press.</w:t>
      </w:r>
    </w:p>
    <w:p>
      <w:pPr>
        <w:spacing w:after="120" w:before="80"/>
      </w:pPr>
      <w:r>
        <w:rPr>
          <w:rFonts w:ascii="Arial" w:cs="Arial" w:eastAsia="Arial" w:hAnsi="Arial"/>
          <w:sz w:val="22"/>
          <w:szCs w:val="22"/>
        </w:rPr>
        <w:t xml:space="preserve">Fuller, R. B. (1975). Synergetics: Explorations in the Geometry of Thinking. Macmillan.</w:t>
      </w:r>
    </w:p>
    <w:p>
      <w:pPr>
        <w:spacing w:after="120" w:before="80"/>
      </w:pPr>
      <w:r>
        <w:rPr>
          <w:rFonts w:ascii="Arial" w:cs="Arial" w:eastAsia="Arial" w:hAnsi="Arial"/>
          <w:sz w:val="22"/>
          <w:szCs w:val="22"/>
        </w:rPr>
        <w:t xml:space="preserve">Plato. (c. 360 BCE). Timaeus (B. Jowett, Trans., 1871). Oxford University Press.</w:t>
      </w:r>
    </w:p>
    <w:p>
      <w:pPr>
        <w:spacing w:after="120" w:before="80"/>
      </w:pPr>
      <w:r>
        <w:rPr>
          <w:rFonts w:ascii="Arial" w:cs="Arial" w:eastAsia="Arial" w:hAnsi="Arial"/>
          <w:sz w:val="22"/>
          <w:szCs w:val="22"/>
        </w:rPr>
        <w:t xml:space="preserve">Thompson, D’A. W. (1917). On Growth and Form. Cambridge University Press.</w:t>
      </w:r>
    </w:p>
    <w:p>
      <w:pPr>
        <w:spacing w:after="120" w:before="0"/>
      </w:pPr>
      <w:r>
        <w:t xml:space="preserve"/>
      </w:r>
    </w:p>
    <w:p>
      <w:pPr>
        <w:pBdr>
          <w:bottom w:val="single" w:color="CCCCCC" w:sz="4" w:space="1"/>
        </w:pBdr>
        <w:spacing w:after="240" w:before="240"/>
      </w:pPr>
      <w:r>
        <w:t xml:space="preserve"/>
      </w:r>
    </w:p>
    <w:p>
      <w:pPr>
        <w:spacing w:after="0" w:before="240"/>
        <w:jc w:val="center"/>
      </w:pPr>
      <w:r>
        <w:rPr>
          <w:rFonts w:ascii="Arial" w:cs="Arial" w:eastAsia="Arial" w:hAnsi="Arial"/>
          <w:i/>
          <w:iCs/>
          <w:color w:val="888888"/>
          <w:sz w:val="20"/>
          <w:szCs w:val="20"/>
        </w:rPr>
        <w:t xml:space="preserve">End of Part 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PMG Part I: Axiomatic Genesis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365D"/>
      <w:sz w:val="32"/>
      <w:szCs w:val="32"/>
    </w:rPr>
  </w:style>
  <w:style w:type="paragraph" w:styleId="Heading2">
    <w:name w:val="Heading 2"/>
    <w:basedOn w:val="Normal"/>
    <w:next w:val="Normal"/>
    <w:qFormat/>
    <w:pPr>
      <w:spacing w:after="80" w:before="3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2026-03-03T00:46:54.985Z</dcterms:created>
  <dcterms:modified xsi:type="dcterms:W3CDTF">2026-03-03T00:46:54.986Z</dcterms:modified>
</cp:coreProperties>
</file>

<file path=docProps/custom.xml><?xml version="1.0" encoding="utf-8"?>
<Properties xmlns="http://schemas.openxmlformats.org/officeDocument/2006/custom-properties" xmlns:vt="http://schemas.openxmlformats.org/officeDocument/2006/docPropsVTypes"/>
</file>