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7B1A1A" w:val="clear"/>
            <w:tcMar>
              <w:top w:type="dxa" w:w="400"/>
              <w:left w:type="dxa" w:w="400"/>
              <w:bottom w:type="dxa" w:w="400"/>
              <w:right w:type="dxa" w:w="400"/>
            </w:tcMar>
          </w:tcPr>
          <w:p>
            <w:pPr>
              <w:spacing w:after="60" w:before="100"/>
              <w:jc w:val="center"/>
            </w:pPr>
            <w:r>
              <w:rPr>
                <w:rFonts w:ascii="Arial" w:cs="Arial" w:eastAsia="Arial" w:hAnsi="Arial"/>
                <w:b/>
                <w:bCs/>
                <w:color w:val="FFFFFF"/>
                <w:sz w:val="40"/>
                <w:szCs w:val="40"/>
              </w:rPr>
              <w:t xml:space="preserve">أمان فينتك</w:t>
            </w:r>
          </w:p>
          <w:p>
            <w:pPr>
              <w:spacing w:after="60" w:before="0"/>
              <w:jc w:val="center"/>
            </w:pPr>
            <w:r>
              <w:rPr>
                <w:rFonts w:ascii="Arial" w:cs="Arial" w:eastAsia="Arial" w:hAnsi="Arial"/>
                <w:color w:val="F5B7B1"/>
                <w:sz w:val="26"/>
                <w:szCs w:val="26"/>
              </w:rPr>
              <w:t xml:space="preserve">Aman FinTech</w:t>
            </w:r>
          </w:p>
          <w:p>
            <w:pPr>
              <w:spacing w:after="80" w:before="80"/>
              <w:jc w:val="center"/>
            </w:pPr>
            <w:r>
              <w:rPr>
                <w:rFonts w:ascii="Arial" w:cs="Arial" w:eastAsia="Arial" w:hAnsi="Arial"/>
                <w:color w:val="C0392B"/>
                <w:sz w:val="18"/>
                <w:szCs w:val="18"/>
              </w:rPr>
              <w:t xml:space="preserve">─────────────────────────────</w:t>
            </w:r>
          </w:p>
          <w:p>
            <w:pPr>
              <w:spacing w:after="40" w:before="60"/>
              <w:jc w:val="center"/>
            </w:pPr>
            <w:r>
              <w:rPr>
                <w:rFonts w:ascii="Arial" w:cs="Arial" w:eastAsia="Arial" w:hAnsi="Arial"/>
                <w:b/>
                <w:bCs/>
                <w:color w:val="FFFFFF"/>
                <w:sz w:val="36"/>
                <w:szCs w:val="36"/>
              </w:rPr>
              <w:t xml:space="preserve">Information Security Policy</w:t>
            </w:r>
          </w:p>
          <w:p>
            <w:pPr>
              <w:spacing w:after="60" w:before="0"/>
              <w:jc w:val="center"/>
            </w:pPr>
            <w:r>
              <w:rPr>
                <w:rFonts w:ascii="Arial" w:cs="Arial" w:eastAsia="Arial" w:hAnsi="Arial"/>
                <w:color w:val="F5B7B1"/>
                <w:sz w:val="26"/>
                <w:szCs w:val="26"/>
              </w:rPr>
              <w:t xml:space="preserve">سياسة أمن المعلومات</w:t>
            </w:r>
          </w:p>
          <w:p>
            <w:pPr>
              <w:spacing w:after="100" w:before="60"/>
              <w:jc w:val="center"/>
            </w:pPr>
            <w:r>
              <w:rPr>
                <w:rFonts w:ascii="Arial" w:cs="Arial" w:eastAsia="Arial" w:hAnsi="Arial"/>
                <w:color w:val="F5B7B1"/>
                <w:sz w:val="22"/>
                <w:szCs w:val="22"/>
              </w:rPr>
              <w:t xml:space="preserve">ISO 27001:2022 — Clause 5.2</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9026"/>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Document Information</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Document ID</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ISMS-ISP-001</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Version</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1.0</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Date of Issue</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April 2026</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Classification</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Confidential — سري</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Owner</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CISO — Chief Information Security Officer</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Approved By</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Board of Directors &amp; CEO</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Applies To</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جميع الموظفين والموردين والعملاء</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Review Cycle</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سنوي أو عند أي تغيير جوهري</w:t>
            </w:r>
          </w:p>
        </w:tc>
      </w:tr>
    </w:tbl>
    <w:p>
      <w:r>
        <w:rPr>
          <w:rFonts w:ascii="Arial" w:cs="Arial" w:eastAsia="Arial" w:hAnsi="Arial"/>
          <w:sz w:val="22"/>
          <w:szCs w:val="22"/>
        </w:rPr>
        <w:t xml:space="preserve"/>
      </w:r>
    </w:p>
    <w:p>
      <w:pPr>
        <w:pBdr>
          <w:bottom w:val="single" w:color="C0392B" w:sz="6" w:space="1"/>
        </w:pBdr>
        <w:spacing w:after="120" w:before="200"/>
      </w:pPr>
      <w:r>
        <w:rPr>
          <w:rFonts w:ascii="Arial" w:cs="Arial" w:eastAsia="Arial" w:hAnsi="Arial"/>
          <w:b/>
          <w:bCs/>
          <w:color w:val="7B1A1A"/>
          <w:sz w:val="26"/>
          <w:szCs w:val="26"/>
        </w:rPr>
        <w:t xml:space="preserve">1. Purpose &amp; Scope — الغرض والنطاق</w:t>
      </w:r>
    </w:p>
    <w:p>
      <w:r>
        <w:rPr>
          <w:rFonts w:ascii="Arial" w:cs="Arial" w:eastAsia="Arial" w:hAnsi="Arial"/>
          <w:sz w:val="22"/>
          <w:szCs w:val="22"/>
        </w:rPr>
        <w:t xml:space="preserve"/>
      </w:r>
    </w:p>
    <w:p>
      <w:pPr>
        <w:spacing w:after="80" w:before="80"/>
        <w:jc w:val="both"/>
      </w:pPr>
      <w:r>
        <w:rPr>
          <w:rFonts w:ascii="Arial" w:cs="Arial" w:eastAsia="Arial" w:hAnsi="Arial"/>
          <w:b w:val="false"/>
          <w:bCs w:val="false"/>
          <w:color w:val="000000"/>
          <w:sz w:val="22"/>
          <w:szCs w:val="22"/>
        </w:rPr>
        <w:t xml:space="preserve">تُحدد هذه الوثيقة سياسة أمن المعلومات الرسمية لشركة أمان فينتك، وتعكس التزام الشركة بحماية معلوماتها ومعلومات عملائها وضمان استمرارية خدماتها.</w:t>
      </w:r>
    </w:p>
    <w:p>
      <w:r>
        <w:rPr>
          <w:rFonts w:ascii="Arial" w:cs="Arial" w:eastAsia="Arial" w:hAnsi="Arial"/>
          <w:sz w:val="22"/>
          <w:szCs w:val="22"/>
        </w:rPr>
        <w:t xml:space="preserve"/>
      </w:r>
    </w:p>
    <w:p>
      <w:pPr>
        <w:spacing w:after="80" w:before="80"/>
        <w:jc w:val="left"/>
      </w:pPr>
      <w:r>
        <w:rPr>
          <w:rFonts w:ascii="Arial" w:cs="Arial" w:eastAsia="Arial" w:hAnsi="Arial"/>
          <w:b/>
          <w:bCs/>
          <w:color w:val="000000"/>
          <w:sz w:val="22"/>
          <w:szCs w:val="22"/>
        </w:rPr>
        <w:t xml:space="preserve">تنطبق هذه السياسة على:</w:t>
      </w:r>
    </w:p>
    <w:p>
      <w:pPr>
        <w:pStyle w:val="ListParagraph"/>
        <w:numPr>
          <w:ilvl w:val="0"/>
          <w:numId w:val="2"/>
        </w:numPr>
        <w:spacing w:after="60" w:before="60"/>
      </w:pPr>
      <w:r>
        <w:rPr>
          <w:rFonts w:ascii="Arial" w:cs="Arial" w:eastAsia="Arial" w:hAnsi="Arial"/>
          <w:sz w:val="22"/>
          <w:szCs w:val="22"/>
        </w:rPr>
        <w:t xml:space="preserve">جميع موظفي الشركة البالغ عددهم 50 موظفاً في مكتبي القاهرة والرياض</w:t>
      </w:r>
    </w:p>
    <w:p>
      <w:pPr>
        <w:pStyle w:val="ListParagraph"/>
        <w:numPr>
          <w:ilvl w:val="0"/>
          <w:numId w:val="2"/>
        </w:numPr>
        <w:spacing w:after="60" w:before="60"/>
      </w:pPr>
      <w:r>
        <w:rPr>
          <w:rFonts w:ascii="Arial" w:cs="Arial" w:eastAsia="Arial" w:hAnsi="Arial"/>
          <w:sz w:val="22"/>
          <w:szCs w:val="22"/>
        </w:rPr>
        <w:t xml:space="preserve">جميع الموردين والمتعاقدين الخارجيين الذين يصلون لأنظمة أو بيانات الشركة</w:t>
      </w:r>
    </w:p>
    <w:p>
      <w:pPr>
        <w:pStyle w:val="ListParagraph"/>
        <w:numPr>
          <w:ilvl w:val="0"/>
          <w:numId w:val="2"/>
        </w:numPr>
        <w:spacing w:after="60" w:before="60"/>
      </w:pPr>
      <w:r>
        <w:rPr>
          <w:rFonts w:ascii="Arial" w:cs="Arial" w:eastAsia="Arial" w:hAnsi="Arial"/>
          <w:sz w:val="22"/>
          <w:szCs w:val="22"/>
        </w:rPr>
        <w:t xml:space="preserve">العملاء من خلال Privacy Policy المشتقة من هذه السياسة</w:t>
      </w:r>
    </w:p>
    <w:p>
      <w:pPr>
        <w:pStyle w:val="ListParagraph"/>
        <w:numPr>
          <w:ilvl w:val="0"/>
          <w:numId w:val="2"/>
        </w:numPr>
        <w:spacing w:after="60" w:before="60"/>
      </w:pPr>
      <w:r>
        <w:rPr>
          <w:rFonts w:ascii="Arial" w:cs="Arial" w:eastAsia="Arial" w:hAnsi="Arial"/>
          <w:sz w:val="22"/>
          <w:szCs w:val="22"/>
        </w:rPr>
        <w:t xml:space="preserve">جميع الأنظمة والتقنيات والبيانات ضمن نطاق ISMS (راجع ISMS-SCP-001)</w:t>
      </w:r>
    </w:p>
    <w:p>
      <w:r>
        <w:rPr>
          <w:rFonts w:ascii="Arial" w:cs="Arial" w:eastAsia="Arial" w:hAnsi="Arial"/>
          <w:sz w:val="22"/>
          <w:szCs w:val="22"/>
        </w:rPr>
        <w:t xml:space="preserve"/>
      </w:r>
    </w:p>
    <w:p>
      <w:pPr>
        <w:pBdr>
          <w:bottom w:val="single" w:color="C0392B" w:sz="6" w:space="1"/>
        </w:pBdr>
        <w:spacing w:after="120" w:before="200"/>
      </w:pPr>
      <w:r>
        <w:rPr>
          <w:rFonts w:ascii="Arial" w:cs="Arial" w:eastAsia="Arial" w:hAnsi="Arial"/>
          <w:b/>
          <w:bCs/>
          <w:color w:val="7B1A1A"/>
          <w:sz w:val="26"/>
          <w:szCs w:val="26"/>
        </w:rPr>
        <w:t xml:space="preserve">2. Information Security Commitment — التوجه الأمني</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DEDEC" w:val="clear"/>
            <w:tcMar>
              <w:top w:type="dxa" w:w="200"/>
              <w:left w:type="dxa" w:w="300"/>
              <w:bottom w:type="dxa" w:w="200"/>
              <w:right w:type="dxa" w:w="300"/>
            </w:tcMar>
          </w:tcPr>
          <w:p>
            <w:pPr>
              <w:spacing w:after="120" w:before="80"/>
              <w:jc w:val="both"/>
            </w:pPr>
            <w:r>
              <w:rPr>
                <w:rFonts w:ascii="Arial" w:cs="Arial" w:eastAsia="Arial" w:hAnsi="Arial"/>
                <w:sz w:val="22"/>
                <w:szCs w:val="22"/>
              </w:rPr>
              <w:t xml:space="preserve">Aman FinTech, as a FinTech company providing e-wallet, money transfer, digital lending, and e-payment services, is committed to protecting the confidentiality, integrity, and availability of its customers' data, accounts, and financial operations, and to ensuring continuous and accessible service delivery to over 200,000 customers.</w:t>
            </w:r>
          </w:p>
          <w:p>
            <w:pPr>
              <w:spacing w:after="80" w:before="80"/>
              <w:jc w:val="right"/>
            </w:pPr>
            <w:r>
              <w:rPr>
                <w:rFonts w:ascii="Arial" w:cs="Arial" w:eastAsia="Arial" w:hAnsi="Arial"/>
                <w:b/>
                <w:bCs/>
                <w:color w:val="7B1A1A"/>
                <w:sz w:val="22"/>
                <w:szCs w:val="22"/>
              </w:rPr>
              <w:t xml:space="preserve">تلتزم شركة أمان فينتك بوصفها شركة FinTech تقدم خدمات المحفظة الإلكترونية والتحويلات والقروض والدفع الإلكتروني، بحماية سرية وسلامة وتوافر بيانات عملائها وحساباتهم وعملياتهم المالية، وضمان إتاحة الخدمات بصورة دائمة وميسورة لأكثر من 200,000 عميل.</w:t>
            </w:r>
          </w:p>
        </w:tc>
      </w:tr>
    </w:tbl>
    <w:p>
      <w:r>
        <w:rPr>
          <w:rFonts w:ascii="Arial" w:cs="Arial" w:eastAsia="Arial" w:hAnsi="Arial"/>
          <w:sz w:val="22"/>
          <w:szCs w:val="22"/>
        </w:rPr>
        <w:t xml:space="preserve"/>
      </w:r>
    </w:p>
    <w:p>
      <w:pPr>
        <w:pBdr>
          <w:bottom w:val="single" w:color="C0392B" w:sz="6" w:space="1"/>
        </w:pBdr>
        <w:spacing w:after="120" w:before="200"/>
      </w:pPr>
      <w:r>
        <w:rPr>
          <w:rFonts w:ascii="Arial" w:cs="Arial" w:eastAsia="Arial" w:hAnsi="Arial"/>
          <w:b/>
          <w:bCs/>
          <w:color w:val="7B1A1A"/>
          <w:sz w:val="26"/>
          <w:szCs w:val="26"/>
        </w:rPr>
        <w:t xml:space="preserve">3. Information Security Objectives — أهداف أمن المعلومات</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26"/>
        <w:gridCol w:w="1500"/>
        <w:gridCol w:w="1500"/>
      </w:tblGrid>
      <w:tr>
        <w:tc>
          <w:tcPr>
            <w:tcW w:type="dxa" w:w="6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5426"/>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الهدف</w:t>
            </w:r>
          </w:p>
        </w:tc>
        <w:tc>
          <w:tcPr>
            <w:tcW w:type="dxa" w:w="15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المقياس</w:t>
            </w:r>
          </w:p>
        </w:tc>
        <w:tc>
          <w:tcPr>
            <w:tcW w:type="dxa" w:w="15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الإطار الزمني</w:t>
            </w:r>
          </w:p>
        </w:tc>
      </w:tr>
      <w:tr>
        <w:tc>
          <w:tcPr>
            <w:tcW w:type="dxa" w:w="6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1</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الحصول على شهادة ISO 27001:2022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شهادة معتمدة</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 أشهر</w:t>
            </w:r>
          </w:p>
        </w:tc>
      </w:tr>
      <w:tr>
        <w:tc>
          <w:tcPr>
            <w:tcW w:type="dxa" w:w="6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2</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تقليل الحوادث الأمنية</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انخفاض 50-60% سنة 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سنوي</w:t>
            </w:r>
          </w:p>
        </w:tc>
      </w:tr>
      <w:tr>
        <w:tc>
          <w:tcPr>
            <w:tcW w:type="dxa" w:w="6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3</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ضمان Uptime لا يقل عن 99.8%</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Uptime Dashboard</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شهري</w:t>
            </w:r>
          </w:p>
        </w:tc>
      </w:tr>
      <w:tr>
        <w:tc>
          <w:tcPr>
            <w:tcW w:type="dxa" w:w="6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4</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إتمام Security Awareness Training</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أكثر من 95% من الموظفين</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ربع سنوي</w:t>
            </w:r>
          </w:p>
        </w:tc>
      </w:tr>
      <w:tr>
        <w:tc>
          <w:tcPr>
            <w:tcW w:type="dxa" w:w="6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5</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صفر Breaches لبيانات العملاء</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Data Breach Report</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مستمر</w:t>
            </w:r>
          </w:p>
        </w:tc>
      </w:tr>
      <w:tr>
        <w:tc>
          <w:tcPr>
            <w:tcW w:type="dxa" w:w="6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6</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إغلاق Critical Vulnerabilities خلال 48 ساعة</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Patch Management Report</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مستمر</w:t>
            </w:r>
          </w:p>
        </w:tc>
      </w:tr>
      <w:tr>
        <w:tc>
          <w:tcPr>
            <w:tcW w:type="dxa" w:w="6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7</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الإبلاغ لـ CBE/SAMA في 100% من الحوادث في الوقت المحدد</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Incident Log</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فوري</w:t>
            </w:r>
          </w:p>
        </w:tc>
      </w:tr>
    </w:tbl>
    <w:p>
      <w:r>
        <w:rPr>
          <w:rFonts w:ascii="Arial" w:cs="Arial" w:eastAsia="Arial" w:hAnsi="Arial"/>
          <w:sz w:val="22"/>
          <w:szCs w:val="22"/>
        </w:rPr>
        <w:t xml:space="preserve"/>
      </w:r>
    </w:p>
    <w:p>
      <w:pPr>
        <w:pBdr>
          <w:bottom w:val="single" w:color="C0392B" w:sz="6" w:space="1"/>
        </w:pBdr>
        <w:spacing w:after="120" w:before="200"/>
      </w:pPr>
      <w:r>
        <w:rPr>
          <w:rFonts w:ascii="Arial" w:cs="Arial" w:eastAsia="Arial" w:hAnsi="Arial"/>
          <w:b/>
          <w:bCs/>
          <w:color w:val="7B1A1A"/>
          <w:sz w:val="26"/>
          <w:szCs w:val="26"/>
        </w:rPr>
        <w:t xml:space="preserve">4. Regulatory Compliance — الالتزام التنظيمي</w:t>
      </w:r>
    </w:p>
    <w:p>
      <w:r>
        <w:rPr>
          <w:rFonts w:ascii="Arial" w:cs="Arial" w:eastAsia="Arial" w:hAnsi="Arial"/>
          <w:sz w:val="22"/>
          <w:szCs w:val="22"/>
        </w:rPr>
        <w:t xml:space="preserve"/>
      </w:r>
    </w:p>
    <w:p>
      <w:pPr>
        <w:spacing w:after="80" w:before="80"/>
        <w:jc w:val="left"/>
      </w:pPr>
      <w:r>
        <w:rPr>
          <w:rFonts w:ascii="Arial" w:cs="Arial" w:eastAsia="Arial" w:hAnsi="Arial"/>
          <w:b/>
          <w:bCs/>
          <w:color w:val="000000"/>
          <w:sz w:val="22"/>
          <w:szCs w:val="22"/>
        </w:rPr>
        <w:t xml:space="preserve">تلتزم أمان فينتك بجميع المتطلبات التنظيمية والقانونية المعمول بها:</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c>
          <w:tcPr>
            <w:tcW w:type="dxa" w:w="20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الجهة/المعيار</w:t>
            </w:r>
          </w:p>
        </w:tc>
        <w:tc>
          <w:tcPr>
            <w:tcW w:type="dxa" w:w="4526"/>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المتطلب</w:t>
            </w:r>
          </w:p>
        </w:tc>
        <w:tc>
          <w:tcPr>
            <w:tcW w:type="dxa" w:w="25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النطاق</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CBE — البنك المركزي المصري</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الامتثال الكامل للوائح التشغيلية والأمنية + الإبلاغ عن الحوادث</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مصر</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SAMA — البنك المركزي السعودي</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SAMA Cybersecurity Framework + متطلبات FinTech</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السعودية</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ISO/IEC 27001:2022</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بناء وتشغيل ISMS معتمد دولياً</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الشركة كاملاً</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PCI DSS</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حماية بيانات بطاقات الدفع</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خدمة E-Payment</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قانون حماية البيانات المصري 2020</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حماية البيانات الشخصية للمواطنين المصريين</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مصر</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NCA — الهيئة الوطنية للأمن السيبراني</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المتطلبات الأمنية للشركات في السعودية</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السعودية</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FATF / AML / CTF</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مكافحة غسيل الأموال وتمويل الإرهاب</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الشركة كاملاً</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GDPR</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حماية بيانات مواطني الاتحاد الأوروبي عند التعامل معهم</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عند الانطباق</w:t>
            </w:r>
          </w:p>
        </w:tc>
      </w:tr>
    </w:tbl>
    <w:p>
      <w:r>
        <w:rPr>
          <w:rFonts w:ascii="Arial" w:cs="Arial" w:eastAsia="Arial" w:hAnsi="Arial"/>
          <w:sz w:val="22"/>
          <w:szCs w:val="22"/>
        </w:rPr>
        <w:t xml:space="preserve"/>
      </w:r>
    </w:p>
    <w:p>
      <w:pPr>
        <w:pBdr>
          <w:bottom w:val="single" w:color="C0392B" w:sz="6" w:space="1"/>
        </w:pBdr>
        <w:spacing w:after="120" w:before="200"/>
      </w:pPr>
      <w:r>
        <w:rPr>
          <w:rFonts w:ascii="Arial" w:cs="Arial" w:eastAsia="Arial" w:hAnsi="Arial"/>
          <w:b/>
          <w:bCs/>
          <w:color w:val="7B1A1A"/>
          <w:sz w:val="26"/>
          <w:szCs w:val="26"/>
        </w:rPr>
        <w:t xml:space="preserve">5. Core Principles — المبادئ الأساسية (CIA Triad)</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المبدأ</w:t>
            </w:r>
          </w:p>
        </w:tc>
        <w:tc>
          <w:tcPr>
            <w:tcW w:type="dxa" w:w="7026"/>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الالتزام</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 Confidentiality
السرية</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حماية بيانات العملاء المالية والشخصية من الوصول غير المصرح — تشفير البيانات في كل مراحلها — التحكم في الصلاحيات وفق مبدأ Least Privilege</w:t>
            </w:r>
          </w:p>
        </w:tc>
      </w:tr>
      <w:tr>
        <w:tc>
          <w:tcPr>
            <w:tcW w:type="dxa" w:w="2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 Integrity
السلامة</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ضمان دقة وصحة البيانات والمعاملات المالية — منع التلاعب في السجلات والأرصدة — Audit Logs لكل العمليات الحساسة</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 Availability
التوافر</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ضمان استمرارية الخدمات بـ Uptime لا يقل عن 99.8% — خطط Business Continuity واضحة — Redundancy للأنظمة الحساسة</w:t>
            </w:r>
          </w:p>
        </w:tc>
      </w:tr>
    </w:tbl>
    <w:p>
      <w:r>
        <w:rPr>
          <w:rFonts w:ascii="Arial" w:cs="Arial" w:eastAsia="Arial" w:hAnsi="Arial"/>
          <w:sz w:val="22"/>
          <w:szCs w:val="22"/>
        </w:rPr>
        <w:t xml:space="preserve"/>
      </w:r>
    </w:p>
    <w:p>
      <w:pPr>
        <w:pBdr>
          <w:bottom w:val="single" w:color="C0392B" w:sz="6" w:space="1"/>
        </w:pBdr>
        <w:spacing w:after="120" w:before="200"/>
      </w:pPr>
      <w:r>
        <w:rPr>
          <w:rFonts w:ascii="Arial" w:cs="Arial" w:eastAsia="Arial" w:hAnsi="Arial"/>
          <w:b/>
          <w:bCs/>
          <w:color w:val="7B1A1A"/>
          <w:sz w:val="26"/>
          <w:szCs w:val="26"/>
        </w:rPr>
        <w:t xml:space="preserve">6. Continual Improvement — التحسين المستمر</w:t>
      </w:r>
    </w:p>
    <w:p>
      <w:r>
        <w:rPr>
          <w:rFonts w:ascii="Arial" w:cs="Arial" w:eastAsia="Arial" w:hAnsi="Arial"/>
          <w:sz w:val="22"/>
          <w:szCs w:val="22"/>
        </w:rPr>
        <w:t xml:space="preserve"/>
      </w:r>
    </w:p>
    <w:p>
      <w:pPr>
        <w:spacing w:after="80" w:before="80"/>
        <w:jc w:val="left"/>
      </w:pPr>
      <w:r>
        <w:rPr>
          <w:rFonts w:ascii="Arial" w:cs="Arial" w:eastAsia="Arial" w:hAnsi="Arial"/>
          <w:b/>
          <w:bCs/>
          <w:color w:val="000000"/>
          <w:sz w:val="22"/>
          <w:szCs w:val="22"/>
        </w:rPr>
        <w:t xml:space="preserve">تلتزم أمان فينتك بالتحسين المستمر للـ ISMS من خلال:</w:t>
      </w:r>
    </w:p>
    <w:p>
      <w:pPr>
        <w:pStyle w:val="ListParagraph"/>
        <w:numPr>
          <w:ilvl w:val="0"/>
          <w:numId w:val="2"/>
        </w:numPr>
        <w:spacing w:after="60" w:before="60"/>
      </w:pPr>
      <w:r>
        <w:rPr>
          <w:rFonts w:ascii="Arial" w:cs="Arial" w:eastAsia="Arial" w:hAnsi="Arial"/>
          <w:sz w:val="22"/>
          <w:szCs w:val="22"/>
        </w:rPr>
        <w:t xml:space="preserve">متابعة الجديد في عالم الأمن السيبراني وتحديث Controls بما يتوافق مع التهديدات الجديدة</w:t>
      </w:r>
    </w:p>
    <w:p>
      <w:pPr>
        <w:pStyle w:val="ListParagraph"/>
        <w:numPr>
          <w:ilvl w:val="0"/>
          <w:numId w:val="2"/>
        </w:numPr>
        <w:spacing w:after="60" w:before="60"/>
      </w:pPr>
      <w:r>
        <w:rPr>
          <w:rFonts w:ascii="Arial" w:cs="Arial" w:eastAsia="Arial" w:hAnsi="Arial"/>
          <w:sz w:val="22"/>
          <w:szCs w:val="22"/>
        </w:rPr>
        <w:t xml:space="preserve">مراجعة دورية لجميع السياسات والإجراءات الأمنية مرة سنوياً على الأقل أو عند أي تغيير جوهري</w:t>
      </w:r>
    </w:p>
    <w:p>
      <w:pPr>
        <w:pStyle w:val="ListParagraph"/>
        <w:numPr>
          <w:ilvl w:val="0"/>
          <w:numId w:val="2"/>
        </w:numPr>
        <w:spacing w:after="60" w:before="60"/>
      </w:pPr>
      <w:r>
        <w:rPr>
          <w:rFonts w:ascii="Arial" w:cs="Arial" w:eastAsia="Arial" w:hAnsi="Arial"/>
          <w:sz w:val="22"/>
          <w:szCs w:val="22"/>
        </w:rPr>
        <w:t xml:space="preserve">التعلم من كل حادثة أمنية وتوثيق Lessons Learned لمنع تكرارها</w:t>
      </w:r>
    </w:p>
    <w:p>
      <w:pPr>
        <w:pStyle w:val="ListParagraph"/>
        <w:numPr>
          <w:ilvl w:val="0"/>
          <w:numId w:val="2"/>
        </w:numPr>
        <w:spacing w:after="60" w:before="60"/>
      </w:pPr>
      <w:r>
        <w:rPr>
          <w:rFonts w:ascii="Arial" w:cs="Arial" w:eastAsia="Arial" w:hAnsi="Arial"/>
          <w:sz w:val="22"/>
          <w:szCs w:val="22"/>
        </w:rPr>
        <w:t xml:space="preserve">إجراء Internal Audit دوري وMangement Review سنوي لتقييم أداء الـ ISMS</w:t>
      </w:r>
    </w:p>
    <w:p>
      <w:pPr>
        <w:pStyle w:val="ListParagraph"/>
        <w:numPr>
          <w:ilvl w:val="0"/>
          <w:numId w:val="2"/>
        </w:numPr>
        <w:spacing w:after="60" w:before="60"/>
      </w:pPr>
      <w:r>
        <w:rPr>
          <w:rFonts w:ascii="Arial" w:cs="Arial" w:eastAsia="Arial" w:hAnsi="Arial"/>
          <w:sz w:val="22"/>
          <w:szCs w:val="22"/>
        </w:rPr>
        <w:t xml:space="preserve">تتبع KPIs الأمنية ومقارنة الأداء دورياً لرصد التحسن وتحديد الفجوات</w:t>
      </w:r>
    </w:p>
    <w:p>
      <w:pPr>
        <w:pStyle w:val="ListParagraph"/>
        <w:numPr>
          <w:ilvl w:val="0"/>
          <w:numId w:val="2"/>
        </w:numPr>
        <w:spacing w:after="60" w:before="60"/>
      </w:pPr>
      <w:r>
        <w:rPr>
          <w:rFonts w:ascii="Arial" w:cs="Arial" w:eastAsia="Arial" w:hAnsi="Arial"/>
          <w:sz w:val="22"/>
          <w:szCs w:val="22"/>
        </w:rPr>
        <w:t xml:space="preserve">متابعة التغييرات في اللوائح التنظيمية وتحديث الامتثال فوراً</w:t>
      </w:r>
    </w:p>
    <w:p>
      <w:r>
        <w:rPr>
          <w:rFonts w:ascii="Arial" w:cs="Arial" w:eastAsia="Arial" w:hAnsi="Arial"/>
          <w:sz w:val="22"/>
          <w:szCs w:val="22"/>
        </w:rPr>
        <w:t xml:space="preserve"/>
      </w:r>
    </w:p>
    <w:p>
      <w:pPr>
        <w:pBdr>
          <w:bottom w:val="single" w:color="C0392B" w:sz="6" w:space="1"/>
        </w:pBdr>
        <w:spacing w:after="120" w:before="200"/>
      </w:pPr>
      <w:r>
        <w:rPr>
          <w:rFonts w:ascii="Arial" w:cs="Arial" w:eastAsia="Arial" w:hAnsi="Arial"/>
          <w:b/>
          <w:bCs/>
          <w:color w:val="7B1A1A"/>
          <w:sz w:val="26"/>
          <w:szCs w:val="26"/>
        </w:rPr>
        <w:t xml:space="preserve">7. Responsibilities — المسؤوليات</w:t>
      </w:r>
    </w:p>
    <w:p>
      <w:r>
        <w:rPr>
          <w:rFonts w:ascii="Arial" w:cs="Arial" w:eastAsia="Arial" w:hAnsi="Arial"/>
          <w:sz w:val="22"/>
          <w:szCs w:val="22"/>
        </w:rPr>
        <w:t xml:space="preserve"/>
      </w:r>
    </w:p>
    <w:p>
      <w:pPr>
        <w:spacing w:after="80" w:before="80"/>
        <w:jc w:val="left"/>
      </w:pPr>
      <w:r>
        <w:rPr>
          <w:rFonts w:ascii="Arial" w:cs="Arial" w:eastAsia="Arial" w:hAnsi="Arial"/>
          <w:b/>
          <w:bCs/>
          <w:color w:val="000000"/>
          <w:sz w:val="22"/>
          <w:szCs w:val="22"/>
        </w:rPr>
        <w:t xml:space="preserve">يتحمل جميع المعنيون مسؤولية الالتزام بهذه السياسة:</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الطرف</w:t>
            </w:r>
          </w:p>
        </w:tc>
        <w:tc>
          <w:tcPr>
            <w:tcW w:type="dxa" w:w="7026"/>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المسؤولية</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الإدارة العليا</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اعتماد السياسة وتوفير الموارد ودعم تطبيقها وإيصالها لكل الأطراف</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CISO</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وضع السياسة وتطويرها والإشراف على تطبيقها ورفع تقارير الامتثال</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جميع الموظفين</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الالتزام الكامل بالسياسة والإبلاغ الفوري عن أي مخالفة أو حادثة</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الموردين</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الالتزام بمتطلبات الأمن المحددة في العقود والـ NDA</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العملاء</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الاطلاع على Privacy Policy المشتقة من هذه السياسة والالتزام بشروط الاستخدام</w:t>
            </w:r>
          </w:p>
        </w:tc>
      </w:tr>
    </w:tbl>
    <w:p>
      <w:r>
        <w:rPr>
          <w:rFonts w:ascii="Arial" w:cs="Arial" w:eastAsia="Arial" w:hAnsi="Arial"/>
          <w:sz w:val="22"/>
          <w:szCs w:val="22"/>
        </w:rPr>
        <w:t xml:space="preserve"/>
      </w:r>
    </w:p>
    <w:p>
      <w:pPr>
        <w:pBdr>
          <w:bottom w:val="single" w:color="C0392B" w:sz="6" w:space="1"/>
        </w:pBdr>
        <w:spacing w:after="120" w:before="200"/>
      </w:pPr>
      <w:r>
        <w:rPr>
          <w:rFonts w:ascii="Arial" w:cs="Arial" w:eastAsia="Arial" w:hAnsi="Arial"/>
          <w:b/>
          <w:bCs/>
          <w:color w:val="7B1A1A"/>
          <w:sz w:val="26"/>
          <w:szCs w:val="26"/>
        </w:rPr>
        <w:t xml:space="preserve">8. Policy Violations — مخالفة السياسة</w:t>
      </w:r>
    </w:p>
    <w:p>
      <w:r>
        <w:rPr>
          <w:rFonts w:ascii="Arial" w:cs="Arial" w:eastAsia="Arial" w:hAnsi="Arial"/>
          <w:sz w:val="22"/>
          <w:szCs w:val="22"/>
        </w:rPr>
        <w:t xml:space="preserve"/>
      </w:r>
    </w:p>
    <w:p>
      <w:pPr>
        <w:spacing w:after="80" w:before="80"/>
        <w:jc w:val="left"/>
      </w:pPr>
      <w:r>
        <w:rPr>
          <w:rFonts w:ascii="Arial" w:cs="Arial" w:eastAsia="Arial" w:hAnsi="Arial"/>
          <w:b w:val="false"/>
          <w:bCs w:val="false"/>
          <w:color w:val="000000"/>
          <w:sz w:val="22"/>
          <w:szCs w:val="22"/>
        </w:rPr>
        <w:t xml:space="preserve">أي مخالفة لهذه السياسة تستوجب إجراءات تأديبية وفق الآتي:</w:t>
      </w:r>
    </w:p>
    <w:p>
      <w:pPr>
        <w:pStyle w:val="ListParagraph"/>
        <w:numPr>
          <w:ilvl w:val="0"/>
          <w:numId w:val="2"/>
        </w:numPr>
        <w:spacing w:after="60" w:before="60"/>
      </w:pPr>
      <w:r>
        <w:rPr>
          <w:rFonts w:ascii="Arial" w:cs="Arial" w:eastAsia="Arial" w:hAnsi="Arial"/>
          <w:sz w:val="22"/>
          <w:szCs w:val="22"/>
        </w:rPr>
        <w:t xml:space="preserve">المخالفات البسيطة: تحذير رسمي + إعادة تدريب إلزامي</w:t>
      </w:r>
    </w:p>
    <w:p>
      <w:pPr>
        <w:pStyle w:val="ListParagraph"/>
        <w:numPr>
          <w:ilvl w:val="0"/>
          <w:numId w:val="2"/>
        </w:numPr>
        <w:spacing w:after="60" w:before="60"/>
      </w:pPr>
      <w:r>
        <w:rPr>
          <w:rFonts w:ascii="Arial" w:cs="Arial" w:eastAsia="Arial" w:hAnsi="Arial"/>
          <w:sz w:val="22"/>
          <w:szCs w:val="22"/>
        </w:rPr>
        <w:t xml:space="preserve">المخالفات المتكررة أو المتعمدة: إجراءات تأديبية حتى الفصل</w:t>
      </w:r>
    </w:p>
    <w:p>
      <w:pPr>
        <w:pStyle w:val="ListParagraph"/>
        <w:numPr>
          <w:ilvl w:val="0"/>
          <w:numId w:val="2"/>
        </w:numPr>
        <w:spacing w:after="60" w:before="60"/>
      </w:pPr>
      <w:r>
        <w:rPr>
          <w:rFonts w:ascii="Arial" w:cs="Arial" w:eastAsia="Arial" w:hAnsi="Arial"/>
          <w:sz w:val="22"/>
          <w:szCs w:val="22"/>
        </w:rPr>
        <w:t xml:space="preserve">المخالفات التي تُسبب ضرراً للشركة أو العملاء: إجراءات قانونية</w:t>
      </w:r>
    </w:p>
    <w:p>
      <w:pPr>
        <w:pStyle w:val="ListParagraph"/>
        <w:numPr>
          <w:ilvl w:val="0"/>
          <w:numId w:val="2"/>
        </w:numPr>
        <w:spacing w:after="60" w:before="60"/>
      </w:pPr>
      <w:r>
        <w:rPr>
          <w:rFonts w:ascii="Arial" w:cs="Arial" w:eastAsia="Arial" w:hAnsi="Arial"/>
          <w:sz w:val="22"/>
          <w:szCs w:val="22"/>
        </w:rPr>
        <w:t xml:space="preserve">الإبلاغ عن المخالفات: قناة إبلاغ سرية متاحة لجميع الموظفين</w:t>
      </w:r>
    </w:p>
    <w:p>
      <w:r>
        <w:rPr>
          <w:rFonts w:ascii="Arial" w:cs="Arial" w:eastAsia="Arial" w:hAnsi="Arial"/>
          <w:sz w:val="22"/>
          <w:szCs w:val="22"/>
        </w:rPr>
        <w:t xml:space="preserve"/>
      </w:r>
    </w:p>
    <w:p>
      <w:pPr>
        <w:pBdr>
          <w:bottom w:val="single" w:color="C0392B" w:sz="6" w:space="1"/>
        </w:pBdr>
        <w:spacing w:after="120" w:before="200"/>
      </w:pPr>
      <w:r>
        <w:rPr>
          <w:rFonts w:ascii="Arial" w:cs="Arial" w:eastAsia="Arial" w:hAnsi="Arial"/>
          <w:b/>
          <w:bCs/>
          <w:color w:val="7B1A1A"/>
          <w:sz w:val="26"/>
          <w:szCs w:val="26"/>
        </w:rPr>
        <w:t xml:space="preserve">9. Approval &amp; Signatures — الاعتماد والتوقيعات</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26"/>
        <w:gridCol w:w="2000"/>
      </w:tblGrid>
      <w:tr>
        <w:tc>
          <w:tcPr>
            <w:tcW w:type="dxa" w:w="25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Name</w:t>
            </w:r>
          </w:p>
        </w:tc>
        <w:tc>
          <w:tcPr>
            <w:tcW w:type="dxa" w:w="2026"/>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Signature</w:t>
            </w:r>
          </w:p>
        </w:tc>
        <w:tc>
          <w:tcPr>
            <w:tcW w:type="dxa" w:w="20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Date</w:t>
            </w:r>
          </w:p>
        </w:tc>
      </w:tr>
      <w:tr>
        <w:trPr>
          <w:trHeight w:val="700" w:hRule="exact"/>
        </w:trPr>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Chief Executive Officer (CEO)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[اسم المدير التنفيذي]</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April 2026</w:t>
            </w:r>
          </w:p>
        </w:tc>
      </w:tr>
      <w:tr>
        <w:trPr>
          <w:trHeight w:val="700" w:hRule="exact"/>
        </w:trPr>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Chief Information Security Officer (CISO)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[اسم مسؤول الأمن]</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April 2026</w:t>
            </w:r>
          </w:p>
        </w:tc>
      </w:tr>
      <w:tr>
        <w:trPr>
          <w:trHeight w:val="700" w:hRule="exact"/>
        </w:trPr>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Chairman of the Board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[اسم رئيس مجلس الإدارة]</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April 2026</w:t>
            </w:r>
          </w:p>
        </w:tc>
      </w:tr>
    </w:tbl>
    <w:p>
      <w:r>
        <w:rPr>
          <w:rFonts w:ascii="Arial" w:cs="Arial" w:eastAsia="Arial" w:hAnsi="Arial"/>
          <w:sz w:val="22"/>
          <w:szCs w:val="22"/>
        </w:rPr>
        <w:t xml:space="preserve"/>
      </w:r>
    </w:p>
    <w:p>
      <w:pPr>
        <w:pBdr>
          <w:bottom w:val="single" w:color="C0392B" w:sz="6" w:space="1"/>
        </w:pBdr>
        <w:spacing w:after="120" w:before="200"/>
      </w:pPr>
      <w:r>
        <w:rPr>
          <w:rFonts w:ascii="Arial" w:cs="Arial" w:eastAsia="Arial" w:hAnsi="Arial"/>
          <w:b/>
          <w:bCs/>
          <w:color w:val="7B1A1A"/>
          <w:sz w:val="26"/>
          <w:szCs w:val="26"/>
        </w:rPr>
        <w:t xml:space="preserve">10. Version History — سجل الإصدارات</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26"/>
        <w:gridCol w:w="2500"/>
      </w:tblGrid>
      <w:tr>
        <w:tc>
          <w:tcPr>
            <w:tcW w:type="dxa" w:w="12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Date</w:t>
            </w:r>
          </w:p>
        </w:tc>
        <w:tc>
          <w:tcPr>
            <w:tcW w:type="dxa" w:w="3326"/>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Changes</w:t>
            </w:r>
          </w:p>
        </w:tc>
        <w:tc>
          <w:tcPr>
            <w:tcW w:type="dxa" w:w="25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Author</w:t>
            </w:r>
          </w:p>
        </w:tc>
      </w:tr>
      <w:tr>
        <w:tc>
          <w:tcPr>
            <w:tcW w:type="dxa" w:w="12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April 2026</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Initial Release — الإصدار الأول</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Security Assurance Dept</w:t>
            </w:r>
          </w:p>
        </w:tc>
      </w:tr>
    </w:tbl>
    <w:p>
      <w:r>
        <w:rPr>
          <w:rFonts w:ascii="Arial" w:cs="Arial" w:eastAsia="Arial" w:hAnsi="Arial"/>
          <w:sz w:val="22"/>
          <w:szCs w:val="22"/>
        </w:rPr>
        <w:t xml:space="preserve"/>
      </w:r>
    </w:p>
    <w:p>
      <w:pPr>
        <w:spacing w:after="80" w:before="80"/>
        <w:jc w:val="left"/>
      </w:pPr>
      <w:r>
        <w:rPr>
          <w:rFonts w:ascii="Arial" w:cs="Arial" w:eastAsia="Arial" w:hAnsi="Arial"/>
          <w:b w:val="false"/>
          <w:bCs w:val="false"/>
          <w:color w:val="999999"/>
          <w:sz w:val="18"/>
          <w:szCs w:val="18"/>
        </w:rPr>
        <w:t xml:space="preserve">هذه الوثيقة سرية — لا تُوزَّع إلا بإذن رسمي من CISO أو الإدارة العليا</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1"/>
      </w:pBdr>
      <w:spacing w:before="80"/>
    </w:pPr>
    <w:r>
      <w:rPr>
        <w:rFonts w:ascii="Arial" w:cs="Arial" w:eastAsia="Arial" w:hAnsi="Arial"/>
        <w:color w:val="666666"/>
        <w:sz w:val="16"/>
        <w:szCs w:val="16"/>
      </w:rPr>
      <w:t xml:space="preserve">ISO 27001:2022 — Clause 5.2  |  Version 1.0  |  April 2026  |  Classification: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spacing w:after="120"/>
    </w:pPr>
    <w:r>
      <w:rPr>
        <w:rFonts w:ascii="Arial" w:cs="Arial" w:eastAsia="Arial" w:hAnsi="Arial"/>
        <w:color w:val="666666"/>
        <w:sz w:val="18"/>
        <w:szCs w:val="18"/>
      </w:rPr>
      <w:t xml:space="preserve">أمان فينتك  |  Information Security Policy  |  ISMS-ISP-001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2026-04-12T11:43:31.784Z</dcterms:created>
  <dcterms:modified xsi:type="dcterms:W3CDTF">2026-04-12T11:43:31.786Z</dcterms:modified>
</cp:coreProperties>
</file>

<file path=docProps/custom.xml><?xml version="1.0" encoding="utf-8"?>
<Properties xmlns="http://schemas.openxmlformats.org/officeDocument/2006/custom-properties" xmlns:vt="http://schemas.openxmlformats.org/officeDocument/2006/docPropsVTypes"/>
</file>