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A2A4A" w:val="clear"/>
        <w:spacing w:after="0" w:before="0"/>
        <w:ind w:left="200" w:right="200"/>
      </w:pPr>
      <w:r>
        <w:rPr>
          <w:rFonts w:ascii="Playfair Display" w:cs="Playfair Display" w:eastAsia="Playfair Display" w:hAnsi="Playfair Display"/>
          <w:b/>
          <w:bCs/>
          <w:color w:val="FFFFFF"/>
          <w:sz w:val="24"/>
          <w:szCs w:val="24"/>
        </w:rPr>
        <w:t xml:space="preserve">MIQDAR FOUNDATION  ·  PRIVATE ESTATE OPERATIONS</w:t>
      </w:r>
    </w:p>
    <w:p>
      <w:pPr>
        <w:shd w:fill="1A2A4A" w:val="clear"/>
        <w:spacing w:after="0" w:before="0"/>
        <w:ind w:left="200" w:right="200"/>
      </w:pPr>
      <w:r>
        <w:rPr>
          <w:rFonts w:ascii="Playfair Display" w:cs="Playfair Display" w:eastAsia="Playfair Display" w:hAnsi="Playfair Display"/>
          <w:b/>
          <w:bCs/>
          <w:color w:val="FFFFFF"/>
          <w:sz w:val="30"/>
          <w:szCs w:val="30"/>
        </w:rPr>
        <w:t xml:space="preserve">MOD-00  ·  Índice Maestro, Organigrama y Estructura</w:t>
      </w:r>
    </w:p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20"/>
                <w:szCs w:val="20"/>
              </w:rPr>
              <w:t xml:space="preserve">CÓDIGO</w:t>
            </w:r>
          </w:p>
        </w:tc>
        <w:tc>
          <w:tcPr>
            <w:tcW w:type="dxa" w:w="71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MOD-00</w:t>
            </w:r>
          </w:p>
        </w:tc>
      </w:tr>
      <w:tr>
        <w:tc>
          <w:tcPr>
            <w:tcW w:type="dxa" w:w="22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20"/>
                <w:szCs w:val="20"/>
              </w:rPr>
              <w:t xml:space="preserve">MÓDULO</w:t>
            </w:r>
          </w:p>
        </w:tc>
        <w:tc>
          <w:tcPr>
            <w:tcW w:type="dxa" w:w="71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Índice Maestro, Organigrama y Estructura</w:t>
            </w:r>
          </w:p>
        </w:tc>
      </w:tr>
      <w:tr>
        <w:tc>
          <w:tcPr>
            <w:tcW w:type="dxa" w:w="22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20"/>
                <w:szCs w:val="20"/>
              </w:rPr>
              <w:t xml:space="preserve">ÁREA</w:t>
            </w:r>
          </w:p>
        </w:tc>
        <w:tc>
          <w:tcPr>
            <w:tcW w:type="dxa" w:w="71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Dirección General</w:t>
            </w:r>
          </w:p>
        </w:tc>
      </w:tr>
      <w:tr>
        <w:tc>
          <w:tcPr>
            <w:tcW w:type="dxa" w:w="22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20"/>
                <w:szCs w:val="20"/>
              </w:rPr>
              <w:t xml:space="preserve">PRIORIDAD</w:t>
            </w:r>
          </w:p>
        </w:tc>
        <w:tc>
          <w:tcPr>
            <w:tcW w:type="dxa" w:w="71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Crítica</w:t>
            </w:r>
          </w:p>
        </w:tc>
      </w:tr>
      <w:tr>
        <w:tc>
          <w:tcPr>
            <w:tcW w:type="dxa" w:w="22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20"/>
                <w:szCs w:val="20"/>
              </w:rPr>
              <w:t xml:space="preserve">FREQUENCY</w:t>
            </w:r>
          </w:p>
        </w:tc>
        <w:tc>
          <w:tcPr>
            <w:tcW w:type="dxa" w:w="71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Puntual</w:t>
            </w:r>
          </w:p>
        </w:tc>
      </w:tr>
      <w:tr>
        <w:tc>
          <w:tcPr>
            <w:tcW w:type="dxa" w:w="22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71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Revisión anual o ante cambios organizativos</w:t>
            </w:r>
          </w:p>
        </w:tc>
      </w:tr>
      <w:tr>
        <w:tc>
          <w:tcPr>
            <w:tcW w:type="dxa" w:w="22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20"/>
                <w:szCs w:val="20"/>
              </w:rPr>
              <w:t xml:space="preserve">VERSIÓN</w:t>
            </w:r>
          </w:p>
        </w:tc>
        <w:tc>
          <w:tcPr>
            <w:tcW w:type="dxa" w:w="71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v 2.0 · 11 May 2026</w:t>
            </w:r>
          </w:p>
        </w:tc>
      </w:tr>
      <w:tr>
        <w:tc>
          <w:tcPr>
            <w:tcW w:type="dxa" w:w="22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20"/>
                <w:szCs w:val="20"/>
              </w:rPr>
              <w:t xml:space="preserve">ESTÁNDAR</w:t>
            </w:r>
          </w:p>
        </w:tc>
        <w:tc>
          <w:tcPr>
            <w:tcW w:type="dxa" w:w="71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5★ Leading Private Residences</w:t>
            </w:r>
          </w:p>
        </w:tc>
      </w:tr>
    </w:tbl>
    <w:p>
      <w:pPr>
        <w:spacing w:after="0" w:before="300"/>
      </w:pPr>
      <w:r>
        <w:t xml:space="preserve"/>
      </w:r>
    </w:p>
    <w:p>
      <w:pPr>
        <w:pBdr>
          <w:bottom w:val="single" w:color="8B7340" w:sz="4"/>
        </w:pBdr>
        <w:shd w:fill="1A2A4A" w:val="clear"/>
        <w:spacing w:after="100" w:before="3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1. OBJECTIVE</w:t>
      </w:r>
    </w:p>
    <w:p>
      <w:pPr>
        <w:spacing w:after="120" w:before="120"/>
        <w:ind w:left="200"/>
      </w:pPr>
      <w:r>
        <w:rPr>
          <w:rFonts w:ascii="Arial" w:cs="Arial" w:eastAsia="Arial" w:hAnsi="Arial"/>
          <w:color w:val="2C2416"/>
          <w:sz w:val="20"/>
          <w:szCs w:val="20"/>
        </w:rPr>
        <w:t xml:space="preserve">Establecer la estructura organizativa, jerárquica y operativa de la propiedad privada gestionada por Midqar Foundation.</w:t>
      </w:r>
    </w:p>
    <w:p>
      <w:pPr>
        <w:pBdr>
          <w:bottom w:val="single" w:color="8B7340" w:sz="4"/>
        </w:pBdr>
        <w:shd w:fill="1A2A4A" w:val="clear"/>
        <w:spacing w:after="100" w:before="3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2. RESPONSIBLE PARTIES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416"/>
          <w:sz w:val="20"/>
          <w:szCs w:val="20"/>
        </w:rPr>
        <w:t xml:space="preserve">Estate Manager — Coordinación global y supervisión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416"/>
          <w:sz w:val="20"/>
          <w:szCs w:val="20"/>
        </w:rPr>
        <w:t xml:space="preserve">Jefes de área — Ejecución y reporte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416"/>
          <w:sz w:val="20"/>
          <w:szCs w:val="20"/>
        </w:rPr>
        <w:t xml:space="preserve">Administrador Midqar — Validación y control estratégico</w:t>
      </w:r>
    </w:p>
    <w:p>
      <w:pPr>
        <w:spacing w:after="0" w:before="200"/>
      </w:pPr>
      <w:r>
        <w:t xml:space="preserve"/>
      </w:r>
    </w:p>
    <w:p>
      <w:pPr>
        <w:pBdr>
          <w:bottom w:val="single" w:color="8B7340" w:sz="4"/>
        </w:pBdr>
        <w:shd w:fill="1A2A4A" w:val="clear"/>
        <w:spacing w:after="100" w:before="3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3. TASK CHECKLIST  ·  FREQUENCY: PUNTUAL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560"/>
        <w:gridCol w:w="1200"/>
      </w:tblGrid>
      <w:tr>
        <w:tc>
          <w:tcPr>
            <w:tcW w:type="dxa" w:w="6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1A2A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75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1A2A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1A2A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OK / Photo</w:t>
            </w:r>
          </w:p>
        </w:tc>
      </w:tr>
      <w:tr>
        <w:tc>
          <w:tcPr>
            <w:tcW w:type="dxa" w:w="6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8B7340"/>
                <w:sz w:val="18"/>
                <w:szCs w:val="18"/>
              </w:rPr>
              <w:t xml:space="preserve">01</w:t>
            </w:r>
          </w:p>
        </w:tc>
        <w:tc>
          <w:tcPr>
            <w:tcW w:type="dxa" w:w="75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416"/>
                <w:sz w:val="18"/>
                <w:szCs w:val="18"/>
              </w:rPr>
              <w:t xml:space="preserve">Organigrama actualizado y validado</w:t>
            </w:r>
          </w:p>
        </w:tc>
        <w:tc>
          <w:tcPr>
            <w:tcW w:type="dxa" w:w="12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☐  📷</w:t>
            </w:r>
          </w:p>
        </w:tc>
      </w:tr>
      <w:tr>
        <w:tc>
          <w:tcPr>
            <w:tcW w:type="dxa" w:w="6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7F8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8B7340"/>
                <w:sz w:val="18"/>
                <w:szCs w:val="18"/>
              </w:rPr>
              <w:t xml:space="preserve">02</w:t>
            </w:r>
          </w:p>
        </w:tc>
        <w:tc>
          <w:tcPr>
            <w:tcW w:type="dxa" w:w="75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7F8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416"/>
                <w:sz w:val="18"/>
                <w:szCs w:val="18"/>
              </w:rPr>
              <w:t xml:space="preserve">Roles y responsabilidades definidos por área</w:t>
            </w:r>
          </w:p>
        </w:tc>
        <w:tc>
          <w:tcPr>
            <w:tcW w:type="dxa" w:w="12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7F8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☐  📷</w:t>
            </w:r>
          </w:p>
        </w:tc>
      </w:tr>
      <w:tr>
        <w:tc>
          <w:tcPr>
            <w:tcW w:type="dxa" w:w="6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8B7340"/>
                <w:sz w:val="18"/>
                <w:szCs w:val="18"/>
              </w:rPr>
              <w:t xml:space="preserve">03</w:t>
            </w:r>
          </w:p>
        </w:tc>
        <w:tc>
          <w:tcPr>
            <w:tcW w:type="dxa" w:w="75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416"/>
                <w:sz w:val="18"/>
                <w:szCs w:val="18"/>
              </w:rPr>
              <w:t xml:space="preserve">Canales de comunicación establecidos</w:t>
            </w:r>
          </w:p>
        </w:tc>
        <w:tc>
          <w:tcPr>
            <w:tcW w:type="dxa" w:w="12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☐  📷</w:t>
            </w:r>
          </w:p>
        </w:tc>
      </w:tr>
      <w:tr>
        <w:tc>
          <w:tcPr>
            <w:tcW w:type="dxa" w:w="6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7F8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8B7340"/>
                <w:sz w:val="18"/>
                <w:szCs w:val="18"/>
              </w:rPr>
              <w:t xml:space="preserve">04</w:t>
            </w:r>
          </w:p>
        </w:tc>
        <w:tc>
          <w:tcPr>
            <w:tcW w:type="dxa" w:w="75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7F8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416"/>
                <w:sz w:val="18"/>
                <w:szCs w:val="18"/>
              </w:rPr>
              <w:t xml:space="preserve">Versión del manual actualizada</w:t>
            </w:r>
          </w:p>
        </w:tc>
        <w:tc>
          <w:tcPr>
            <w:tcW w:type="dxa" w:w="12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7F8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☐  📷</w:t>
            </w:r>
          </w:p>
        </w:tc>
      </w:tr>
      <w:tr>
        <w:tc>
          <w:tcPr>
            <w:tcW w:type="dxa" w:w="6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8B7340"/>
                <w:sz w:val="18"/>
                <w:szCs w:val="18"/>
              </w:rPr>
              <w:t xml:space="preserve">05</w:t>
            </w:r>
          </w:p>
        </w:tc>
        <w:tc>
          <w:tcPr>
            <w:tcW w:type="dxa" w:w="75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416"/>
                <w:sz w:val="18"/>
                <w:szCs w:val="18"/>
              </w:rPr>
              <w:t xml:space="preserve">Distribución del índice a todos los responsables</w:t>
            </w:r>
          </w:p>
        </w:tc>
        <w:tc>
          <w:tcPr>
            <w:tcW w:type="dxa" w:w="12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☐  📷</w:t>
            </w:r>
          </w:p>
        </w:tc>
      </w:tr>
    </w:tbl>
    <w:p>
      <w:pPr>
        <w:spacing w:after="0" w:before="300"/>
      </w:pPr>
      <w:r>
        <w:t xml:space="preserve"/>
      </w:r>
    </w:p>
    <w:p>
      <w:pPr>
        <w:pBdr>
          <w:bottom w:val="single" w:color="8B7340" w:sz="4"/>
        </w:pBdr>
        <w:shd w:fill="1A2A4A" w:val="clear"/>
        <w:spacing w:after="100" w:before="3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4. ASSOCIATED RECORDS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416"/>
          <w:sz w:val="20"/>
          <w:szCs w:val="20"/>
        </w:rPr>
        <w:t xml:space="preserve">REG-DIR-01 Control de versiones del manual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416"/>
          <w:sz w:val="20"/>
          <w:szCs w:val="20"/>
        </w:rPr>
        <w:t xml:space="preserve">REG-DIR-02 Organigrama vigente</w:t>
      </w:r>
    </w:p>
    <w:p>
      <w:pPr>
        <w:spacing w:after="0" w:before="300"/>
      </w:pPr>
      <w:r>
        <w:t xml:space="preserve"/>
      </w:r>
    </w:p>
    <w:p>
      <w:pPr>
        <w:pBdr>
          <w:bottom w:val="single" w:color="8B7340" w:sz="4"/>
        </w:pBdr>
        <w:shd w:fill="1A2A4A" w:val="clear"/>
        <w:spacing w:after="100" w:before="3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5. CHANGE CONTROL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1800"/>
        <w:gridCol w:w="4360"/>
      </w:tblGrid>
      <w:tr>
        <w:tc>
          <w:tcPr>
            <w:tcW w:type="dxa" w:w="14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1A2A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18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1A2A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1A2A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43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1A2A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Change description</w:t>
            </w:r>
          </w:p>
        </w:tc>
      </w:tr>
      <w:tr>
        <w:tc>
          <w:tcPr>
            <w:tcW w:type="dxa" w:w="14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 1.0</w:t>
            </w:r>
          </w:p>
        </w:tc>
        <w:tc>
          <w:tcPr>
            <w:tcW w:type="dxa" w:w="18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2025</w:t>
            </w:r>
          </w:p>
        </w:tc>
        <w:tc>
          <w:tcPr>
            <w:tcW w:type="dxa" w:w="18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Midqar Foundation</w:t>
            </w:r>
          </w:p>
        </w:tc>
        <w:tc>
          <w:tcPr>
            <w:tcW w:type="dxa" w:w="43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Initial version</w:t>
            </w:r>
          </w:p>
        </w:tc>
      </w:tr>
      <w:tr>
        <w:tc>
          <w:tcPr>
            <w:tcW w:type="dxa" w:w="14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 2.0</w:t>
            </w:r>
          </w:p>
        </w:tc>
        <w:tc>
          <w:tcPr>
            <w:tcW w:type="dxa" w:w="18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 May 2026</w:t>
            </w:r>
          </w:p>
        </w:tc>
        <w:tc>
          <w:tcPr>
            <w:tcW w:type="dxa" w:w="18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Midqar Foundation</w:t>
            </w:r>
          </w:p>
        </w:tc>
        <w:tc>
          <w:tcPr>
            <w:tcW w:type="dxa" w:w="43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5F0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Added checklist frequency · Photo column · Miqdar Platform app integration</w:t>
            </w:r>
          </w:p>
        </w:tc>
      </w:tr>
    </w:tbl>
    <w:p>
      <w:pPr>
        <w:spacing w:after="0" w:before="400"/>
      </w:pPr>
      <w:r>
        <w:t xml:space="preserve"/>
      </w:r>
    </w:p>
    <w:p>
      <w:pPr>
        <w:pBdr>
          <w:top w:val="single" w:color="8B7340" w:sz="2"/>
        </w:pBdr>
        <w:spacing w:before="120"/>
        <w:jc w:val="center"/>
      </w:pPr>
      <w:r>
        <w:rPr>
          <w:rFonts w:ascii="Arial" w:cs="Arial" w:eastAsia="Arial" w:hAnsi="Arial"/>
          <w:i/>
          <w:iCs/>
          <w:color w:val="8B7340"/>
          <w:sz w:val="16"/>
          <w:szCs w:val="16"/>
        </w:rPr>
        <w:t xml:space="preserve">MIDQAR FOUNDATION  ·  MOD-00  ·  v 2.0  ·  Estándar 5★  ·  CONFIDENCIAL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2026-05-11T10:10:26.403Z</dcterms:created>
  <dcterms:modified xsi:type="dcterms:W3CDTF">2026-05-11T10:10:26.413Z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