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6FA" w:rsidRDefault="008B06FA" w:rsidP="008B06FA">
      <w:pPr>
        <w:widowControl w:val="0"/>
        <w:tabs>
          <w:tab w:val="center" w:pos="4680"/>
        </w:tabs>
      </w:pPr>
      <w:r w:rsidRPr="009F6DF7">
        <w:rPr>
          <w:noProof/>
          <w:sz w:val="28"/>
        </w:rPr>
        <w:drawing>
          <wp:inline distT="0" distB="0" distL="0" distR="0" wp14:anchorId="6F53AC36" wp14:editId="7802855B">
            <wp:extent cx="2362200" cy="990600"/>
            <wp:effectExtent l="0" t="0" r="0" b="0"/>
            <wp:docPr id="2" name="Picture 1" descr="FinalLogo_k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nalLogo_k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SEQ CHAPTER \h \r 1</w:instrText>
      </w:r>
      <w:r>
        <w:fldChar w:fldCharType="end"/>
      </w:r>
      <w:r>
        <w:tab/>
      </w:r>
    </w:p>
    <w:p w:rsidR="008B06FA" w:rsidRPr="009F6DF7" w:rsidRDefault="008B06FA" w:rsidP="008B06FA">
      <w:pPr>
        <w:widowControl w:val="0"/>
        <w:tabs>
          <w:tab w:val="center" w:pos="4680"/>
        </w:tabs>
        <w:jc w:val="center"/>
        <w:rPr>
          <w:b/>
          <w:sz w:val="28"/>
          <w:u w:val="single"/>
        </w:rPr>
      </w:pPr>
      <w:r w:rsidRPr="009F6DF7">
        <w:rPr>
          <w:b/>
          <w:sz w:val="28"/>
          <w:u w:val="single"/>
        </w:rPr>
        <w:t>Documentation of Final Disposition</w:t>
      </w:r>
      <w:r w:rsidR="000A3AD5">
        <w:rPr>
          <w:b/>
          <w:sz w:val="28"/>
          <w:u w:val="single"/>
        </w:rPr>
        <w:t xml:space="preserve"> Codes</w:t>
      </w:r>
    </w:p>
    <w:p w:rsidR="008B06FA" w:rsidRPr="009F6DF7" w:rsidRDefault="008B06FA" w:rsidP="000A3AD5">
      <w:pPr>
        <w:widowControl w:val="0"/>
        <w:tabs>
          <w:tab w:val="center" w:pos="4680"/>
        </w:tabs>
        <w:jc w:val="center"/>
        <w:rPr>
          <w:b/>
          <w:sz w:val="28"/>
          <w:u w:val="single"/>
        </w:rPr>
      </w:pPr>
      <w:r w:rsidRPr="009F6DF7">
        <w:rPr>
          <w:b/>
          <w:sz w:val="28"/>
          <w:u w:val="single"/>
        </w:rPr>
        <w:t xml:space="preserve">in </w:t>
      </w:r>
      <w:r>
        <w:rPr>
          <w:b/>
          <w:sz w:val="28"/>
          <w:u w:val="single"/>
        </w:rPr>
        <w:t>M</w:t>
      </w:r>
      <w:r w:rsidR="00E91089">
        <w:rPr>
          <w:b/>
          <w:sz w:val="28"/>
          <w:u w:val="single"/>
        </w:rPr>
        <w:t xml:space="preserve">IDUS </w:t>
      </w:r>
      <w:r>
        <w:rPr>
          <w:b/>
          <w:sz w:val="28"/>
          <w:u w:val="single"/>
        </w:rPr>
        <w:t>3 P</w:t>
      </w:r>
      <w:r w:rsidR="00E91089">
        <w:rPr>
          <w:b/>
          <w:sz w:val="28"/>
          <w:u w:val="single"/>
        </w:rPr>
        <w:t xml:space="preserve">roject </w:t>
      </w:r>
      <w:r>
        <w:rPr>
          <w:b/>
          <w:sz w:val="28"/>
          <w:u w:val="single"/>
        </w:rPr>
        <w:t xml:space="preserve">7 </w:t>
      </w:r>
      <w:r w:rsidR="0045694B">
        <w:rPr>
          <w:b/>
          <w:sz w:val="28"/>
          <w:u w:val="single"/>
        </w:rPr>
        <w:t>(R</w:t>
      </w:r>
      <w:r>
        <w:rPr>
          <w:b/>
          <w:sz w:val="28"/>
          <w:u w:val="single"/>
        </w:rPr>
        <w:t>EW</w:t>
      </w:r>
      <w:r w:rsidR="0045694B">
        <w:rPr>
          <w:b/>
          <w:sz w:val="28"/>
          <w:u w:val="single"/>
        </w:rPr>
        <w:t>)</w:t>
      </w:r>
    </w:p>
    <w:p w:rsidR="008B06FA" w:rsidRPr="009F6DF7" w:rsidRDefault="008B06FA" w:rsidP="008B06FA">
      <w:pPr>
        <w:widowControl w:val="0"/>
        <w:tabs>
          <w:tab w:val="center" w:pos="4680"/>
        </w:tabs>
        <w:jc w:val="center"/>
        <w:rPr>
          <w:b/>
          <w:sz w:val="28"/>
          <w:u w:val="single"/>
        </w:rPr>
      </w:pPr>
    </w:p>
    <w:p w:rsidR="000A3AD5" w:rsidRDefault="008B06FA" w:rsidP="00E92F87">
      <w:pPr>
        <w:widowControl w:val="0"/>
        <w:rPr>
          <w:sz w:val="22"/>
          <w:szCs w:val="22"/>
        </w:rPr>
      </w:pPr>
      <w:r w:rsidRPr="00C56F4F">
        <w:rPr>
          <w:sz w:val="22"/>
          <w:szCs w:val="22"/>
        </w:rPr>
        <w:t xml:space="preserve">This documentation accompanies a dataset that contains final disposition codes for all </w:t>
      </w:r>
      <w:r>
        <w:rPr>
          <w:sz w:val="22"/>
          <w:szCs w:val="22"/>
        </w:rPr>
        <w:t>2,239</w:t>
      </w:r>
      <w:r w:rsidRPr="00C56F4F">
        <w:rPr>
          <w:sz w:val="22"/>
          <w:szCs w:val="22"/>
        </w:rPr>
        <w:t xml:space="preserve"> individuals who </w:t>
      </w:r>
      <w:r w:rsidR="0045694B">
        <w:rPr>
          <w:sz w:val="22"/>
          <w:szCs w:val="22"/>
        </w:rPr>
        <w:t xml:space="preserve">were fielded for </w:t>
      </w:r>
      <w:r>
        <w:rPr>
          <w:sz w:val="22"/>
          <w:szCs w:val="22"/>
        </w:rPr>
        <w:t xml:space="preserve">the </w:t>
      </w:r>
      <w:r w:rsidR="0045694B">
        <w:rPr>
          <w:sz w:val="22"/>
          <w:szCs w:val="22"/>
        </w:rPr>
        <w:t>Retention Early Warning</w:t>
      </w:r>
      <w:r w:rsidR="0045694B" w:rsidRPr="00C56F4F">
        <w:rPr>
          <w:sz w:val="22"/>
          <w:szCs w:val="22"/>
        </w:rPr>
        <w:t xml:space="preserve"> (</w:t>
      </w:r>
      <w:r w:rsidR="0045694B">
        <w:rPr>
          <w:sz w:val="22"/>
          <w:szCs w:val="22"/>
        </w:rPr>
        <w:t>REW</w:t>
      </w:r>
      <w:r w:rsidR="0045694B" w:rsidRPr="00C56F4F">
        <w:rPr>
          <w:sz w:val="22"/>
          <w:szCs w:val="22"/>
        </w:rPr>
        <w:t xml:space="preserve">) </w:t>
      </w:r>
      <w:r w:rsidR="0045694B">
        <w:rPr>
          <w:sz w:val="22"/>
          <w:szCs w:val="22"/>
        </w:rPr>
        <w:t xml:space="preserve">project. </w:t>
      </w:r>
      <w:r w:rsidR="000A3AD5">
        <w:rPr>
          <w:sz w:val="22"/>
          <w:szCs w:val="22"/>
        </w:rPr>
        <w:t xml:space="preserve">The dataset is named </w:t>
      </w:r>
      <w:r w:rsidR="000A3AD5" w:rsidRPr="000A3AD5">
        <w:rPr>
          <w:sz w:val="22"/>
          <w:szCs w:val="22"/>
        </w:rPr>
        <w:t>M3_P7_DispositionCodes_N2239_20210802.sav</w:t>
      </w:r>
      <w:r w:rsidR="000A3AD5">
        <w:rPr>
          <w:sz w:val="22"/>
          <w:szCs w:val="22"/>
        </w:rPr>
        <w:t>.</w:t>
      </w:r>
    </w:p>
    <w:p w:rsidR="000A3AD5" w:rsidRDefault="000A3AD5" w:rsidP="00E92F87">
      <w:pPr>
        <w:widowControl w:val="0"/>
        <w:rPr>
          <w:sz w:val="22"/>
          <w:szCs w:val="22"/>
        </w:rPr>
      </w:pPr>
    </w:p>
    <w:p w:rsidR="00E92F87" w:rsidRDefault="0045694B" w:rsidP="00E92F87">
      <w:pPr>
        <w:widowControl w:val="0"/>
        <w:rPr>
          <w:sz w:val="22"/>
          <w:szCs w:val="22"/>
        </w:rPr>
      </w:pPr>
      <w:r>
        <w:rPr>
          <w:sz w:val="22"/>
          <w:szCs w:val="22"/>
        </w:rPr>
        <w:t>The REW project was an attempt to convert all living cases who had dropped out of the MIDUS Survey at M2 or M3</w:t>
      </w:r>
      <w:r w:rsidR="00E92F87">
        <w:rPr>
          <w:sz w:val="22"/>
          <w:szCs w:val="22"/>
        </w:rPr>
        <w:t xml:space="preserve"> by conducting an in-person (Computer Assisted Personal Interview or CAPI) interview </w:t>
      </w:r>
      <w:r w:rsidR="004A583D">
        <w:rPr>
          <w:sz w:val="22"/>
          <w:szCs w:val="22"/>
        </w:rPr>
        <w:t xml:space="preserve">with respondents. </w:t>
      </w:r>
    </w:p>
    <w:p w:rsidR="00E92F87" w:rsidRDefault="00E92F87" w:rsidP="00E92F87">
      <w:pPr>
        <w:widowControl w:val="0"/>
        <w:rPr>
          <w:sz w:val="22"/>
          <w:szCs w:val="22"/>
        </w:rPr>
      </w:pPr>
    </w:p>
    <w:p w:rsidR="00E92F87" w:rsidRDefault="00E92F87" w:rsidP="00E92F87">
      <w:pPr>
        <w:widowControl w:val="0"/>
        <w:rPr>
          <w:sz w:val="22"/>
          <w:szCs w:val="22"/>
        </w:rPr>
      </w:pPr>
      <w:r>
        <w:rPr>
          <w:sz w:val="22"/>
          <w:szCs w:val="22"/>
        </w:rPr>
        <w:t xml:space="preserve">The primary eligibility </w:t>
      </w:r>
      <w:r w:rsidR="008B06FA" w:rsidRPr="00C56F4F">
        <w:rPr>
          <w:sz w:val="22"/>
          <w:szCs w:val="22"/>
        </w:rPr>
        <w:t xml:space="preserve">for the fielded </w:t>
      </w:r>
      <w:r w:rsidR="008B06FA">
        <w:rPr>
          <w:sz w:val="22"/>
          <w:szCs w:val="22"/>
        </w:rPr>
        <w:t>REW</w:t>
      </w:r>
      <w:r w:rsidR="008B06FA" w:rsidRPr="00C56F4F">
        <w:rPr>
          <w:sz w:val="22"/>
          <w:szCs w:val="22"/>
        </w:rPr>
        <w:t xml:space="preserve"> sample was </w:t>
      </w:r>
      <w:r>
        <w:rPr>
          <w:sz w:val="22"/>
          <w:szCs w:val="22"/>
        </w:rPr>
        <w:t>whether a respondent had dropped out of the study at either M2 or M3. Additional criteria screened out of the fielded sample the following cases:</w:t>
      </w:r>
    </w:p>
    <w:p w:rsidR="00E92F87" w:rsidRDefault="00E92F87" w:rsidP="008B06FA">
      <w:pPr>
        <w:widowControl w:val="0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Respondent was deceased at time of fielding.</w:t>
      </w:r>
    </w:p>
    <w:p w:rsidR="008B06FA" w:rsidRDefault="008B06FA" w:rsidP="008B06FA">
      <w:pPr>
        <w:widowControl w:val="0"/>
        <w:numPr>
          <w:ilvl w:val="0"/>
          <w:numId w:val="1"/>
        </w:numPr>
        <w:rPr>
          <w:sz w:val="22"/>
          <w:szCs w:val="22"/>
        </w:rPr>
      </w:pPr>
      <w:r w:rsidRPr="00C56F4F">
        <w:rPr>
          <w:sz w:val="22"/>
          <w:szCs w:val="22"/>
        </w:rPr>
        <w:t xml:space="preserve">Respondent </w:t>
      </w:r>
      <w:r w:rsidR="00E92F87">
        <w:rPr>
          <w:sz w:val="22"/>
          <w:szCs w:val="22"/>
        </w:rPr>
        <w:t xml:space="preserve">had withdrawn </w:t>
      </w:r>
      <w:r w:rsidRPr="00C56F4F">
        <w:rPr>
          <w:sz w:val="22"/>
          <w:szCs w:val="22"/>
        </w:rPr>
        <w:t>from the study</w:t>
      </w:r>
      <w:r>
        <w:rPr>
          <w:sz w:val="22"/>
          <w:szCs w:val="22"/>
        </w:rPr>
        <w:t>.</w:t>
      </w:r>
    </w:p>
    <w:p w:rsidR="008B06FA" w:rsidRDefault="008B06FA" w:rsidP="008B06FA">
      <w:pPr>
        <w:widowControl w:val="0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Respondent </w:t>
      </w:r>
      <w:r w:rsidR="00E92F87">
        <w:rPr>
          <w:sz w:val="22"/>
          <w:szCs w:val="22"/>
        </w:rPr>
        <w:t xml:space="preserve">had been </w:t>
      </w:r>
      <w:r>
        <w:rPr>
          <w:sz w:val="22"/>
          <w:szCs w:val="22"/>
        </w:rPr>
        <w:t xml:space="preserve">coded as </w:t>
      </w:r>
      <w:r w:rsidRPr="00C56F4F">
        <w:rPr>
          <w:sz w:val="22"/>
          <w:szCs w:val="22"/>
        </w:rPr>
        <w:t xml:space="preserve">physically/mentally unable to </w:t>
      </w:r>
      <w:r>
        <w:rPr>
          <w:sz w:val="22"/>
          <w:szCs w:val="22"/>
        </w:rPr>
        <w:t>continue with the study</w:t>
      </w:r>
      <w:r w:rsidRPr="00C56F4F">
        <w:rPr>
          <w:sz w:val="22"/>
          <w:szCs w:val="22"/>
        </w:rPr>
        <w:t>.</w:t>
      </w:r>
    </w:p>
    <w:p w:rsidR="002F0201" w:rsidRDefault="00E92F87" w:rsidP="008B06FA">
      <w:pPr>
        <w:widowControl w:val="0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Respondent was a member of the Sibling sample</w:t>
      </w:r>
      <w:r w:rsidR="002F0201">
        <w:rPr>
          <w:sz w:val="22"/>
          <w:szCs w:val="22"/>
        </w:rPr>
        <w:t>.</w:t>
      </w:r>
    </w:p>
    <w:p w:rsidR="00E92F87" w:rsidRPr="00C56F4F" w:rsidRDefault="00E92F87" w:rsidP="00E92F87">
      <w:pPr>
        <w:widowControl w:val="0"/>
        <w:ind w:left="720"/>
        <w:rPr>
          <w:sz w:val="22"/>
          <w:szCs w:val="22"/>
        </w:rPr>
      </w:pPr>
    </w:p>
    <w:p w:rsidR="008B06FA" w:rsidRDefault="00E92F87" w:rsidP="008B06FA">
      <w:pPr>
        <w:widowControl w:val="0"/>
        <w:rPr>
          <w:sz w:val="22"/>
          <w:szCs w:val="22"/>
        </w:rPr>
      </w:pPr>
      <w:r>
        <w:rPr>
          <w:sz w:val="22"/>
          <w:szCs w:val="22"/>
        </w:rPr>
        <w:t>T</w:t>
      </w:r>
      <w:r w:rsidR="008B06FA">
        <w:rPr>
          <w:sz w:val="22"/>
          <w:szCs w:val="22"/>
        </w:rPr>
        <w:t>he REW</w:t>
      </w:r>
      <w:r w:rsidR="008B06FA" w:rsidRPr="00C56F4F">
        <w:rPr>
          <w:sz w:val="22"/>
          <w:szCs w:val="22"/>
        </w:rPr>
        <w:t xml:space="preserve"> </w:t>
      </w:r>
      <w:r w:rsidR="008B06FA">
        <w:rPr>
          <w:sz w:val="22"/>
          <w:szCs w:val="22"/>
        </w:rPr>
        <w:t>sample consisted of 2,239</w:t>
      </w:r>
      <w:r w:rsidR="008B06FA" w:rsidRPr="00C56F4F">
        <w:rPr>
          <w:sz w:val="22"/>
          <w:szCs w:val="22"/>
        </w:rPr>
        <w:t xml:space="preserve"> </w:t>
      </w:r>
      <w:r w:rsidR="004A583D">
        <w:rPr>
          <w:sz w:val="22"/>
          <w:szCs w:val="22"/>
        </w:rPr>
        <w:t xml:space="preserve">eligible </w:t>
      </w:r>
      <w:r w:rsidR="008B06FA" w:rsidRPr="00C56F4F">
        <w:rPr>
          <w:sz w:val="22"/>
          <w:szCs w:val="22"/>
        </w:rPr>
        <w:t>individuals</w:t>
      </w:r>
      <w:r w:rsidR="008B06F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who </w:t>
      </w:r>
      <w:r w:rsidR="008B06FA">
        <w:rPr>
          <w:sz w:val="22"/>
          <w:szCs w:val="22"/>
        </w:rPr>
        <w:t>were fielded for the survey</w:t>
      </w:r>
      <w:r w:rsidR="008B06FA" w:rsidRPr="00C56F4F">
        <w:rPr>
          <w:sz w:val="22"/>
          <w:szCs w:val="22"/>
        </w:rPr>
        <w:t xml:space="preserve">. Of these, the University of Wisconsin Survey Center (UWSC) was able to collect complete interview data from </w:t>
      </w:r>
      <w:r w:rsidR="008B06FA">
        <w:rPr>
          <w:sz w:val="22"/>
          <w:szCs w:val="22"/>
        </w:rPr>
        <w:t>651</w:t>
      </w:r>
      <w:r w:rsidR="008B06FA" w:rsidRPr="00C56F4F">
        <w:rPr>
          <w:sz w:val="22"/>
          <w:szCs w:val="22"/>
        </w:rPr>
        <w:t xml:space="preserve"> respondents, corresponding to </w:t>
      </w:r>
      <w:r w:rsidR="000D5033">
        <w:rPr>
          <w:sz w:val="22"/>
          <w:szCs w:val="22"/>
        </w:rPr>
        <w:t>an 32</w:t>
      </w:r>
      <w:r w:rsidR="008B06FA" w:rsidRPr="00C56F4F">
        <w:rPr>
          <w:sz w:val="22"/>
          <w:szCs w:val="22"/>
        </w:rPr>
        <w:t xml:space="preserve">% response rate when adjusted for </w:t>
      </w:r>
      <w:r w:rsidR="008B06FA">
        <w:rPr>
          <w:sz w:val="22"/>
          <w:szCs w:val="22"/>
        </w:rPr>
        <w:t>mortality</w:t>
      </w:r>
      <w:r w:rsidR="008B06FA" w:rsidRPr="00C56F4F">
        <w:rPr>
          <w:sz w:val="22"/>
          <w:szCs w:val="22"/>
        </w:rPr>
        <w:t xml:space="preserve">. The remaining individuals did not participate in </w:t>
      </w:r>
      <w:r w:rsidR="008B06FA">
        <w:rPr>
          <w:sz w:val="22"/>
          <w:szCs w:val="22"/>
        </w:rPr>
        <w:t>REW</w:t>
      </w:r>
      <w:r w:rsidR="008B06FA" w:rsidRPr="00C56F4F">
        <w:rPr>
          <w:sz w:val="22"/>
          <w:szCs w:val="22"/>
        </w:rPr>
        <w:t xml:space="preserve"> for the rea</w:t>
      </w:r>
      <w:r w:rsidR="008B06FA">
        <w:rPr>
          <w:sz w:val="22"/>
          <w:szCs w:val="22"/>
        </w:rPr>
        <w:t>sons detailed in Table 1 below.</w:t>
      </w:r>
    </w:p>
    <w:p w:rsidR="008B06FA" w:rsidRPr="00C56F4F" w:rsidRDefault="008B06FA" w:rsidP="008B06FA">
      <w:pPr>
        <w:widowControl w:val="0"/>
        <w:rPr>
          <w:sz w:val="22"/>
          <w:szCs w:val="22"/>
        </w:rPr>
      </w:pPr>
    </w:p>
    <w:p w:rsidR="008B06FA" w:rsidRPr="00C56F4F" w:rsidRDefault="008B06FA" w:rsidP="008B06FA">
      <w:pPr>
        <w:widowControl w:val="0"/>
        <w:rPr>
          <w:sz w:val="22"/>
          <w:szCs w:val="22"/>
        </w:rPr>
      </w:pPr>
      <w:r w:rsidRPr="00C56F4F">
        <w:rPr>
          <w:sz w:val="22"/>
          <w:szCs w:val="22"/>
        </w:rPr>
        <w:t xml:space="preserve">Table 1. </w:t>
      </w:r>
      <w:r>
        <w:rPr>
          <w:sz w:val="22"/>
          <w:szCs w:val="22"/>
        </w:rPr>
        <w:t>REW</w:t>
      </w:r>
      <w:r w:rsidRPr="00C56F4F">
        <w:rPr>
          <w:sz w:val="22"/>
          <w:szCs w:val="22"/>
        </w:rPr>
        <w:t xml:space="preserve"> Disposition Codes</w:t>
      </w:r>
    </w:p>
    <w:tbl>
      <w:tblPr>
        <w:tblpPr w:leftFromText="180" w:rightFromText="180" w:vertAnchor="text" w:horzAnchor="margin" w:tblpY="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78"/>
        <w:gridCol w:w="1506"/>
      </w:tblGrid>
      <w:tr w:rsidR="008B06FA" w:rsidRPr="00C56F4F" w:rsidTr="00AB721E">
        <w:tc>
          <w:tcPr>
            <w:tcW w:w="4878" w:type="dxa"/>
          </w:tcPr>
          <w:p w:rsidR="008B06FA" w:rsidRPr="00C56F4F" w:rsidRDefault="008B06FA" w:rsidP="00AB721E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1506" w:type="dxa"/>
          </w:tcPr>
          <w:p w:rsidR="008B06FA" w:rsidRPr="00C56F4F" w:rsidRDefault="008B06FA" w:rsidP="00AB721E">
            <w:pPr>
              <w:widowControl w:val="0"/>
              <w:jc w:val="center"/>
              <w:rPr>
                <w:sz w:val="22"/>
                <w:szCs w:val="22"/>
              </w:rPr>
            </w:pPr>
            <w:r w:rsidRPr="00C56F4F">
              <w:rPr>
                <w:sz w:val="22"/>
                <w:szCs w:val="22"/>
              </w:rPr>
              <w:t>Count</w:t>
            </w:r>
          </w:p>
        </w:tc>
      </w:tr>
      <w:tr w:rsidR="008B06FA" w:rsidRPr="00C56F4F" w:rsidTr="00AB721E">
        <w:tc>
          <w:tcPr>
            <w:tcW w:w="4878" w:type="dxa"/>
          </w:tcPr>
          <w:p w:rsidR="008B06FA" w:rsidRPr="00E03539" w:rsidRDefault="008B06FA" w:rsidP="00E92F87">
            <w:pPr>
              <w:widowControl w:val="0"/>
              <w:rPr>
                <w:sz w:val="22"/>
                <w:szCs w:val="22"/>
              </w:rPr>
            </w:pPr>
            <w:r w:rsidRPr="00C56F4F">
              <w:rPr>
                <w:sz w:val="22"/>
                <w:szCs w:val="22"/>
              </w:rPr>
              <w:t xml:space="preserve">Completed </w:t>
            </w:r>
            <w:r>
              <w:rPr>
                <w:sz w:val="22"/>
                <w:szCs w:val="22"/>
              </w:rPr>
              <w:t>REW</w:t>
            </w:r>
            <w:r w:rsidRPr="00C56F4F">
              <w:rPr>
                <w:sz w:val="22"/>
                <w:szCs w:val="22"/>
              </w:rPr>
              <w:t xml:space="preserve"> interview</w:t>
            </w:r>
          </w:p>
        </w:tc>
        <w:tc>
          <w:tcPr>
            <w:tcW w:w="1506" w:type="dxa"/>
          </w:tcPr>
          <w:p w:rsidR="008B06FA" w:rsidRPr="00C56F4F" w:rsidRDefault="008B06FA" w:rsidP="00AB721E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651</w:t>
            </w:r>
          </w:p>
        </w:tc>
      </w:tr>
      <w:tr w:rsidR="008B06FA" w:rsidRPr="00C56F4F" w:rsidTr="00AB721E">
        <w:tc>
          <w:tcPr>
            <w:tcW w:w="4878" w:type="dxa"/>
          </w:tcPr>
          <w:p w:rsidR="008B06FA" w:rsidRPr="00C56F4F" w:rsidRDefault="008B06FA" w:rsidP="00EF5916">
            <w:pPr>
              <w:widowControl w:val="0"/>
              <w:rPr>
                <w:sz w:val="22"/>
                <w:szCs w:val="22"/>
              </w:rPr>
            </w:pPr>
            <w:r w:rsidRPr="00C56F4F">
              <w:rPr>
                <w:sz w:val="22"/>
                <w:szCs w:val="22"/>
              </w:rPr>
              <w:t>Deceased</w:t>
            </w:r>
            <w:r>
              <w:rPr>
                <w:rStyle w:val="EndnoteReference"/>
                <w:sz w:val="22"/>
                <w:szCs w:val="22"/>
              </w:rPr>
              <w:endnoteReference w:id="1"/>
            </w:r>
          </w:p>
        </w:tc>
        <w:tc>
          <w:tcPr>
            <w:tcW w:w="1506" w:type="dxa"/>
          </w:tcPr>
          <w:p w:rsidR="008B06FA" w:rsidRPr="00C56F4F" w:rsidRDefault="008B06FA" w:rsidP="00AB721E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186</w:t>
            </w:r>
          </w:p>
        </w:tc>
      </w:tr>
      <w:tr w:rsidR="008B06FA" w:rsidRPr="00C56F4F" w:rsidTr="00AB721E">
        <w:tc>
          <w:tcPr>
            <w:tcW w:w="4878" w:type="dxa"/>
          </w:tcPr>
          <w:p w:rsidR="008B06FA" w:rsidRPr="00C56F4F" w:rsidRDefault="008B06FA" w:rsidP="00AB721E">
            <w:pPr>
              <w:widowControl w:val="0"/>
              <w:rPr>
                <w:sz w:val="22"/>
                <w:szCs w:val="22"/>
              </w:rPr>
            </w:pPr>
            <w:r w:rsidRPr="00C56F4F">
              <w:rPr>
                <w:sz w:val="22"/>
                <w:szCs w:val="22"/>
              </w:rPr>
              <w:t>Refusal</w:t>
            </w:r>
          </w:p>
        </w:tc>
        <w:tc>
          <w:tcPr>
            <w:tcW w:w="1506" w:type="dxa"/>
          </w:tcPr>
          <w:p w:rsidR="008B06FA" w:rsidRPr="00C56F4F" w:rsidRDefault="008B06FA" w:rsidP="00AB721E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462</w:t>
            </w:r>
          </w:p>
        </w:tc>
      </w:tr>
      <w:tr w:rsidR="008B06FA" w:rsidRPr="00C56F4F" w:rsidTr="00AB721E">
        <w:tc>
          <w:tcPr>
            <w:tcW w:w="4878" w:type="dxa"/>
          </w:tcPr>
          <w:p w:rsidR="008B06FA" w:rsidRPr="00C56F4F" w:rsidRDefault="008B06FA" w:rsidP="00AB721E">
            <w:pPr>
              <w:widowControl w:val="0"/>
              <w:rPr>
                <w:sz w:val="22"/>
                <w:szCs w:val="22"/>
              </w:rPr>
            </w:pPr>
            <w:r w:rsidRPr="00C56F4F">
              <w:rPr>
                <w:sz w:val="22"/>
                <w:szCs w:val="22"/>
              </w:rPr>
              <w:t>Physically/mentally unable to complete</w:t>
            </w:r>
          </w:p>
        </w:tc>
        <w:tc>
          <w:tcPr>
            <w:tcW w:w="1506" w:type="dxa"/>
          </w:tcPr>
          <w:p w:rsidR="008B06FA" w:rsidRPr="00C56F4F" w:rsidRDefault="008B06FA" w:rsidP="00AB721E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</w:p>
        </w:tc>
      </w:tr>
      <w:tr w:rsidR="008B06FA" w:rsidRPr="00C56F4F" w:rsidTr="00AB721E">
        <w:tc>
          <w:tcPr>
            <w:tcW w:w="4878" w:type="dxa"/>
          </w:tcPr>
          <w:p w:rsidR="008B06FA" w:rsidRPr="00C56F4F" w:rsidRDefault="008B06FA" w:rsidP="00AB721E">
            <w:pPr>
              <w:widowControl w:val="0"/>
              <w:rPr>
                <w:sz w:val="22"/>
                <w:szCs w:val="22"/>
              </w:rPr>
            </w:pPr>
            <w:r w:rsidRPr="00C56F4F">
              <w:rPr>
                <w:sz w:val="22"/>
                <w:szCs w:val="22"/>
              </w:rPr>
              <w:t>Unable to interview</w:t>
            </w:r>
          </w:p>
        </w:tc>
        <w:tc>
          <w:tcPr>
            <w:tcW w:w="1506" w:type="dxa"/>
          </w:tcPr>
          <w:p w:rsidR="008B06FA" w:rsidRPr="00C56F4F" w:rsidRDefault="008B06FA" w:rsidP="00AB721E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903</w:t>
            </w:r>
          </w:p>
        </w:tc>
      </w:tr>
      <w:tr w:rsidR="008B06FA" w:rsidRPr="00C56F4F" w:rsidTr="00AB721E">
        <w:tc>
          <w:tcPr>
            <w:tcW w:w="4878" w:type="dxa"/>
          </w:tcPr>
          <w:p w:rsidR="008B06FA" w:rsidRPr="00C56F4F" w:rsidRDefault="008B06FA" w:rsidP="00AB721E">
            <w:pPr>
              <w:widowControl w:val="0"/>
              <w:rPr>
                <w:sz w:val="22"/>
                <w:szCs w:val="22"/>
              </w:rPr>
            </w:pPr>
            <w:r w:rsidRPr="00C56F4F">
              <w:rPr>
                <w:sz w:val="22"/>
                <w:szCs w:val="22"/>
              </w:rPr>
              <w:t>Withdrew from study/Out of sample</w:t>
            </w:r>
          </w:p>
        </w:tc>
        <w:tc>
          <w:tcPr>
            <w:tcW w:w="1506" w:type="dxa"/>
          </w:tcPr>
          <w:p w:rsidR="008B06FA" w:rsidRPr="00C56F4F" w:rsidRDefault="008B06FA" w:rsidP="00AB721E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8B06FA" w:rsidRPr="00C56F4F" w:rsidTr="00AB721E">
        <w:tc>
          <w:tcPr>
            <w:tcW w:w="4878" w:type="dxa"/>
          </w:tcPr>
          <w:p w:rsidR="008B06FA" w:rsidRPr="00C56F4F" w:rsidRDefault="008B06FA" w:rsidP="00AB721E">
            <w:pPr>
              <w:widowControl w:val="0"/>
              <w:rPr>
                <w:sz w:val="22"/>
                <w:szCs w:val="22"/>
              </w:rPr>
            </w:pPr>
            <w:r w:rsidRPr="00C56F4F">
              <w:rPr>
                <w:sz w:val="22"/>
                <w:szCs w:val="22"/>
              </w:rPr>
              <w:t>TOTAL</w:t>
            </w:r>
          </w:p>
        </w:tc>
        <w:tc>
          <w:tcPr>
            <w:tcW w:w="1506" w:type="dxa"/>
          </w:tcPr>
          <w:p w:rsidR="008B06FA" w:rsidRPr="00C56F4F" w:rsidRDefault="008B06FA" w:rsidP="00AB721E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2,239</w:t>
            </w:r>
          </w:p>
        </w:tc>
      </w:tr>
    </w:tbl>
    <w:p w:rsidR="008B06FA" w:rsidRPr="00C56F4F" w:rsidRDefault="008B06FA" w:rsidP="008B06FA">
      <w:pPr>
        <w:widowControl w:val="0"/>
        <w:rPr>
          <w:sz w:val="22"/>
          <w:szCs w:val="22"/>
        </w:rPr>
      </w:pPr>
    </w:p>
    <w:p w:rsidR="008B06FA" w:rsidRPr="00C56F4F" w:rsidRDefault="008B06FA" w:rsidP="008B06FA">
      <w:pPr>
        <w:widowControl w:val="0"/>
        <w:rPr>
          <w:sz w:val="22"/>
          <w:szCs w:val="22"/>
        </w:rPr>
      </w:pPr>
    </w:p>
    <w:p w:rsidR="008B06FA" w:rsidRPr="00C56F4F" w:rsidRDefault="008B06FA" w:rsidP="008B06FA">
      <w:pPr>
        <w:widowControl w:val="0"/>
        <w:rPr>
          <w:sz w:val="22"/>
          <w:szCs w:val="22"/>
        </w:rPr>
      </w:pPr>
    </w:p>
    <w:p w:rsidR="008B06FA" w:rsidRPr="00C56F4F" w:rsidRDefault="008B06FA" w:rsidP="008B06FA">
      <w:pPr>
        <w:widowControl w:val="0"/>
        <w:rPr>
          <w:sz w:val="22"/>
          <w:szCs w:val="22"/>
        </w:rPr>
      </w:pPr>
    </w:p>
    <w:p w:rsidR="008B06FA" w:rsidRPr="00C56F4F" w:rsidRDefault="008B06FA" w:rsidP="008B06FA">
      <w:pPr>
        <w:widowControl w:val="0"/>
        <w:rPr>
          <w:sz w:val="22"/>
          <w:szCs w:val="22"/>
        </w:rPr>
      </w:pPr>
    </w:p>
    <w:p w:rsidR="008B06FA" w:rsidRPr="00C56F4F" w:rsidRDefault="008B06FA" w:rsidP="008B06FA">
      <w:pPr>
        <w:widowControl w:val="0"/>
        <w:rPr>
          <w:sz w:val="22"/>
          <w:szCs w:val="22"/>
        </w:rPr>
      </w:pPr>
    </w:p>
    <w:p w:rsidR="008B06FA" w:rsidRPr="00C56F4F" w:rsidRDefault="008B06FA" w:rsidP="008B06FA">
      <w:pPr>
        <w:widowControl w:val="0"/>
        <w:rPr>
          <w:sz w:val="22"/>
          <w:szCs w:val="22"/>
        </w:rPr>
      </w:pPr>
    </w:p>
    <w:p w:rsidR="008B06FA" w:rsidRPr="00C56F4F" w:rsidRDefault="008B06FA" w:rsidP="008B06FA">
      <w:pPr>
        <w:widowControl w:val="0"/>
        <w:rPr>
          <w:sz w:val="22"/>
          <w:szCs w:val="22"/>
        </w:rPr>
      </w:pPr>
    </w:p>
    <w:p w:rsidR="008B06FA" w:rsidRPr="00C56F4F" w:rsidRDefault="008B06FA" w:rsidP="008B06FA">
      <w:pPr>
        <w:widowControl w:val="0"/>
        <w:rPr>
          <w:sz w:val="22"/>
          <w:szCs w:val="22"/>
        </w:rPr>
      </w:pPr>
    </w:p>
    <w:p w:rsidR="008B06FA" w:rsidRPr="00C56F4F" w:rsidRDefault="008B06FA" w:rsidP="008B06FA">
      <w:pPr>
        <w:widowControl w:val="0"/>
        <w:rPr>
          <w:sz w:val="22"/>
          <w:szCs w:val="22"/>
        </w:rPr>
      </w:pPr>
    </w:p>
    <w:p w:rsidR="00B25DE8" w:rsidRDefault="008B06FA" w:rsidP="002F0201">
      <w:pPr>
        <w:widowControl w:val="0"/>
        <w:rPr>
          <w:sz w:val="22"/>
          <w:szCs w:val="22"/>
        </w:rPr>
      </w:pPr>
      <w:r w:rsidRPr="00C56F4F">
        <w:rPr>
          <w:sz w:val="22"/>
          <w:szCs w:val="22"/>
        </w:rPr>
        <w:t xml:space="preserve">The final disposition code dataset can be merged </w:t>
      </w:r>
      <w:r w:rsidR="004A583D">
        <w:rPr>
          <w:sz w:val="22"/>
          <w:szCs w:val="22"/>
        </w:rPr>
        <w:t xml:space="preserve">with other MIDUS </w:t>
      </w:r>
      <w:r w:rsidR="00E91089">
        <w:rPr>
          <w:sz w:val="22"/>
          <w:szCs w:val="22"/>
        </w:rPr>
        <w:t xml:space="preserve">Core sample </w:t>
      </w:r>
      <w:r w:rsidR="004A583D">
        <w:rPr>
          <w:sz w:val="22"/>
          <w:szCs w:val="22"/>
        </w:rPr>
        <w:t>datasets via the M2ID variable.</w:t>
      </w:r>
    </w:p>
    <w:p w:rsidR="004A583D" w:rsidRDefault="004A583D" w:rsidP="002F0201">
      <w:pPr>
        <w:widowControl w:val="0"/>
        <w:rPr>
          <w:sz w:val="22"/>
          <w:szCs w:val="22"/>
        </w:rPr>
      </w:pPr>
    </w:p>
    <w:p w:rsidR="004A583D" w:rsidRDefault="004A583D" w:rsidP="002F0201">
      <w:pPr>
        <w:widowControl w:val="0"/>
        <w:rPr>
          <w:sz w:val="22"/>
          <w:szCs w:val="22"/>
        </w:rPr>
      </w:pPr>
    </w:p>
    <w:p w:rsidR="004A583D" w:rsidRDefault="004A583D" w:rsidP="002F0201">
      <w:pPr>
        <w:widowControl w:val="0"/>
        <w:rPr>
          <w:sz w:val="22"/>
          <w:szCs w:val="22"/>
        </w:rPr>
      </w:pPr>
    </w:p>
    <w:p w:rsidR="004A583D" w:rsidRDefault="004A583D" w:rsidP="002F0201">
      <w:pPr>
        <w:widowControl w:val="0"/>
        <w:rPr>
          <w:sz w:val="22"/>
          <w:szCs w:val="22"/>
        </w:rPr>
      </w:pPr>
    </w:p>
    <w:p w:rsidR="004A583D" w:rsidRDefault="004A583D" w:rsidP="002F0201">
      <w:pPr>
        <w:widowControl w:val="0"/>
        <w:rPr>
          <w:sz w:val="22"/>
          <w:szCs w:val="22"/>
        </w:rPr>
      </w:pPr>
    </w:p>
    <w:p w:rsidR="004A583D" w:rsidRDefault="004A583D" w:rsidP="002F0201">
      <w:pPr>
        <w:widowControl w:val="0"/>
        <w:rPr>
          <w:sz w:val="22"/>
          <w:szCs w:val="22"/>
        </w:rPr>
      </w:pPr>
    </w:p>
    <w:p w:rsidR="004A583D" w:rsidRDefault="004A583D" w:rsidP="002F0201">
      <w:pPr>
        <w:widowControl w:val="0"/>
        <w:rPr>
          <w:sz w:val="22"/>
          <w:szCs w:val="22"/>
        </w:rPr>
      </w:pPr>
      <w:bookmarkStart w:id="0" w:name="_GoBack"/>
      <w:bookmarkEnd w:id="0"/>
    </w:p>
    <w:sectPr w:rsidR="004A583D" w:rsidSect="001F14C6">
      <w:footerReference w:type="default" r:id="rId9"/>
      <w:endnotePr>
        <w:numFmt w:val="decimal"/>
      </w:endnotePr>
      <w:pgSz w:w="12240" w:h="15840"/>
      <w:pgMar w:top="907" w:right="1440" w:bottom="126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6FA" w:rsidRDefault="008B06FA" w:rsidP="008B06FA">
      <w:r>
        <w:separator/>
      </w:r>
    </w:p>
  </w:endnote>
  <w:endnote w:type="continuationSeparator" w:id="0">
    <w:p w:rsidR="008B06FA" w:rsidRDefault="008B06FA" w:rsidP="008B06FA">
      <w:r>
        <w:continuationSeparator/>
      </w:r>
    </w:p>
  </w:endnote>
  <w:endnote w:id="1">
    <w:p w:rsidR="008B06FA" w:rsidRDefault="008B06FA">
      <w:pPr>
        <w:pStyle w:val="EndnoteText"/>
      </w:pPr>
      <w:r>
        <w:rPr>
          <w:rStyle w:val="EndnoteReference"/>
        </w:rPr>
        <w:endnoteRef/>
      </w:r>
      <w:r>
        <w:t xml:space="preserve"> Mortality closeout interviews and tracing were conducted throughout the </w:t>
      </w:r>
      <w:r w:rsidR="00E92F87">
        <w:t xml:space="preserve">REW </w:t>
      </w:r>
      <w:r>
        <w:t>fielding period</w:t>
      </w:r>
      <w:r w:rsidR="00E92F87">
        <w:t>. I</w:t>
      </w:r>
      <w:r>
        <w:t xml:space="preserve">t is possible for a case to </w:t>
      </w:r>
      <w:r w:rsidR="00E92F87">
        <w:t xml:space="preserve">have </w:t>
      </w:r>
      <w:r>
        <w:t>complete</w:t>
      </w:r>
      <w:r w:rsidR="00E92F87">
        <w:t>d</w:t>
      </w:r>
      <w:r>
        <w:t xml:space="preserve"> the interview and later be classified as deceased. More detailed information can be found in the latest MIDUS </w:t>
      </w:r>
      <w:r w:rsidR="00E92F87">
        <w:t xml:space="preserve">Core </w:t>
      </w:r>
      <w:r>
        <w:t>mortality dataset and documentation.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8E7" w:rsidRPr="00B826B8" w:rsidRDefault="00B826B8" w:rsidP="00B826B8">
    <w:pPr>
      <w:pStyle w:val="Footer"/>
      <w:tabs>
        <w:tab w:val="clear" w:pos="4680"/>
        <w:tab w:val="clear" w:pos="9360"/>
        <w:tab w:val="left" w:pos="8010"/>
      </w:tabs>
      <w:rPr>
        <w:sz w:val="20"/>
      </w:rPr>
    </w:pPr>
    <w:r w:rsidRPr="00B826B8">
      <w:rPr>
        <w:sz w:val="20"/>
      </w:rPr>
      <w:fldChar w:fldCharType="begin"/>
    </w:r>
    <w:r w:rsidRPr="00B826B8">
      <w:rPr>
        <w:sz w:val="20"/>
      </w:rPr>
      <w:instrText xml:space="preserve"> FILENAME \p \* MERGEFORMAT </w:instrText>
    </w:r>
    <w:r w:rsidRPr="00B826B8">
      <w:rPr>
        <w:sz w:val="20"/>
      </w:rPr>
      <w:fldChar w:fldCharType="separate"/>
    </w:r>
    <w:r w:rsidRPr="00B826B8">
      <w:rPr>
        <w:noProof/>
        <w:sz w:val="20"/>
      </w:rPr>
      <w:t>X:\Administrative Database\DBS\MIDUS 3\Project 7\PublicRelease\August2021\Documentation\M3_P7_DocumentationOfInterviewDisposition_20210802.docx</w:t>
    </w:r>
    <w:r w:rsidRPr="00B826B8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6FA" w:rsidRDefault="008B06FA" w:rsidP="008B06FA">
      <w:r>
        <w:separator/>
      </w:r>
    </w:p>
  </w:footnote>
  <w:footnote w:type="continuationSeparator" w:id="0">
    <w:p w:rsidR="008B06FA" w:rsidRDefault="008B06FA" w:rsidP="008B06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836B8"/>
    <w:multiLevelType w:val="hybridMultilevel"/>
    <w:tmpl w:val="F26A9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6FA"/>
    <w:rsid w:val="000A3AD5"/>
    <w:rsid w:val="000D5033"/>
    <w:rsid w:val="001D6274"/>
    <w:rsid w:val="001F14C6"/>
    <w:rsid w:val="002F0201"/>
    <w:rsid w:val="0045694B"/>
    <w:rsid w:val="004A583D"/>
    <w:rsid w:val="00546EC6"/>
    <w:rsid w:val="005F70D6"/>
    <w:rsid w:val="00744D75"/>
    <w:rsid w:val="00804267"/>
    <w:rsid w:val="008B06FA"/>
    <w:rsid w:val="00B826B8"/>
    <w:rsid w:val="00C628E7"/>
    <w:rsid w:val="00D708CC"/>
    <w:rsid w:val="00DD048E"/>
    <w:rsid w:val="00E91089"/>
    <w:rsid w:val="00E92F87"/>
    <w:rsid w:val="00EF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0A58CC45"/>
  <w15:chartTrackingRefBased/>
  <w15:docId w15:val="{129A10BD-71D1-4D41-97AD-E95D7A5AD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6F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8B06FA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06FA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8B06F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B06FA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06FA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8B06F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C628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28E7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628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28E7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E92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4C803-887D-45FB-A7EF-C6AC5EE92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on Aging</Company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Oh</dc:creator>
  <cp:keywords/>
  <dc:description/>
  <cp:lastModifiedBy>Barry T. Radler</cp:lastModifiedBy>
  <cp:revision>3</cp:revision>
  <dcterms:created xsi:type="dcterms:W3CDTF">2021-08-02T14:44:00Z</dcterms:created>
  <dcterms:modified xsi:type="dcterms:W3CDTF">2021-08-02T14:44:00Z</dcterms:modified>
</cp:coreProperties>
</file>