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74" w:rsidRDefault="002D641B" w:rsidP="008D29DC">
      <w:pPr>
        <w:spacing w:after="0" w:line="240" w:lineRule="auto"/>
        <w:jc w:val="center"/>
        <w:rPr>
          <w:b/>
          <w:sz w:val="24"/>
        </w:rPr>
      </w:pPr>
      <w:r w:rsidRPr="002E0DC9">
        <w:rPr>
          <w:b/>
          <w:sz w:val="24"/>
        </w:rPr>
        <w:t>Populat</w:t>
      </w:r>
      <w:r w:rsidR="00881CB8" w:rsidRPr="002E0DC9">
        <w:rPr>
          <w:b/>
          <w:sz w:val="24"/>
        </w:rPr>
        <w:t>ing</w:t>
      </w:r>
      <w:r w:rsidRPr="002E0DC9">
        <w:rPr>
          <w:b/>
          <w:sz w:val="24"/>
        </w:rPr>
        <w:t xml:space="preserve"> and Updating the MIDUS </w:t>
      </w:r>
      <w:r w:rsidR="005A4674">
        <w:rPr>
          <w:b/>
          <w:sz w:val="24"/>
        </w:rPr>
        <w:t>Portal</w:t>
      </w:r>
    </w:p>
    <w:p w:rsidR="005A4674" w:rsidRDefault="005A4674" w:rsidP="008D29DC">
      <w:pPr>
        <w:spacing w:after="0" w:line="240" w:lineRule="auto"/>
        <w:jc w:val="center"/>
        <w:rPr>
          <w:b/>
          <w:sz w:val="24"/>
        </w:rPr>
      </w:pPr>
    </w:p>
    <w:p w:rsidR="001D2528" w:rsidRDefault="001D2528" w:rsidP="001D2528">
      <w:pPr>
        <w:spacing w:after="0" w:line="240" w:lineRule="auto"/>
      </w:pPr>
      <w:r w:rsidRPr="001D2528">
        <w:t xml:space="preserve">This </w:t>
      </w:r>
      <w:r>
        <w:t>document describes how to document MIDUS project datasets in the MIDUS-</w:t>
      </w:r>
      <w:proofErr w:type="spellStart"/>
      <w:r>
        <w:t>Colectica</w:t>
      </w:r>
      <w:proofErr w:type="spellEnd"/>
      <w:r>
        <w:t xml:space="preserve"> online Portal.  The Portal is a repository based on the Data Documentation Initiative (DDI) metadata standard which facilitates comprehensive and dynamic online documentation of research datasets. There are actually two versions of the MIDUS Portal:</w:t>
      </w:r>
    </w:p>
    <w:p w:rsidR="001D2528" w:rsidRDefault="001D2528" w:rsidP="001D2528">
      <w:pPr>
        <w:pStyle w:val="ListParagraph"/>
        <w:numPr>
          <w:ilvl w:val="0"/>
          <w:numId w:val="1"/>
        </w:numPr>
        <w:spacing w:after="0" w:line="240" w:lineRule="auto"/>
      </w:pPr>
      <w:r>
        <w:t>Public (</w:t>
      </w:r>
      <w:hyperlink r:id="rId7" w:history="1">
        <w:r w:rsidRPr="009830CA">
          <w:rPr>
            <w:rStyle w:val="Hyperlink"/>
          </w:rPr>
          <w:t>https://midus.colectica.org/</w:t>
        </w:r>
      </w:hyperlink>
      <w:r>
        <w:t>): as the name implies, this is a public-facing portal that contains the same versions of the data and documentation that are publicly available through ICPSR.</w:t>
      </w:r>
    </w:p>
    <w:p w:rsidR="001D2528" w:rsidRDefault="001D2528" w:rsidP="001D2528">
      <w:pPr>
        <w:pStyle w:val="ListParagraph"/>
        <w:numPr>
          <w:ilvl w:val="0"/>
          <w:numId w:val="1"/>
        </w:numPr>
        <w:spacing w:after="0" w:line="240" w:lineRule="auto"/>
      </w:pPr>
      <w:r>
        <w:t>DTD (</w:t>
      </w:r>
      <w:hyperlink r:id="rId8" w:history="1">
        <w:r w:rsidRPr="002D5E48">
          <w:rPr>
            <w:rStyle w:val="Hyperlink"/>
          </w:rPr>
          <w:t>https://daytoday.midus.colectica.org/</w:t>
        </w:r>
      </w:hyperlink>
      <w:r>
        <w:t xml:space="preserve">): the Day-To-Day portal is a private backend version that is automatically updated each week and is only viewable by MIDUS staff. The DTD allows posting the most current data and documentation in a preliminary “sandbox” environment before being eventually made publicly available at ICPSR and the Public Portal. Because MIDUS </w:t>
      </w:r>
      <w:r w:rsidR="0006379A">
        <w:t xml:space="preserve">publishes </w:t>
      </w:r>
      <w:r>
        <w:t xml:space="preserve">public data </w:t>
      </w:r>
      <w:r w:rsidR="0006379A">
        <w:t>updates relatively infrequently</w:t>
      </w:r>
      <w:r>
        <w:t xml:space="preserve">, there usually are </w:t>
      </w:r>
      <w:r w:rsidR="0006379A">
        <w:t xml:space="preserve">some </w:t>
      </w:r>
      <w:r>
        <w:t xml:space="preserve">differences between what is available in the Public and DTD Portals. </w:t>
      </w:r>
    </w:p>
    <w:p w:rsidR="005A4674" w:rsidRDefault="001D2528" w:rsidP="005A4674">
      <w:pPr>
        <w:spacing w:after="0" w:line="240" w:lineRule="auto"/>
      </w:pPr>
      <w:r>
        <w:t>Both versions of the Portal use the same three basic sources to populate content</w:t>
      </w:r>
      <w:r w:rsidR="00DA3ACB">
        <w:t xml:space="preserve"> and functionality</w:t>
      </w:r>
      <w:r>
        <w:t>:</w:t>
      </w:r>
    </w:p>
    <w:p w:rsidR="001D2528" w:rsidRDefault="001D2528" w:rsidP="001D2528">
      <w:pPr>
        <w:pStyle w:val="ListParagraph"/>
        <w:numPr>
          <w:ilvl w:val="0"/>
          <w:numId w:val="3"/>
        </w:numPr>
        <w:spacing w:after="0" w:line="240" w:lineRule="auto"/>
      </w:pPr>
      <w:r>
        <w:t>SPSS Dataset</w:t>
      </w:r>
      <w:r w:rsidR="0006379A">
        <w:t>s</w:t>
      </w:r>
    </w:p>
    <w:p w:rsidR="001D2528" w:rsidRDefault="00032E49" w:rsidP="001D2528">
      <w:pPr>
        <w:pStyle w:val="ListParagraph"/>
        <w:numPr>
          <w:ilvl w:val="0"/>
          <w:numId w:val="3"/>
        </w:numPr>
        <w:spacing w:after="0" w:line="240" w:lineRule="auto"/>
      </w:pPr>
      <w:r>
        <w:t xml:space="preserve">Extra </w:t>
      </w:r>
      <w:r w:rsidR="001D2528">
        <w:t>Metadata Spreadsheet</w:t>
      </w:r>
      <w:r w:rsidR="0006379A">
        <w:t>s</w:t>
      </w:r>
    </w:p>
    <w:p w:rsidR="001D2528" w:rsidRDefault="001D2528" w:rsidP="001D2528">
      <w:pPr>
        <w:pStyle w:val="ListParagraph"/>
        <w:numPr>
          <w:ilvl w:val="0"/>
          <w:numId w:val="3"/>
        </w:numPr>
        <w:spacing w:after="0" w:line="240" w:lineRule="auto"/>
      </w:pPr>
      <w:r>
        <w:t>Concordance Table</w:t>
      </w:r>
      <w:r w:rsidR="0006379A">
        <w:t>s</w:t>
      </w:r>
    </w:p>
    <w:p w:rsidR="005A4674" w:rsidRDefault="005A4674" w:rsidP="008D29DC">
      <w:pPr>
        <w:spacing w:after="0" w:line="240" w:lineRule="auto"/>
        <w:jc w:val="center"/>
        <w:rPr>
          <w:b/>
          <w:sz w:val="24"/>
        </w:rPr>
      </w:pPr>
    </w:p>
    <w:p w:rsidR="001D2528" w:rsidRDefault="001D2528" w:rsidP="001D2528">
      <w:pPr>
        <w:spacing w:after="0" w:line="240" w:lineRule="auto"/>
        <w:jc w:val="center"/>
        <w:rPr>
          <w:b/>
          <w:sz w:val="24"/>
        </w:rPr>
      </w:pPr>
      <w:r>
        <w:rPr>
          <w:b/>
          <w:sz w:val="24"/>
        </w:rPr>
        <w:t>SPSS Datasets</w:t>
      </w:r>
    </w:p>
    <w:p w:rsidR="001D2528" w:rsidRPr="001D2528" w:rsidRDefault="0006379A" w:rsidP="001D2528">
      <w:pPr>
        <w:spacing w:after="0" w:line="240" w:lineRule="auto"/>
      </w:pPr>
      <w:r>
        <w:t xml:space="preserve">The Portal is designed to describe the variables contained in MIDUS datasets so the most important variable-level metadata are derived from a well-documented SPSS dataset. The Portal obtains information about variable names, variable labels, codes, values, value labels, missing value designations, and generates frequency tables and summary statistics from a SPSS dataset. Details about creating a well-documented MIDUS SPSS dataset are available in the </w:t>
      </w:r>
      <w:hyperlink r:id="rId9" w:history="1">
        <w:r w:rsidRPr="0006379A">
          <w:rPr>
            <w:rStyle w:val="Hyperlink"/>
          </w:rPr>
          <w:t>MIDUS Naming and Coding Conventions document</w:t>
        </w:r>
      </w:hyperlink>
      <w:r>
        <w:t>. Contact the Admin Core for the latest version or with any questions about format</w:t>
      </w:r>
      <w:r w:rsidR="0018329F">
        <w:t>ting</w:t>
      </w:r>
      <w:r>
        <w:t xml:space="preserve"> a dataset.</w:t>
      </w:r>
    </w:p>
    <w:p w:rsidR="005A4674" w:rsidRDefault="005A4674" w:rsidP="008D29DC">
      <w:pPr>
        <w:spacing w:after="0" w:line="240" w:lineRule="auto"/>
        <w:jc w:val="center"/>
        <w:rPr>
          <w:b/>
          <w:sz w:val="24"/>
        </w:rPr>
      </w:pPr>
    </w:p>
    <w:p w:rsidR="001D2528" w:rsidRPr="002E0DC9" w:rsidRDefault="00032E49" w:rsidP="001D2528">
      <w:pPr>
        <w:spacing w:after="0" w:line="240" w:lineRule="auto"/>
        <w:jc w:val="center"/>
        <w:rPr>
          <w:b/>
          <w:sz w:val="24"/>
        </w:rPr>
      </w:pPr>
      <w:r>
        <w:rPr>
          <w:b/>
          <w:sz w:val="24"/>
        </w:rPr>
        <w:t xml:space="preserve">Extra </w:t>
      </w:r>
      <w:r w:rsidR="0006379A">
        <w:rPr>
          <w:b/>
          <w:sz w:val="24"/>
        </w:rPr>
        <w:t>Metadata Spreadsheets</w:t>
      </w:r>
    </w:p>
    <w:p w:rsidR="001D2528" w:rsidRDefault="0018329F" w:rsidP="0006379A">
      <w:pPr>
        <w:spacing w:after="0" w:line="240" w:lineRule="auto"/>
      </w:pPr>
      <w:r>
        <w:t xml:space="preserve">There is other important metadata about each variable that isn’t captured in the SPSS dataset. This extra information </w:t>
      </w:r>
      <w:r w:rsidR="00032E49">
        <w:t xml:space="preserve">describes the questionnaire, instrument, or measurement protocol in more detail and </w:t>
      </w:r>
      <w:r>
        <w:t>is assembled in a</w:t>
      </w:r>
      <w:r w:rsidR="00032E49">
        <w:t>n Extra</w:t>
      </w:r>
      <w:r>
        <w:t xml:space="preserve"> Metadata Spreadsheet</w:t>
      </w:r>
      <w:r w:rsidR="00032E49">
        <w:t xml:space="preserve">. Each individual MIDUS dataset has an Extra Metadata Spreadsheet that </w:t>
      </w:r>
      <w:r>
        <w:t xml:space="preserve">includes </w:t>
      </w:r>
      <w:r w:rsidR="00124200">
        <w:t xml:space="preserve">the following fields (columns): </w:t>
      </w:r>
    </w:p>
    <w:p w:rsidR="00032E49" w:rsidRDefault="00124200" w:rsidP="00032E49">
      <w:pPr>
        <w:pStyle w:val="ListParagraph"/>
        <w:numPr>
          <w:ilvl w:val="0"/>
          <w:numId w:val="2"/>
        </w:numPr>
        <w:spacing w:after="0" w:line="240" w:lineRule="auto"/>
      </w:pPr>
      <w:r>
        <w:t>Primary key:</w:t>
      </w:r>
      <w:r w:rsidR="00032E49">
        <w:t xml:space="preserve"> uniquely identifies each row in the table and maintains sequential order of variables.</w:t>
      </w:r>
    </w:p>
    <w:p w:rsidR="00124200" w:rsidRDefault="00124200" w:rsidP="00124200">
      <w:pPr>
        <w:pStyle w:val="ListParagraph"/>
        <w:numPr>
          <w:ilvl w:val="0"/>
          <w:numId w:val="4"/>
        </w:numPr>
        <w:spacing w:after="0" w:line="240" w:lineRule="auto"/>
      </w:pPr>
      <w:r>
        <w:t>Name:</w:t>
      </w:r>
      <w:r w:rsidR="00032E49">
        <w:t xml:space="preserve"> variable name.</w:t>
      </w:r>
    </w:p>
    <w:p w:rsidR="00124200" w:rsidRDefault="00032E49" w:rsidP="00124200">
      <w:pPr>
        <w:pStyle w:val="ListParagraph"/>
        <w:numPr>
          <w:ilvl w:val="0"/>
          <w:numId w:val="4"/>
        </w:numPr>
        <w:spacing w:after="0" w:line="240" w:lineRule="auto"/>
      </w:pPr>
      <w:proofErr w:type="spellStart"/>
      <w:r>
        <w:t>PreQuestionText</w:t>
      </w:r>
      <w:proofErr w:type="spellEnd"/>
      <w:r>
        <w:t>: any introductory or explanatory text.</w:t>
      </w:r>
    </w:p>
    <w:p w:rsidR="00032E49" w:rsidRDefault="00032E49" w:rsidP="00124200">
      <w:pPr>
        <w:pStyle w:val="ListParagraph"/>
        <w:numPr>
          <w:ilvl w:val="0"/>
          <w:numId w:val="4"/>
        </w:numPr>
        <w:spacing w:after="0" w:line="240" w:lineRule="auto"/>
      </w:pPr>
      <w:proofErr w:type="spellStart"/>
      <w:r>
        <w:t>QuestionText</w:t>
      </w:r>
      <w:proofErr w:type="spellEnd"/>
      <w:r>
        <w:t>: literal question text as asked in the instrument.</w:t>
      </w:r>
    </w:p>
    <w:p w:rsidR="00032E49" w:rsidRDefault="00032E49" w:rsidP="00124200">
      <w:pPr>
        <w:pStyle w:val="ListParagraph"/>
        <w:numPr>
          <w:ilvl w:val="0"/>
          <w:numId w:val="4"/>
        </w:numPr>
        <w:spacing w:after="0" w:line="240" w:lineRule="auto"/>
      </w:pPr>
      <w:proofErr w:type="spellStart"/>
      <w:r>
        <w:t>PostQuestionText</w:t>
      </w:r>
      <w:proofErr w:type="spellEnd"/>
      <w:r>
        <w:t>: any transitional or explanatory text.</w:t>
      </w:r>
    </w:p>
    <w:p w:rsidR="00032E49" w:rsidRDefault="00032E49" w:rsidP="00124200">
      <w:pPr>
        <w:pStyle w:val="ListParagraph"/>
        <w:numPr>
          <w:ilvl w:val="0"/>
          <w:numId w:val="4"/>
        </w:numPr>
        <w:spacing w:after="0" w:line="240" w:lineRule="auto"/>
      </w:pPr>
      <w:proofErr w:type="spellStart"/>
      <w:r>
        <w:t>BackwardSkip</w:t>
      </w:r>
      <w:proofErr w:type="spellEnd"/>
      <w:r>
        <w:t>: describes any skip patterns that filter responses to the current variable.</w:t>
      </w:r>
    </w:p>
    <w:p w:rsidR="00032E49" w:rsidRDefault="00032E49" w:rsidP="00124200">
      <w:pPr>
        <w:pStyle w:val="ListParagraph"/>
        <w:numPr>
          <w:ilvl w:val="0"/>
          <w:numId w:val="4"/>
        </w:numPr>
        <w:spacing w:after="0" w:line="240" w:lineRule="auto"/>
      </w:pPr>
      <w:proofErr w:type="spellStart"/>
      <w:r>
        <w:t>ForwardSkip</w:t>
      </w:r>
      <w:proofErr w:type="spellEnd"/>
      <w:r>
        <w:t>: describes any skip patterns or filters to subsequent variables.</w:t>
      </w:r>
    </w:p>
    <w:p w:rsidR="00032E49" w:rsidRDefault="00032E49" w:rsidP="00124200">
      <w:pPr>
        <w:pStyle w:val="ListParagraph"/>
        <w:numPr>
          <w:ilvl w:val="0"/>
          <w:numId w:val="4"/>
        </w:numPr>
        <w:spacing w:after="0" w:line="240" w:lineRule="auto"/>
      </w:pPr>
      <w:r>
        <w:t xml:space="preserve">Notes: any extra information that is helpful in describing or interpreting the variable; this can include references to external documentation or noting that the variable is constructed or derived from other variables. </w:t>
      </w:r>
    </w:p>
    <w:p w:rsidR="00032E49" w:rsidRDefault="00032E49" w:rsidP="00124200">
      <w:pPr>
        <w:pStyle w:val="ListParagraph"/>
        <w:numPr>
          <w:ilvl w:val="0"/>
          <w:numId w:val="4"/>
        </w:numPr>
        <w:spacing w:after="0" w:line="240" w:lineRule="auto"/>
      </w:pPr>
      <w:proofErr w:type="spellStart"/>
      <w:r>
        <w:lastRenderedPageBreak/>
        <w:t>InterviewerInstruction</w:t>
      </w:r>
      <w:proofErr w:type="spellEnd"/>
      <w:r>
        <w:t>:</w:t>
      </w:r>
      <w:r w:rsidR="0093108D">
        <w:t xml:space="preserve"> any information about prompts, </w:t>
      </w:r>
      <w:proofErr w:type="spellStart"/>
      <w:r w:rsidR="0093108D">
        <w:t>followups</w:t>
      </w:r>
      <w:proofErr w:type="spellEnd"/>
      <w:r w:rsidR="0093108D">
        <w:t>, allowable responses, etc. that is provided to the interviewer or data collector; can also include instructions printed in self-administered instruments.</w:t>
      </w:r>
    </w:p>
    <w:p w:rsidR="00032E49" w:rsidRDefault="00032E49" w:rsidP="0093108D">
      <w:pPr>
        <w:pStyle w:val="ListParagraph"/>
        <w:numPr>
          <w:ilvl w:val="0"/>
          <w:numId w:val="4"/>
        </w:numPr>
        <w:spacing w:after="0" w:line="240" w:lineRule="auto"/>
      </w:pPr>
      <w:r>
        <w:t>Topic:</w:t>
      </w:r>
      <w:r w:rsidR="0093108D">
        <w:t xml:space="preserve"> describes the hierarchical measurement organization of the dataset or instrument with different levels separated by colon – </w:t>
      </w:r>
      <w:proofErr w:type="spellStart"/>
      <w:proofErr w:type="gramStart"/>
      <w:r w:rsidR="0093108D">
        <w:t>Instrument:Section</w:t>
      </w:r>
      <w:proofErr w:type="gramEnd"/>
      <w:r w:rsidR="0093108D">
        <w:t>:Topic:SubTopic</w:t>
      </w:r>
      <w:proofErr w:type="spellEnd"/>
      <w:r w:rsidR="0093108D">
        <w:t>. See the Project 1 example below.</w:t>
      </w:r>
    </w:p>
    <w:p w:rsidR="0093108D" w:rsidRPr="0006379A" w:rsidRDefault="0093108D" w:rsidP="0093108D">
      <w:pPr>
        <w:spacing w:after="0" w:line="240" w:lineRule="auto"/>
      </w:pPr>
      <w:r>
        <w:t xml:space="preserve">Each metadata spreadsheet has an Updates tab where any changes </w:t>
      </w:r>
      <w:r w:rsidR="00B22CE9">
        <w:t>should be</w:t>
      </w:r>
      <w:r>
        <w:t xml:space="preserve"> documented, initialed, and date-stamped to provide an audit trail.</w:t>
      </w:r>
    </w:p>
    <w:p w:rsidR="005A4674" w:rsidRDefault="005A4674" w:rsidP="008D29DC">
      <w:pPr>
        <w:spacing w:after="0" w:line="240" w:lineRule="auto"/>
        <w:jc w:val="center"/>
        <w:rPr>
          <w:b/>
          <w:sz w:val="24"/>
        </w:rPr>
      </w:pPr>
    </w:p>
    <w:p w:rsidR="002D641B" w:rsidRPr="002E0DC9" w:rsidRDefault="002D641B" w:rsidP="008D29DC">
      <w:pPr>
        <w:spacing w:after="0" w:line="240" w:lineRule="auto"/>
        <w:jc w:val="center"/>
        <w:rPr>
          <w:b/>
          <w:sz w:val="24"/>
        </w:rPr>
      </w:pPr>
      <w:r w:rsidRPr="002E0DC9">
        <w:rPr>
          <w:b/>
          <w:sz w:val="24"/>
        </w:rPr>
        <w:t>Concordance Tables</w:t>
      </w:r>
    </w:p>
    <w:p w:rsidR="002D641B" w:rsidRDefault="002E0DC9" w:rsidP="008D29DC">
      <w:pPr>
        <w:spacing w:after="0" w:line="240" w:lineRule="auto"/>
      </w:pPr>
      <w:r>
        <w:t xml:space="preserve">A primary reason for using </w:t>
      </w:r>
      <w:r w:rsidR="002D641B">
        <w:t>longitudinal research</w:t>
      </w:r>
      <w:r>
        <w:t xml:space="preserve"> designs is the ability </w:t>
      </w:r>
      <w:r w:rsidR="002D641B">
        <w:t xml:space="preserve">to </w:t>
      </w:r>
      <w:r>
        <w:t xml:space="preserve">analyze change by </w:t>
      </w:r>
      <w:r w:rsidR="002D641B">
        <w:t>observ</w:t>
      </w:r>
      <w:r>
        <w:t>ing</w:t>
      </w:r>
      <w:r w:rsidR="002D641B">
        <w:t xml:space="preserve"> the same measures over time while holding the conditions of measurement constant. </w:t>
      </w:r>
      <w:r>
        <w:t xml:space="preserve">Many longitudinal studies like MIDUS use concordance tables so equivalent measures/variables across waves/datasets are findable, linkable, and interpretable. </w:t>
      </w:r>
      <w:r w:rsidR="002D641B">
        <w:t xml:space="preserve">The MIDUS concordance tables are essentially upgraded versions of the variable cross-walk spreadsheets MIDUS employed at MIDUS 2. These tables link or associate equivalent cross-wave variables to help researchers find the same variable in different datasets. </w:t>
      </w:r>
      <w:r>
        <w:t>In the concordance tables e</w:t>
      </w:r>
      <w:r w:rsidR="002D641B">
        <w:t xml:space="preserve">quivalent variables are listed in the same row </w:t>
      </w:r>
      <w:r>
        <w:t>while each longitudinal dataset is</w:t>
      </w:r>
      <w:r w:rsidR="002D641B">
        <w:t xml:space="preserve"> indicated by the column header. The concordance tables help researchers understand when variables are dropped or added to a dataset, or whether there are any differences in how they were measured over time. </w:t>
      </w:r>
      <w:r w:rsidR="00582572">
        <w:t xml:space="preserve">In the example below you can see </w:t>
      </w:r>
      <w:r>
        <w:t xml:space="preserve">that M1 variable A1PA4 </w:t>
      </w:r>
      <w:r w:rsidR="00582572">
        <w:t xml:space="preserve">was </w:t>
      </w:r>
      <w:r>
        <w:t xml:space="preserve">included in the </w:t>
      </w:r>
      <w:r w:rsidR="00582572">
        <w:t>M2P1 and MKE1</w:t>
      </w:r>
      <w:r>
        <w:t xml:space="preserve"> datasets</w:t>
      </w:r>
      <w:r w:rsidR="00582572">
        <w:t xml:space="preserve"> but </w:t>
      </w:r>
      <w:r>
        <w:t xml:space="preserve">the Comparability Notes indicate </w:t>
      </w:r>
      <w:r w:rsidR="00582572">
        <w:t xml:space="preserve">that there were differences in the coding scheme used </w:t>
      </w:r>
      <w:r>
        <w:t>in the M1 version of this variable</w:t>
      </w:r>
      <w:r w:rsidR="00582572">
        <w:t>. You can also see that variable</w:t>
      </w:r>
      <w:r w:rsidR="006B4D3A">
        <w:t>s</w:t>
      </w:r>
      <w:r w:rsidR="00582572">
        <w:t xml:space="preserve"> A1PA9 and </w:t>
      </w:r>
      <w:r w:rsidR="006B4D3A">
        <w:t>A1PA</w:t>
      </w:r>
      <w:r w:rsidR="00582572">
        <w:t xml:space="preserve">10 were </w:t>
      </w:r>
      <w:r w:rsidR="006B4D3A">
        <w:t xml:space="preserve">baseline measures </w:t>
      </w:r>
      <w:r w:rsidR="00582572">
        <w:t xml:space="preserve">only included in M1 (i.e., there are no equivalent variables in the other datasets so those cells in that row are empty). </w:t>
      </w:r>
    </w:p>
    <w:p w:rsidR="002D641B" w:rsidRDefault="002D641B" w:rsidP="008D29DC">
      <w:pPr>
        <w:spacing w:after="0" w:line="240" w:lineRule="auto"/>
      </w:pPr>
    </w:p>
    <w:p w:rsidR="00582572" w:rsidRDefault="00582572" w:rsidP="008D29DC">
      <w:pPr>
        <w:spacing w:after="0" w:line="240" w:lineRule="auto"/>
      </w:pPr>
      <w:r>
        <w:rPr>
          <w:noProof/>
        </w:rPr>
        <w:drawing>
          <wp:inline distT="0" distB="0" distL="0" distR="0" wp14:anchorId="215BAA4D" wp14:editId="6142928A">
            <wp:extent cx="5943600" cy="17456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5615"/>
                    </a:xfrm>
                    <a:prstGeom prst="rect">
                      <a:avLst/>
                    </a:prstGeom>
                    <a:ln>
                      <a:solidFill>
                        <a:schemeClr val="accent1"/>
                      </a:solidFill>
                    </a:ln>
                  </pic:spPr>
                </pic:pic>
              </a:graphicData>
            </a:graphic>
          </wp:inline>
        </w:drawing>
      </w:r>
    </w:p>
    <w:p w:rsidR="00582572" w:rsidRDefault="00582572" w:rsidP="008D29DC">
      <w:pPr>
        <w:spacing w:after="0" w:line="240" w:lineRule="auto"/>
      </w:pPr>
    </w:p>
    <w:p w:rsidR="002D641B" w:rsidRDefault="00582572" w:rsidP="001D2528">
      <w:pPr>
        <w:spacing w:after="0" w:line="240" w:lineRule="auto"/>
      </w:pPr>
      <w:r>
        <w:t xml:space="preserve">The current MIDUS concordance tables have evolved so </w:t>
      </w:r>
      <w:r w:rsidR="00B14272">
        <w:t xml:space="preserve">that </w:t>
      </w:r>
      <w:r w:rsidR="006B4D3A">
        <w:t xml:space="preserve">in addition to serving as a variable crosswalk for each MIDUS Project, </w:t>
      </w:r>
      <w:r>
        <w:t xml:space="preserve">they drive the interactive functionality of the online </w:t>
      </w:r>
      <w:proofErr w:type="spellStart"/>
      <w:r>
        <w:t>Colectica</w:t>
      </w:r>
      <w:proofErr w:type="spellEnd"/>
      <w:r>
        <w:t xml:space="preserve"> Portal. </w:t>
      </w:r>
      <w:r w:rsidR="00AE2110">
        <w:t xml:space="preserve">Because there are </w:t>
      </w:r>
      <w:r w:rsidR="006B4D3A">
        <w:t>both a Public and DTD Portal</w:t>
      </w:r>
      <w:r w:rsidR="00AE2110">
        <w:t xml:space="preserve">, most </w:t>
      </w:r>
      <w:r w:rsidR="00163E14">
        <w:t xml:space="preserve">projects </w:t>
      </w:r>
      <w:r w:rsidR="00AE2110">
        <w:t xml:space="preserve">have </w:t>
      </w:r>
      <w:r w:rsidR="006B4D3A">
        <w:t xml:space="preserve">both </w:t>
      </w:r>
      <w:r w:rsidR="0093529B">
        <w:t xml:space="preserve">a Public and DTD version of the </w:t>
      </w:r>
      <w:r w:rsidR="00163E14">
        <w:t>concordance tables</w:t>
      </w:r>
      <w:r w:rsidR="00AE2110">
        <w:t xml:space="preserve">. </w:t>
      </w:r>
    </w:p>
    <w:p w:rsidR="0093529B" w:rsidRDefault="0093529B" w:rsidP="008D29DC">
      <w:pPr>
        <w:pStyle w:val="ListParagraph"/>
        <w:numPr>
          <w:ilvl w:val="0"/>
          <w:numId w:val="1"/>
        </w:numPr>
        <w:spacing w:after="0" w:line="240" w:lineRule="auto"/>
      </w:pPr>
      <w:r>
        <w:t xml:space="preserve">ALL </w:t>
      </w:r>
      <w:r w:rsidR="002D641B">
        <w:t>variables from all datasets within a Project should be represented in the concordance table</w:t>
      </w:r>
      <w:r>
        <w:t>s</w:t>
      </w:r>
      <w:r w:rsidR="002D641B">
        <w:t xml:space="preserve">, even if </w:t>
      </w:r>
      <w:r>
        <w:t xml:space="preserve">there are no other equivalent variables in </w:t>
      </w:r>
      <w:r w:rsidR="002D641B">
        <w:t>other waves.</w:t>
      </w:r>
    </w:p>
    <w:p w:rsidR="0093529B" w:rsidRDefault="002D641B" w:rsidP="008D29DC">
      <w:pPr>
        <w:pStyle w:val="ListParagraph"/>
        <w:numPr>
          <w:ilvl w:val="0"/>
          <w:numId w:val="1"/>
        </w:numPr>
        <w:spacing w:after="0" w:line="240" w:lineRule="auto"/>
      </w:pPr>
      <w:r>
        <w:t xml:space="preserve">Both the Public and DTD </w:t>
      </w:r>
      <w:r w:rsidR="006B4D3A">
        <w:t xml:space="preserve">concordance </w:t>
      </w:r>
      <w:r>
        <w:t>tables contain a Primary Key</w:t>
      </w:r>
      <w:r w:rsidR="0093529B">
        <w:t xml:space="preserve"> field</w:t>
      </w:r>
      <w:r w:rsidR="006B4D3A">
        <w:t xml:space="preserve"> (column)</w:t>
      </w:r>
      <w:r w:rsidR="0093529B">
        <w:t xml:space="preserve">. </w:t>
      </w:r>
      <w:r w:rsidR="006B4D3A">
        <w:t>This field is critical for organizing and versioning the tables. Primary Keys are also used in each dataset’s metadata spreadsheets for the same reasons.</w:t>
      </w:r>
    </w:p>
    <w:p w:rsidR="004F54E7" w:rsidRDefault="006B4D3A" w:rsidP="008D29DC">
      <w:pPr>
        <w:pStyle w:val="ListParagraph"/>
        <w:numPr>
          <w:ilvl w:val="1"/>
          <w:numId w:val="1"/>
        </w:numPr>
        <w:spacing w:after="0" w:line="240" w:lineRule="auto"/>
      </w:pPr>
      <w:r>
        <w:rPr>
          <w:i/>
        </w:rPr>
        <w:lastRenderedPageBreak/>
        <w:t xml:space="preserve">New </w:t>
      </w:r>
      <w:r w:rsidR="00F11FC4">
        <w:rPr>
          <w:i/>
        </w:rPr>
        <w:t>P</w:t>
      </w:r>
      <w:r>
        <w:rPr>
          <w:i/>
        </w:rPr>
        <w:t xml:space="preserve">rimary </w:t>
      </w:r>
      <w:r w:rsidR="00F11FC4">
        <w:rPr>
          <w:i/>
        </w:rPr>
        <w:t>K</w:t>
      </w:r>
      <w:r>
        <w:rPr>
          <w:i/>
        </w:rPr>
        <w:t>ey values can b</w:t>
      </w:r>
      <w:r w:rsidRPr="006B4D3A">
        <w:rPr>
          <w:i/>
        </w:rPr>
        <w:t>e added</w:t>
      </w:r>
      <w:r>
        <w:rPr>
          <w:i/>
        </w:rPr>
        <w:t xml:space="preserve"> </w:t>
      </w:r>
      <w:r w:rsidR="00F11FC4">
        <w:rPr>
          <w:i/>
        </w:rPr>
        <w:t xml:space="preserve">to a concordance table (e.g., when a new measure introduced to an instrument) </w:t>
      </w:r>
      <w:r>
        <w:rPr>
          <w:i/>
        </w:rPr>
        <w:t xml:space="preserve">but Primary Key values are never deleted. </w:t>
      </w:r>
      <w:r w:rsidR="0093529B">
        <w:t>If a project is adding variables to a dataset</w:t>
      </w:r>
      <w:r w:rsidR="004F54E7">
        <w:t>,</w:t>
      </w:r>
      <w:r w:rsidR="0093529B">
        <w:t xml:space="preserve"> </w:t>
      </w:r>
      <w:r w:rsidR="004F54E7">
        <w:t>they can either:</w:t>
      </w:r>
    </w:p>
    <w:p w:rsidR="004F54E7" w:rsidRPr="00DA222C" w:rsidRDefault="004F54E7" w:rsidP="004F54E7">
      <w:pPr>
        <w:pStyle w:val="ListParagraph"/>
        <w:numPr>
          <w:ilvl w:val="2"/>
          <w:numId w:val="1"/>
        </w:numPr>
        <w:spacing w:after="0" w:line="240" w:lineRule="auto"/>
      </w:pPr>
      <w:r w:rsidRPr="00DA222C">
        <w:t xml:space="preserve">Add new rows </w:t>
      </w:r>
      <w:r w:rsidRPr="00DA222C">
        <w:rPr>
          <w:i/>
        </w:rPr>
        <w:t>to the end</w:t>
      </w:r>
      <w:r w:rsidRPr="00DA222C">
        <w:t xml:space="preserve"> of the concordance table and popu</w:t>
      </w:r>
      <w:r w:rsidR="00007739" w:rsidRPr="00DA222C">
        <w:t>late</w:t>
      </w:r>
      <w:r w:rsidRPr="00DA222C">
        <w:t xml:space="preserve"> new primary keys beginning with the last value in the table. If the last primary key in the table is 168, then the new added rows would begin with 169. If a project is adding a new type or </w:t>
      </w:r>
      <w:r w:rsidR="00007739" w:rsidRPr="00DA222C">
        <w:t>new S</w:t>
      </w:r>
      <w:r w:rsidRPr="00DA222C">
        <w:t>ection of variables to their dataset, this may be the most appropriate route.</w:t>
      </w:r>
    </w:p>
    <w:p w:rsidR="00F6097B" w:rsidRPr="00DA222C" w:rsidRDefault="004F54E7" w:rsidP="004F54E7">
      <w:pPr>
        <w:pStyle w:val="ListParagraph"/>
        <w:numPr>
          <w:ilvl w:val="2"/>
          <w:numId w:val="1"/>
        </w:numPr>
        <w:spacing w:after="0" w:line="240" w:lineRule="auto"/>
      </w:pPr>
      <w:r w:rsidRPr="00DA222C">
        <w:t>I</w:t>
      </w:r>
      <w:r w:rsidR="0093529B" w:rsidRPr="00DA222C">
        <w:t xml:space="preserve">nsert new rows </w:t>
      </w:r>
      <w:r w:rsidRPr="00DA222C">
        <w:rPr>
          <w:i/>
        </w:rPr>
        <w:t>within</w:t>
      </w:r>
      <w:r w:rsidRPr="00DA222C">
        <w:t xml:space="preserve"> </w:t>
      </w:r>
      <w:r w:rsidR="0093529B" w:rsidRPr="00DA222C">
        <w:t>the concordance table</w:t>
      </w:r>
      <w:r w:rsidR="00F11FC4" w:rsidRPr="00DA222C">
        <w:t xml:space="preserve"> and </w:t>
      </w:r>
      <w:r w:rsidRPr="00DA222C">
        <w:t xml:space="preserve">populate new </w:t>
      </w:r>
      <w:r w:rsidR="0093529B" w:rsidRPr="00DA222C">
        <w:t>primary key</w:t>
      </w:r>
      <w:r w:rsidRPr="00DA222C">
        <w:t>s</w:t>
      </w:r>
      <w:r w:rsidR="0093529B" w:rsidRPr="00DA222C">
        <w:t xml:space="preserve"> by inserting decimal</w:t>
      </w:r>
      <w:r w:rsidRPr="00DA222C">
        <w:t>s</w:t>
      </w:r>
      <w:r w:rsidR="0093529B" w:rsidRPr="00DA222C">
        <w:t xml:space="preserve"> after the previous key value. For example, </w:t>
      </w:r>
      <w:r w:rsidRPr="00DA222C">
        <w:t xml:space="preserve">if Project 5 is adding </w:t>
      </w:r>
      <w:r w:rsidR="001832FA" w:rsidRPr="00DA222C">
        <w:t xml:space="preserve">4 </w:t>
      </w:r>
      <w:r w:rsidRPr="00DA222C">
        <w:t xml:space="preserve">new </w:t>
      </w:r>
      <w:r w:rsidR="00F6097B" w:rsidRPr="00DA222C">
        <w:t xml:space="preserve">“Administration” variables </w:t>
      </w:r>
      <w:r w:rsidR="00007739" w:rsidRPr="00DA222C">
        <w:t xml:space="preserve">it is probably most clear </w:t>
      </w:r>
      <w:r w:rsidR="001832FA" w:rsidRPr="00DA222C">
        <w:t xml:space="preserve">to </w:t>
      </w:r>
      <w:r w:rsidR="00007739" w:rsidRPr="00DA222C">
        <w:t xml:space="preserve">insert </w:t>
      </w:r>
      <w:r w:rsidR="001832FA" w:rsidRPr="00DA222C">
        <w:t xml:space="preserve">them </w:t>
      </w:r>
      <w:r w:rsidR="00007739" w:rsidRPr="00DA222C">
        <w:t xml:space="preserve">in </w:t>
      </w:r>
      <w:r w:rsidR="00F6097B" w:rsidRPr="00DA222C">
        <w:t>the “Admin</w:t>
      </w:r>
      <w:r w:rsidR="001832FA" w:rsidRPr="00DA222C">
        <w:t>i</w:t>
      </w:r>
      <w:r w:rsidR="00F6097B" w:rsidRPr="00DA222C">
        <w:t xml:space="preserve">stration” section of the </w:t>
      </w:r>
      <w:r w:rsidR="00007739" w:rsidRPr="00DA222C">
        <w:t xml:space="preserve">concordance </w:t>
      </w:r>
      <w:r w:rsidR="00F6097B" w:rsidRPr="00DA222C">
        <w:t>table</w:t>
      </w:r>
      <w:r w:rsidR="001832FA" w:rsidRPr="00DA222C">
        <w:t xml:space="preserve">. </w:t>
      </w:r>
    </w:p>
    <w:p w:rsidR="001832FA" w:rsidRPr="00007739" w:rsidRDefault="001832FA" w:rsidP="001832FA">
      <w:pPr>
        <w:spacing w:after="0" w:line="240" w:lineRule="auto"/>
        <w:rPr>
          <w:highlight w:val="yellow"/>
        </w:rPr>
      </w:pPr>
      <w:r w:rsidRPr="00007739">
        <w:rPr>
          <w:noProof/>
          <w:highlight w:val="yellow"/>
        </w:rPr>
        <mc:AlternateContent>
          <mc:Choice Requires="wps">
            <w:drawing>
              <wp:anchor distT="0" distB="0" distL="114300" distR="114300" simplePos="0" relativeHeight="251664384" behindDoc="0" locked="0" layoutInCell="1" allowOverlap="1" wp14:anchorId="26ED1440" wp14:editId="702EA341">
                <wp:simplePos x="0" y="0"/>
                <wp:positionH relativeFrom="column">
                  <wp:posOffset>1439551</wp:posOffset>
                </wp:positionH>
                <wp:positionV relativeFrom="paragraph">
                  <wp:posOffset>428114</wp:posOffset>
                </wp:positionV>
                <wp:extent cx="172086" cy="756561"/>
                <wp:effectExtent l="0" t="25400" r="0" b="12065"/>
                <wp:wrapNone/>
                <wp:docPr id="8" name="Oval 8"/>
                <wp:cNvGraphicFramePr/>
                <a:graphic xmlns:a="http://schemas.openxmlformats.org/drawingml/2006/main">
                  <a:graphicData uri="http://schemas.microsoft.com/office/word/2010/wordprocessingShape">
                    <wps:wsp>
                      <wps:cNvSpPr/>
                      <wps:spPr>
                        <a:xfrm rot="16200000">
                          <a:off x="0" y="0"/>
                          <a:ext cx="172086" cy="75656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5D113" id="Oval 8" o:spid="_x0000_s1026" style="position:absolute;margin-left:113.35pt;margin-top:33.7pt;width:13.55pt;height:59.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" filled="f" strokecolor="red" strokeweight="2.25pt">
                <v:stroke joinstyle="miter"/>
              </v:oval>
            </w:pict>
          </mc:Fallback>
        </mc:AlternateContent>
      </w:r>
      <w:r w:rsidRPr="00007739">
        <w:rPr>
          <w:noProof/>
          <w:highlight w:val="yellow"/>
        </w:rPr>
        <mc:AlternateContent>
          <mc:Choice Requires="wps">
            <w:drawing>
              <wp:anchor distT="0" distB="0" distL="114300" distR="114300" simplePos="0" relativeHeight="251662336" behindDoc="0" locked="0" layoutInCell="1" allowOverlap="1">
                <wp:simplePos x="0" y="0"/>
                <wp:positionH relativeFrom="column">
                  <wp:posOffset>284672</wp:posOffset>
                </wp:positionH>
                <wp:positionV relativeFrom="paragraph">
                  <wp:posOffset>722474</wp:posOffset>
                </wp:positionV>
                <wp:extent cx="361854" cy="620719"/>
                <wp:effectExtent l="19050" t="19050" r="19685" b="27305"/>
                <wp:wrapNone/>
                <wp:docPr id="7" name="Oval 7"/>
                <wp:cNvGraphicFramePr/>
                <a:graphic xmlns:a="http://schemas.openxmlformats.org/drawingml/2006/main">
                  <a:graphicData uri="http://schemas.microsoft.com/office/word/2010/wordprocessingShape">
                    <wps:wsp>
                      <wps:cNvSpPr/>
                      <wps:spPr>
                        <a:xfrm>
                          <a:off x="0" y="0"/>
                          <a:ext cx="361854" cy="62071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FBFDB" id="Oval 7" o:spid="_x0000_s1026" style="position:absolute;margin-left:22.4pt;margin-top:56.9pt;width:28.5pt;height:4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" filled="f" strokecolor="red" strokeweight="2.25pt">
                <v:stroke joinstyle="miter"/>
              </v:oval>
            </w:pict>
          </mc:Fallback>
        </mc:AlternateContent>
      </w:r>
      <w:r w:rsidRPr="00007739">
        <w:rPr>
          <w:noProof/>
          <w:highlight w:val="yellow"/>
        </w:rPr>
        <w:drawing>
          <wp:inline distT="0" distB="0" distL="0" distR="0" wp14:anchorId="6554A2FA" wp14:editId="2346778A">
            <wp:extent cx="5943600" cy="1345565"/>
            <wp:effectExtent l="19050" t="19050" r="1905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5565"/>
                    </a:xfrm>
                    <a:prstGeom prst="rect">
                      <a:avLst/>
                    </a:prstGeom>
                    <a:ln>
                      <a:solidFill>
                        <a:schemeClr val="accent1"/>
                      </a:solidFill>
                    </a:ln>
                  </pic:spPr>
                </pic:pic>
              </a:graphicData>
            </a:graphic>
          </wp:inline>
        </w:drawing>
      </w:r>
    </w:p>
    <w:p w:rsidR="00FE02BF" w:rsidRPr="00DA222C" w:rsidRDefault="001832FA" w:rsidP="00007739">
      <w:pPr>
        <w:pStyle w:val="ListParagraph"/>
        <w:spacing w:after="0" w:line="240" w:lineRule="auto"/>
        <w:ind w:left="2160"/>
      </w:pPr>
      <w:r w:rsidRPr="00DA222C">
        <w:t xml:space="preserve">Four </w:t>
      </w:r>
      <w:r w:rsidR="0093529B" w:rsidRPr="00DA222C">
        <w:t xml:space="preserve">new variables inserted after Primary Key value </w:t>
      </w:r>
      <w:r w:rsidRPr="00DA222C">
        <w:t>“4”</w:t>
      </w:r>
      <w:r w:rsidR="0093529B" w:rsidRPr="00DA222C">
        <w:t xml:space="preserve"> would </w:t>
      </w:r>
      <w:r w:rsidRPr="00DA222C">
        <w:t xml:space="preserve">have values of 4.01 through 4.04 as in the example below. </w:t>
      </w:r>
      <w:r w:rsidR="0093529B" w:rsidRPr="00DA222C">
        <w:t xml:space="preserve">New primary keys need to include leading 0's to </w:t>
      </w:r>
      <w:r w:rsidR="00F11FC4" w:rsidRPr="00DA222C">
        <w:t xml:space="preserve">maintain variable order sequence and facilitate </w:t>
      </w:r>
      <w:r w:rsidR="0093529B" w:rsidRPr="00DA222C">
        <w:t xml:space="preserve">automatic sorting. </w:t>
      </w:r>
      <w:r w:rsidRPr="00DA222C">
        <w:t>Note that the number of leading 0’s is determined by how many new variables are being inserted at any one point (if inserting 100+ variables, the decimal values would start with .001).</w:t>
      </w:r>
    </w:p>
    <w:p w:rsidR="0085171E" w:rsidRPr="00DA222C" w:rsidRDefault="0085171E" w:rsidP="0085171E">
      <w:pPr>
        <w:pStyle w:val="ListParagraph"/>
        <w:numPr>
          <w:ilvl w:val="2"/>
          <w:numId w:val="1"/>
        </w:numPr>
        <w:spacing w:after="0" w:line="240" w:lineRule="auto"/>
      </w:pPr>
      <w:r w:rsidRPr="00DA222C">
        <w:t xml:space="preserve">Note that leading zeros are needed because spreadsheet software does not necessarily recognize human-readable trailing zeros and therefore cannot distinguish between “4.1” and “4.10.” </w:t>
      </w:r>
    </w:p>
    <w:p w:rsidR="00F11FC4" w:rsidRDefault="00F11FC4" w:rsidP="008D29DC">
      <w:pPr>
        <w:pStyle w:val="ListParagraph"/>
        <w:numPr>
          <w:ilvl w:val="1"/>
          <w:numId w:val="1"/>
        </w:numPr>
        <w:spacing w:after="0" w:line="240" w:lineRule="auto"/>
      </w:pPr>
      <w:r w:rsidRPr="00F11FC4">
        <w:rPr>
          <w:i/>
        </w:rPr>
        <w:t>Primary Keys cannot be deleted.</w:t>
      </w:r>
      <w:r>
        <w:t xml:space="preserve"> If a variable is removed from a dataset in a subsequent update, in the concordance table everything in the row of that variable can be deleted </w:t>
      </w:r>
      <w:r w:rsidRPr="00F11FC4">
        <w:rPr>
          <w:i/>
        </w:rPr>
        <w:t>except the primary key value</w:t>
      </w:r>
      <w:r>
        <w:t xml:space="preserve">. </w:t>
      </w:r>
    </w:p>
    <w:p w:rsidR="0093529B" w:rsidRDefault="0093529B" w:rsidP="008D29DC">
      <w:pPr>
        <w:pStyle w:val="ListParagraph"/>
        <w:numPr>
          <w:ilvl w:val="1"/>
          <w:numId w:val="1"/>
        </w:numPr>
        <w:spacing w:after="0" w:line="240" w:lineRule="auto"/>
      </w:pPr>
      <w:r>
        <w:t xml:space="preserve">A similar </w:t>
      </w:r>
      <w:r w:rsidR="00F11FC4">
        <w:t>process</w:t>
      </w:r>
      <w:r>
        <w:t xml:space="preserve"> must be followed to add numbered Conceptual Variable Name</w:t>
      </w:r>
      <w:r w:rsidR="00247A0B">
        <w:t>s</w:t>
      </w:r>
      <w:r>
        <w:t xml:space="preserve"> ("Name" column), in</w:t>
      </w:r>
      <w:r w:rsidR="00F11FC4">
        <w:t>s</w:t>
      </w:r>
      <w:r>
        <w:t xml:space="preserve">erting decimals after the previous </w:t>
      </w:r>
      <w:r w:rsidR="00F11FC4">
        <w:t>conceptual</w:t>
      </w:r>
      <w:r>
        <w:t xml:space="preserve"> variable name number. </w:t>
      </w:r>
    </w:p>
    <w:p w:rsidR="000E27AE" w:rsidRDefault="000E27AE" w:rsidP="008D29DC">
      <w:pPr>
        <w:spacing w:after="0" w:line="240" w:lineRule="auto"/>
      </w:pPr>
    </w:p>
    <w:p w:rsidR="000E27AE" w:rsidRDefault="000E27AE" w:rsidP="008D29DC">
      <w:pPr>
        <w:spacing w:after="0" w:line="240" w:lineRule="auto"/>
      </w:pPr>
      <w:r>
        <w:t>Each concordance table includes the following fields (columns)</w:t>
      </w:r>
      <w:r w:rsidR="00CA1929">
        <w:t xml:space="preserve"> that are used by the Portal to organize and display variable-level metadata</w:t>
      </w:r>
      <w:r>
        <w:t>:</w:t>
      </w:r>
    </w:p>
    <w:p w:rsidR="000E27AE" w:rsidRPr="00DA222C" w:rsidRDefault="000E27AE" w:rsidP="008D29DC">
      <w:pPr>
        <w:pStyle w:val="ListParagraph"/>
        <w:numPr>
          <w:ilvl w:val="0"/>
          <w:numId w:val="2"/>
        </w:numPr>
        <w:spacing w:after="0" w:line="240" w:lineRule="auto"/>
      </w:pPr>
      <w:r w:rsidRPr="00DA222C">
        <w:t>Primary key: uniquely identifies each row in the table and maintains sequential order of variables.</w:t>
      </w:r>
    </w:p>
    <w:p w:rsidR="00DA222C" w:rsidRPr="00DA222C" w:rsidRDefault="000E27AE" w:rsidP="008D29DC">
      <w:pPr>
        <w:pStyle w:val="ListParagraph"/>
        <w:numPr>
          <w:ilvl w:val="0"/>
          <w:numId w:val="2"/>
        </w:numPr>
        <w:spacing w:after="0" w:line="240" w:lineRule="auto"/>
      </w:pPr>
      <w:r w:rsidRPr="00DA222C">
        <w:t xml:space="preserve">Topic: </w:t>
      </w:r>
      <w:r w:rsidR="00247A0B" w:rsidRPr="00DA222C">
        <w:t>describes</w:t>
      </w:r>
      <w:r w:rsidRPr="00DA222C">
        <w:t xml:space="preserve"> the hierarchical measurement organization of the project with different levels separated by colon – </w:t>
      </w:r>
      <w:proofErr w:type="spellStart"/>
      <w:proofErr w:type="gramStart"/>
      <w:r w:rsidRPr="00DA222C">
        <w:rPr>
          <w:b/>
        </w:rPr>
        <w:t>Project:Section</w:t>
      </w:r>
      <w:proofErr w:type="gramEnd"/>
      <w:r w:rsidRPr="00DA222C">
        <w:rPr>
          <w:b/>
        </w:rPr>
        <w:t>:Topic:SubTopic</w:t>
      </w:r>
      <w:proofErr w:type="spellEnd"/>
      <w:r w:rsidR="00DA222C" w:rsidRPr="00DA222C">
        <w:rPr>
          <w:b/>
        </w:rPr>
        <w:t xml:space="preserve"> </w:t>
      </w:r>
      <w:r w:rsidR="00DA222C" w:rsidRPr="00DA222C">
        <w:t>(</w:t>
      </w:r>
      <w:proofErr w:type="spellStart"/>
      <w:r w:rsidR="00DA222C" w:rsidRPr="00DA222C">
        <w:t>SubTopics</w:t>
      </w:r>
      <w:proofErr w:type="spellEnd"/>
      <w:r w:rsidR="00DA222C" w:rsidRPr="00DA222C">
        <w:t xml:space="preserve"> are not required but can expand a measurement hierarchy if needed)</w:t>
      </w:r>
      <w:r w:rsidR="00123200" w:rsidRPr="00DA222C">
        <w:t xml:space="preserve">. </w:t>
      </w:r>
      <w:r w:rsidR="00247A0B" w:rsidRPr="00DA222C">
        <w:t xml:space="preserve">This determines how the Explore view (which uses the Concordance Table) displays the hierarchy. See the </w:t>
      </w:r>
      <w:r w:rsidR="00007739" w:rsidRPr="00DA222C">
        <w:t xml:space="preserve">following example of the </w:t>
      </w:r>
      <w:r w:rsidR="00247A0B" w:rsidRPr="00DA222C">
        <w:t xml:space="preserve">Project 1 Concordance Table and </w:t>
      </w:r>
      <w:r w:rsidR="001832FA" w:rsidRPr="00DA222C">
        <w:t xml:space="preserve">accompanying Portal </w:t>
      </w:r>
      <w:r w:rsidR="00247A0B" w:rsidRPr="00DA222C">
        <w:t xml:space="preserve">Explore view: </w:t>
      </w:r>
    </w:p>
    <w:p w:rsidR="00247A0B" w:rsidRPr="00DA222C" w:rsidRDefault="00DA222C" w:rsidP="00DA222C">
      <w:pPr>
        <w:pStyle w:val="ListParagraph"/>
        <w:spacing w:after="0" w:line="240" w:lineRule="auto"/>
        <w:ind w:left="360"/>
        <w:rPr>
          <w:highlight w:val="yellow"/>
        </w:rPr>
      </w:pPr>
      <w:r>
        <w:rPr>
          <w:noProof/>
        </w:rPr>
        <w:lastRenderedPageBreak/>
        <w:drawing>
          <wp:inline distT="0" distB="0" distL="0" distR="0" wp14:anchorId="4205281C" wp14:editId="4C6DC186">
            <wp:extent cx="5943600" cy="1020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0445"/>
                    </a:xfrm>
                    <a:prstGeom prst="rect">
                      <a:avLst/>
                    </a:prstGeom>
                  </pic:spPr>
                </pic:pic>
              </a:graphicData>
            </a:graphic>
          </wp:inline>
        </w:drawing>
      </w:r>
    </w:p>
    <w:p w:rsidR="00247A0B" w:rsidRPr="00007739" w:rsidRDefault="00DA222C" w:rsidP="00DA222C">
      <w:pPr>
        <w:pStyle w:val="ListParagraph"/>
        <w:spacing w:after="0" w:line="240" w:lineRule="auto"/>
        <w:ind w:left="0"/>
        <w:rPr>
          <w:highlight w:val="yellow"/>
        </w:rPr>
      </w:pPr>
      <w:r>
        <w:rPr>
          <w:noProof/>
        </w:rPr>
        <w:drawing>
          <wp:inline distT="0" distB="0" distL="0" distR="0" wp14:anchorId="0EE4FCC7" wp14:editId="1B34D59E">
            <wp:extent cx="5943600" cy="149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2885"/>
                    </a:xfrm>
                    <a:prstGeom prst="rect">
                      <a:avLst/>
                    </a:prstGeom>
                  </pic:spPr>
                </pic:pic>
              </a:graphicData>
            </a:graphic>
          </wp:inline>
        </w:drawing>
      </w:r>
    </w:p>
    <w:p w:rsidR="00922E29" w:rsidRDefault="001832FA" w:rsidP="00922E29">
      <w:pPr>
        <w:pStyle w:val="ListParagraph"/>
        <w:spacing w:after="0" w:line="240" w:lineRule="auto"/>
      </w:pPr>
      <w:r w:rsidRPr="00DA222C">
        <w:t xml:space="preserve">Note that the Portal uses the information in </w:t>
      </w:r>
      <w:r w:rsidR="00007739" w:rsidRPr="00DA222C">
        <w:t xml:space="preserve">the </w:t>
      </w:r>
      <w:r w:rsidRPr="00DA222C">
        <w:t xml:space="preserve">Topic </w:t>
      </w:r>
      <w:r w:rsidR="00007739" w:rsidRPr="00DA222C">
        <w:t xml:space="preserve">column </w:t>
      </w:r>
      <w:r w:rsidRPr="00DA222C">
        <w:t xml:space="preserve">to determine which Project and which Section a conceptual variable belongs to. </w:t>
      </w:r>
      <w:r w:rsidR="00922E29" w:rsidRPr="00DA222C">
        <w:t>Regardless of the value of its primary key or its location in the concordance table, any “Survey” variable that includes “Administration” in its Topic column (e.g., “</w:t>
      </w:r>
      <w:proofErr w:type="spellStart"/>
      <w:proofErr w:type="gramStart"/>
      <w:r w:rsidR="00922E29" w:rsidRPr="00DA222C">
        <w:t>Survey:Administration</w:t>
      </w:r>
      <w:proofErr w:type="gramEnd"/>
      <w:r w:rsidR="00922E29" w:rsidRPr="00DA222C">
        <w:t>:RespondentWeight</w:t>
      </w:r>
      <w:proofErr w:type="spellEnd"/>
      <w:r w:rsidR="00922E29" w:rsidRPr="00DA222C">
        <w:t xml:space="preserve">”) will be displayed in the “Administration” </w:t>
      </w:r>
      <w:r w:rsidR="00007739" w:rsidRPr="00DA222C">
        <w:t>S</w:t>
      </w:r>
      <w:r w:rsidR="00922E29" w:rsidRPr="00DA222C">
        <w:t>ection of the Portal.</w:t>
      </w:r>
      <w:bookmarkStart w:id="0" w:name="_GoBack"/>
      <w:bookmarkEnd w:id="0"/>
      <w:r w:rsidR="00922E29">
        <w:t xml:space="preserve"> </w:t>
      </w:r>
    </w:p>
    <w:p w:rsidR="000E27AE" w:rsidRDefault="000E27AE" w:rsidP="008D29DC">
      <w:pPr>
        <w:pStyle w:val="ListParagraph"/>
        <w:numPr>
          <w:ilvl w:val="0"/>
          <w:numId w:val="2"/>
        </w:numPr>
        <w:spacing w:after="0" w:line="240" w:lineRule="auto"/>
      </w:pPr>
      <w:r>
        <w:t xml:space="preserve">Name: conceptual variable name, </w:t>
      </w:r>
      <w:r w:rsidR="00CA1929">
        <w:t xml:space="preserve">unique but </w:t>
      </w:r>
      <w:r>
        <w:t>non-descriptive</w:t>
      </w:r>
      <w:r w:rsidR="00CA1929">
        <w:t>. DDI uses conceptual variable names to link or relate all the variables in a single row.</w:t>
      </w:r>
    </w:p>
    <w:p w:rsidR="000E27AE" w:rsidRDefault="000E27AE" w:rsidP="008D29DC">
      <w:pPr>
        <w:pStyle w:val="ListParagraph"/>
        <w:numPr>
          <w:ilvl w:val="0"/>
          <w:numId w:val="2"/>
        </w:numPr>
        <w:spacing w:after="0" w:line="240" w:lineRule="auto"/>
      </w:pPr>
      <w:r>
        <w:t>Label: conceptual variable label, descriptive</w:t>
      </w:r>
      <w:r w:rsidR="00CA1929">
        <w:t>.</w:t>
      </w:r>
    </w:p>
    <w:p w:rsidR="000E27AE" w:rsidRDefault="000E27AE" w:rsidP="008D29DC">
      <w:pPr>
        <w:pStyle w:val="ListParagraph"/>
        <w:numPr>
          <w:ilvl w:val="0"/>
          <w:numId w:val="2"/>
        </w:numPr>
        <w:spacing w:after="0" w:line="240" w:lineRule="auto"/>
      </w:pPr>
      <w:r>
        <w:t>Variable names (dataset specific)</w:t>
      </w:r>
      <w:r w:rsidR="00CA1929">
        <w:t>: these are the actual variable names from each dataset.</w:t>
      </w:r>
    </w:p>
    <w:p w:rsidR="000E27AE" w:rsidRDefault="000E27AE" w:rsidP="008D29DC">
      <w:pPr>
        <w:pStyle w:val="ListParagraph"/>
        <w:numPr>
          <w:ilvl w:val="0"/>
          <w:numId w:val="2"/>
        </w:numPr>
        <w:spacing w:after="0" w:line="240" w:lineRule="auto"/>
      </w:pPr>
      <w:r>
        <w:t>Comparability Notes</w:t>
      </w:r>
      <w:r w:rsidR="00CA1929">
        <w:t>: notes that describe any differences among variables or threats to equivalence.</w:t>
      </w:r>
    </w:p>
    <w:p w:rsidR="000E27AE" w:rsidRDefault="000E27AE" w:rsidP="008D29DC">
      <w:pPr>
        <w:pStyle w:val="ListParagraph"/>
        <w:numPr>
          <w:ilvl w:val="0"/>
          <w:numId w:val="2"/>
        </w:numPr>
        <w:spacing w:after="0" w:line="240" w:lineRule="auto"/>
      </w:pPr>
      <w:r>
        <w:t>Comparability Class</w:t>
      </w:r>
      <w:r w:rsidR="00CA1929">
        <w:t>: categories that broadly describe the type of differences.</w:t>
      </w:r>
    </w:p>
    <w:p w:rsidR="000E27AE" w:rsidRDefault="000E27AE" w:rsidP="008D29DC">
      <w:pPr>
        <w:pStyle w:val="ListParagraph"/>
        <w:numPr>
          <w:ilvl w:val="0"/>
          <w:numId w:val="2"/>
        </w:numPr>
        <w:spacing w:after="0" w:line="240" w:lineRule="auto"/>
      </w:pPr>
      <w:r>
        <w:t>Display Values</w:t>
      </w:r>
      <w:r w:rsidR="00CA1929">
        <w:t xml:space="preserve">: </w:t>
      </w:r>
      <w:r w:rsidR="00A47C0C">
        <w:t xml:space="preserve">determines the </w:t>
      </w:r>
      <w:r w:rsidR="00CA1929">
        <w:t xml:space="preserve">values </w:t>
      </w:r>
      <w:r w:rsidR="00A47C0C">
        <w:t xml:space="preserve">that are </w:t>
      </w:r>
      <w:r w:rsidR="00CA1929">
        <w:t xml:space="preserve">displayed </w:t>
      </w:r>
      <w:r w:rsidR="00A47C0C">
        <w:t xml:space="preserve">in the Portal </w:t>
      </w:r>
      <w:r w:rsidR="00CA1929">
        <w:t xml:space="preserve">for </w:t>
      </w:r>
      <w:r w:rsidR="00A47C0C">
        <w:t xml:space="preserve">that </w:t>
      </w:r>
      <w:r w:rsidR="00CA1929">
        <w:t>row’s variables</w:t>
      </w:r>
      <w:r w:rsidR="00A47C0C">
        <w:t xml:space="preserve"> - s</w:t>
      </w:r>
      <w:r w:rsidR="00CA1929">
        <w:t xml:space="preserve">ome variables (such as IDs) do not need </w:t>
      </w:r>
      <w:r w:rsidR="008D29DC">
        <w:t>every value displayed. Each concordance table includes a “</w:t>
      </w:r>
      <w:proofErr w:type="spellStart"/>
      <w:r w:rsidR="008D29DC">
        <w:t>DisplayStat</w:t>
      </w:r>
      <w:proofErr w:type="spellEnd"/>
      <w:r w:rsidR="008D29DC">
        <w:t xml:space="preserve"> Directions” tab</w:t>
      </w:r>
      <w:r w:rsidR="00A47C0C">
        <w:t xml:space="preserve"> which details the different display options available.</w:t>
      </w:r>
    </w:p>
    <w:p w:rsidR="00A47C0C" w:rsidRDefault="000E27AE" w:rsidP="00A47C0C">
      <w:pPr>
        <w:pStyle w:val="ListParagraph"/>
        <w:numPr>
          <w:ilvl w:val="0"/>
          <w:numId w:val="2"/>
        </w:numPr>
        <w:spacing w:after="0" w:line="240" w:lineRule="auto"/>
      </w:pPr>
      <w:r>
        <w:t>Stats</w:t>
      </w:r>
      <w:r w:rsidR="00A47C0C">
        <w:t>: determines the summary stats that are displayed</w:t>
      </w:r>
      <w:r w:rsidR="00A47C0C" w:rsidRPr="00A47C0C">
        <w:t xml:space="preserve"> </w:t>
      </w:r>
      <w:r w:rsidR="00A47C0C">
        <w:t>in the Portal for that row’s variables – some variables do not need means or standard deviations displayed. Each concordance table includes a “</w:t>
      </w:r>
      <w:proofErr w:type="spellStart"/>
      <w:r w:rsidR="00A47C0C">
        <w:t>DisplayStat</w:t>
      </w:r>
      <w:proofErr w:type="spellEnd"/>
      <w:r w:rsidR="00A47C0C">
        <w:t xml:space="preserve"> Directions” tab which details the different summary statistics available.</w:t>
      </w:r>
    </w:p>
    <w:p w:rsidR="000E27AE" w:rsidRDefault="000E27AE" w:rsidP="00FB32B2">
      <w:pPr>
        <w:pStyle w:val="ListParagraph"/>
        <w:numPr>
          <w:ilvl w:val="0"/>
          <w:numId w:val="2"/>
        </w:numPr>
        <w:spacing w:after="0" w:line="240" w:lineRule="auto"/>
      </w:pPr>
      <w:r>
        <w:t xml:space="preserve">Variable labels: </w:t>
      </w:r>
      <w:r w:rsidR="00A47C0C">
        <w:t xml:space="preserve">The Portal populates variable label information from the datasets themselves, </w:t>
      </w:r>
      <w:r w:rsidR="00A47C0C" w:rsidRPr="00123200">
        <w:rPr>
          <w:i/>
        </w:rPr>
        <w:t>not from the concordance table</w:t>
      </w:r>
      <w:r w:rsidR="00A47C0C">
        <w:t>. The variable labels in the concordance table help humans manage and understand the variables</w:t>
      </w:r>
      <w:r w:rsidR="00123200">
        <w:t>.</w:t>
      </w:r>
    </w:p>
    <w:p w:rsidR="00B22CE9" w:rsidRPr="0006379A" w:rsidRDefault="00B22CE9" w:rsidP="00B22CE9">
      <w:pPr>
        <w:spacing w:after="0" w:line="240" w:lineRule="auto"/>
      </w:pPr>
      <w:r>
        <w:t>Each Concordance Table has an Updates tab where any changes should be documented, initialed, and date-stamped to provide an audit trail.</w:t>
      </w:r>
    </w:p>
    <w:p w:rsidR="002D641B" w:rsidRDefault="002D641B" w:rsidP="008D29DC">
      <w:pPr>
        <w:spacing w:after="0" w:line="240" w:lineRule="auto"/>
      </w:pPr>
    </w:p>
    <w:sectPr w:rsidR="002D641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3EE" w:rsidRDefault="007073EE" w:rsidP="007073EE">
      <w:pPr>
        <w:spacing w:after="0" w:line="240" w:lineRule="auto"/>
      </w:pPr>
      <w:r>
        <w:separator/>
      </w:r>
    </w:p>
  </w:endnote>
  <w:endnote w:type="continuationSeparator" w:id="0">
    <w:p w:rsidR="007073EE" w:rsidRDefault="007073EE" w:rsidP="0070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3EE" w:rsidRDefault="007B6D41">
    <w:pPr>
      <w:pStyle w:val="Footer"/>
    </w:pPr>
    <w:fldSimple w:instr=" FILENAME \p \* MERGEFORMAT ">
      <w:r w:rsidR="00C9039A">
        <w:rPr>
          <w:noProof/>
        </w:rPr>
        <w:t>X:\Administrative Database\DBS\Publishing_to_the_MIDUS_Portal_20201028.docx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3EE" w:rsidRDefault="007073EE" w:rsidP="007073EE">
      <w:pPr>
        <w:spacing w:after="0" w:line="240" w:lineRule="auto"/>
      </w:pPr>
      <w:r>
        <w:separator/>
      </w:r>
    </w:p>
  </w:footnote>
  <w:footnote w:type="continuationSeparator" w:id="0">
    <w:p w:rsidR="007073EE" w:rsidRDefault="007073EE" w:rsidP="0070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6E49"/>
    <w:multiLevelType w:val="hybridMultilevel"/>
    <w:tmpl w:val="6430EF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10A09EB"/>
    <w:multiLevelType w:val="hybridMultilevel"/>
    <w:tmpl w:val="ABC2B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140AB"/>
    <w:multiLevelType w:val="hybridMultilevel"/>
    <w:tmpl w:val="389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C216F"/>
    <w:multiLevelType w:val="hybridMultilevel"/>
    <w:tmpl w:val="B618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41037"/>
    <w:multiLevelType w:val="hybridMultilevel"/>
    <w:tmpl w:val="6098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1B"/>
    <w:rsid w:val="00007739"/>
    <w:rsid w:val="00032E49"/>
    <w:rsid w:val="0006379A"/>
    <w:rsid w:val="000E27AE"/>
    <w:rsid w:val="00123200"/>
    <w:rsid w:val="00124200"/>
    <w:rsid w:val="00163E14"/>
    <w:rsid w:val="0018329F"/>
    <w:rsid w:val="001832FA"/>
    <w:rsid w:val="001D2528"/>
    <w:rsid w:val="002330B5"/>
    <w:rsid w:val="00247A0B"/>
    <w:rsid w:val="002D641B"/>
    <w:rsid w:val="002E0DC9"/>
    <w:rsid w:val="004F54E7"/>
    <w:rsid w:val="00582572"/>
    <w:rsid w:val="005A4674"/>
    <w:rsid w:val="006B4D3A"/>
    <w:rsid w:val="007073EE"/>
    <w:rsid w:val="00723607"/>
    <w:rsid w:val="007B6D41"/>
    <w:rsid w:val="0085171E"/>
    <w:rsid w:val="00881CB8"/>
    <w:rsid w:val="008D29DC"/>
    <w:rsid w:val="00922E29"/>
    <w:rsid w:val="0093108D"/>
    <w:rsid w:val="0093529B"/>
    <w:rsid w:val="009830CA"/>
    <w:rsid w:val="00A47C0C"/>
    <w:rsid w:val="00A65047"/>
    <w:rsid w:val="00AE2110"/>
    <w:rsid w:val="00B14272"/>
    <w:rsid w:val="00B22CE9"/>
    <w:rsid w:val="00C9039A"/>
    <w:rsid w:val="00CA1929"/>
    <w:rsid w:val="00DA222C"/>
    <w:rsid w:val="00DA3ACB"/>
    <w:rsid w:val="00F11FC4"/>
    <w:rsid w:val="00F6097B"/>
    <w:rsid w:val="00FE02BF"/>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DE76"/>
  <w15:chartTrackingRefBased/>
  <w15:docId w15:val="{412579A0-14BA-4442-8CC2-0B64E12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14"/>
    <w:pPr>
      <w:ind w:left="720"/>
      <w:contextualSpacing/>
    </w:pPr>
  </w:style>
  <w:style w:type="character" w:styleId="Hyperlink">
    <w:name w:val="Hyperlink"/>
    <w:basedOn w:val="DefaultParagraphFont"/>
    <w:uiPriority w:val="99"/>
    <w:unhideWhenUsed/>
    <w:rsid w:val="009830CA"/>
    <w:rPr>
      <w:color w:val="0563C1" w:themeColor="hyperlink"/>
      <w:u w:val="single"/>
    </w:rPr>
  </w:style>
  <w:style w:type="character" w:styleId="CommentReference">
    <w:name w:val="annotation reference"/>
    <w:basedOn w:val="DefaultParagraphFont"/>
    <w:uiPriority w:val="99"/>
    <w:semiHidden/>
    <w:unhideWhenUsed/>
    <w:rsid w:val="0006379A"/>
    <w:rPr>
      <w:sz w:val="16"/>
      <w:szCs w:val="16"/>
    </w:rPr>
  </w:style>
  <w:style w:type="paragraph" w:styleId="CommentText">
    <w:name w:val="annotation text"/>
    <w:basedOn w:val="Normal"/>
    <w:link w:val="CommentTextChar"/>
    <w:uiPriority w:val="99"/>
    <w:semiHidden/>
    <w:unhideWhenUsed/>
    <w:rsid w:val="0006379A"/>
    <w:pPr>
      <w:spacing w:line="240" w:lineRule="auto"/>
    </w:pPr>
    <w:rPr>
      <w:sz w:val="20"/>
      <w:szCs w:val="20"/>
    </w:rPr>
  </w:style>
  <w:style w:type="character" w:customStyle="1" w:styleId="CommentTextChar">
    <w:name w:val="Comment Text Char"/>
    <w:basedOn w:val="DefaultParagraphFont"/>
    <w:link w:val="CommentText"/>
    <w:uiPriority w:val="99"/>
    <w:semiHidden/>
    <w:rsid w:val="0006379A"/>
    <w:rPr>
      <w:sz w:val="20"/>
      <w:szCs w:val="20"/>
    </w:rPr>
  </w:style>
  <w:style w:type="paragraph" w:styleId="CommentSubject">
    <w:name w:val="annotation subject"/>
    <w:basedOn w:val="CommentText"/>
    <w:next w:val="CommentText"/>
    <w:link w:val="CommentSubjectChar"/>
    <w:uiPriority w:val="99"/>
    <w:semiHidden/>
    <w:unhideWhenUsed/>
    <w:rsid w:val="0006379A"/>
    <w:rPr>
      <w:b/>
      <w:bCs/>
    </w:rPr>
  </w:style>
  <w:style w:type="character" w:customStyle="1" w:styleId="CommentSubjectChar">
    <w:name w:val="Comment Subject Char"/>
    <w:basedOn w:val="CommentTextChar"/>
    <w:link w:val="CommentSubject"/>
    <w:uiPriority w:val="99"/>
    <w:semiHidden/>
    <w:rsid w:val="0006379A"/>
    <w:rPr>
      <w:b/>
      <w:bCs/>
      <w:sz w:val="20"/>
      <w:szCs w:val="20"/>
    </w:rPr>
  </w:style>
  <w:style w:type="paragraph" w:styleId="BalloonText">
    <w:name w:val="Balloon Text"/>
    <w:basedOn w:val="Normal"/>
    <w:link w:val="BalloonTextChar"/>
    <w:uiPriority w:val="99"/>
    <w:semiHidden/>
    <w:unhideWhenUsed/>
    <w:rsid w:val="00063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79A"/>
    <w:rPr>
      <w:rFonts w:ascii="Segoe UI" w:hAnsi="Segoe UI" w:cs="Segoe UI"/>
      <w:sz w:val="18"/>
      <w:szCs w:val="18"/>
    </w:rPr>
  </w:style>
  <w:style w:type="paragraph" w:styleId="Header">
    <w:name w:val="header"/>
    <w:basedOn w:val="Normal"/>
    <w:link w:val="HeaderChar"/>
    <w:uiPriority w:val="99"/>
    <w:unhideWhenUsed/>
    <w:rsid w:val="0070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EE"/>
  </w:style>
  <w:style w:type="paragraph" w:styleId="Footer">
    <w:name w:val="footer"/>
    <w:basedOn w:val="Normal"/>
    <w:link w:val="FooterChar"/>
    <w:uiPriority w:val="99"/>
    <w:unhideWhenUsed/>
    <w:rsid w:val="0070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2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today.midus.colectica.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idus.colectica.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cpsr.umich.edu/icpsrweb/ICPSR/studies/36346/versions/V7/datasets/1/files/1279607/downloadDoc/doc?path=/pcms/studies/0/3/6/3/36346/V7/files/127960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T. Radler</dc:creator>
  <cp:keywords/>
  <dc:description/>
  <cp:lastModifiedBy>Barry T. Radler</cp:lastModifiedBy>
  <cp:revision>3</cp:revision>
  <dcterms:created xsi:type="dcterms:W3CDTF">2021-03-08T23:25:00Z</dcterms:created>
  <dcterms:modified xsi:type="dcterms:W3CDTF">2021-03-08T23:29:00Z</dcterms:modified>
</cp:coreProperties>
</file>