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pStyle w:val="PRDLabel"/>
      </w:pPr>
      <w:r>
        <w:t>PRODUCT REQUIREMENTS DOCUMENT</w:t>
      </w:r>
    </w:p>
    <w:p>
      <w:pPr>
        <w:pStyle w:val="Title"/>
      </w:pPr>
      <w:r>
        <w:t>Miebaka Portfolio</w:t>
      </w:r>
    </w:p>
    <w:p>
      <w:pPr>
        <w:pStyle w:val="Subtitle"/>
      </w:pPr>
      <w:r>
        <w:t>A proof-led structural upgrade that preserves the restored visual character</w:t>
      </w:r>
    </w:p>
    <w:p>
      <w:pPr>
        <w:spacing w:after="44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1828"/>
            <w:vAlign w:val="center"/>
            <w:tcMar>
              <w:top w:w="100" w:type="dxa"/>
              <w:start w:w="110" w:type="dxa"/>
              <w:bottom w:w="100" w:type="dxa"/>
              <w:end w:w="110" w:type="dxa"/>
            </w:tcMar>
          </w:tcPr>
          <w:p>
            <w:r>
              <w:rPr>
                <w:b/>
                <w:color w:val="FFFFFF"/>
                <w:sz w:val="14"/>
              </w:rPr>
              <w:t>DOCUMENT</w:t>
            </w:r>
          </w:p>
        </w:tc>
        <w:tc>
          <w:tcPr>
            <w:tcW w:type="dxa" w:w="7416"/>
            <w:shd w:fill="101828"/>
            <w:vAlign w:val="center"/>
            <w:tcMar>
              <w:top w:w="100" w:type="dxa"/>
              <w:start w:w="110" w:type="dxa"/>
              <w:bottom w:w="100" w:type="dxa"/>
              <w:end w:w="110" w:type="dxa"/>
            </w:tcMar>
          </w:tcPr>
          <w:p>
            <w:r>
              <w:rPr>
                <w:b/>
                <w:color w:val="FFFFFF"/>
                <w:sz w:val="14"/>
              </w:rPr>
              <w:t>VALUE</w:t>
            </w:r>
          </w:p>
        </w:tc>
      </w:tr>
      <w:tr>
        <w:tc>
          <w:tcPr>
            <w:tcW w:type="dxa" w:w="2232"/>
            <w:vAlign w:val="top"/>
            <w:tcMar>
              <w:top w:w="100" w:type="dxa"/>
              <w:start w:w="110" w:type="dxa"/>
              <w:bottom w:w="100" w:type="dxa"/>
              <w:end w:w="110" w:type="dxa"/>
            </w:tcMar>
          </w:tcPr>
          <w:p>
            <w:pPr>
              <w:spacing w:after="0"/>
            </w:pPr>
            <w:r>
              <w:rPr>
                <w:sz w:val="16"/>
              </w:rPr>
              <w:t>Owner</w:t>
            </w:r>
          </w:p>
        </w:tc>
        <w:tc>
          <w:tcPr>
            <w:tcW w:type="dxa" w:w="7416"/>
            <w:vAlign w:val="top"/>
            <w:tcMar>
              <w:top w:w="100" w:type="dxa"/>
              <w:start w:w="110" w:type="dxa"/>
              <w:bottom w:w="100" w:type="dxa"/>
              <w:end w:w="110" w:type="dxa"/>
            </w:tcMar>
          </w:tcPr>
          <w:p>
            <w:pPr>
              <w:spacing w:after="0"/>
            </w:pPr>
            <w:r>
              <w:rPr>
                <w:sz w:val="16"/>
              </w:rPr>
              <w:t>Miebaka Joshua</w:t>
            </w:r>
          </w:p>
        </w:tc>
      </w:tr>
      <w:tr>
        <w:tc>
          <w:tcPr>
            <w:tcW w:type="dxa" w:w="2232"/>
            <w:vAlign w:val="top"/>
            <w:tcMar>
              <w:top w:w="100" w:type="dxa"/>
              <w:start w:w="110" w:type="dxa"/>
              <w:bottom w:w="100" w:type="dxa"/>
              <w:end w:w="110" w:type="dxa"/>
            </w:tcMar>
            <w:shd w:fill="F8FAFC"/>
          </w:tcPr>
          <w:p>
            <w:pPr>
              <w:spacing w:after="0"/>
            </w:pPr>
            <w:r>
              <w:rPr>
                <w:sz w:val="16"/>
              </w:rPr>
              <w:t>Status</w:t>
            </w:r>
          </w:p>
        </w:tc>
        <w:tc>
          <w:tcPr>
            <w:tcW w:type="dxa" w:w="7416"/>
            <w:vAlign w:val="top"/>
            <w:tcMar>
              <w:top w:w="100" w:type="dxa"/>
              <w:start w:w="110" w:type="dxa"/>
              <w:bottom w:w="100" w:type="dxa"/>
              <w:end w:w="110" w:type="dxa"/>
            </w:tcMar>
            <w:shd w:fill="F8FAFC"/>
          </w:tcPr>
          <w:p>
            <w:pPr>
              <w:spacing w:after="0"/>
            </w:pPr>
            <w:r>
              <w:rPr>
                <w:sz w:val="16"/>
              </w:rPr>
              <w:t>Implementation-ready PRD</w:t>
            </w:r>
          </w:p>
        </w:tc>
      </w:tr>
      <w:tr>
        <w:tc>
          <w:tcPr>
            <w:tcW w:type="dxa" w:w="2232"/>
            <w:vAlign w:val="top"/>
            <w:tcMar>
              <w:top w:w="100" w:type="dxa"/>
              <w:start w:w="110" w:type="dxa"/>
              <w:bottom w:w="100" w:type="dxa"/>
              <w:end w:w="110" w:type="dxa"/>
            </w:tcMar>
          </w:tcPr>
          <w:p>
            <w:pPr>
              <w:spacing w:after="0"/>
            </w:pPr>
            <w:r>
              <w:rPr>
                <w:sz w:val="16"/>
              </w:rPr>
              <w:t>Product</w:t>
            </w:r>
          </w:p>
        </w:tc>
        <w:tc>
          <w:tcPr>
            <w:tcW w:type="dxa" w:w="7416"/>
            <w:vAlign w:val="top"/>
            <w:tcMar>
              <w:top w:w="100" w:type="dxa"/>
              <w:start w:w="110" w:type="dxa"/>
              <w:bottom w:w="100" w:type="dxa"/>
              <w:end w:w="110" w:type="dxa"/>
            </w:tcMar>
          </w:tcPr>
          <w:p>
            <w:pPr>
              <w:spacing w:after="0"/>
            </w:pPr>
            <w:r>
              <w:rPr>
                <w:sz w:val="16"/>
              </w:rPr>
              <w:t>miebaka.design portfolio</w:t>
            </w:r>
          </w:p>
        </w:tc>
      </w:tr>
      <w:tr>
        <w:tc>
          <w:tcPr>
            <w:tcW w:type="dxa" w:w="2232"/>
            <w:vAlign w:val="top"/>
            <w:tcMar>
              <w:top w:w="100" w:type="dxa"/>
              <w:start w:w="110" w:type="dxa"/>
              <w:bottom w:w="100" w:type="dxa"/>
              <w:end w:w="110" w:type="dxa"/>
            </w:tcMar>
            <w:shd w:fill="F8FAFC"/>
          </w:tcPr>
          <w:p>
            <w:pPr>
              <w:spacing w:after="0"/>
            </w:pPr>
            <w:r>
              <w:rPr>
                <w:sz w:val="16"/>
              </w:rPr>
              <w:t>Visual authority</w:t>
            </w:r>
          </w:p>
        </w:tc>
        <w:tc>
          <w:tcPr>
            <w:tcW w:type="dxa" w:w="7416"/>
            <w:vAlign w:val="top"/>
            <w:tcMar>
              <w:top w:w="100" w:type="dxa"/>
              <w:start w:w="110" w:type="dxa"/>
              <w:bottom w:w="100" w:type="dxa"/>
              <w:end w:w="110" w:type="dxa"/>
            </w:tcMar>
            <w:shd w:fill="F8FAFC"/>
          </w:tcPr>
          <w:p>
            <w:pPr>
              <w:spacing w:after="0"/>
            </w:pPr>
            <w:r>
              <w:rPr>
                <w:sz w:val="16"/>
              </w:rPr>
              <w:t>Restored production baseline — commit 54dcc41</w:t>
            </w:r>
          </w:p>
        </w:tc>
      </w:tr>
      <w:tr>
        <w:tc>
          <w:tcPr>
            <w:tcW w:type="dxa" w:w="2232"/>
            <w:vAlign w:val="top"/>
            <w:tcMar>
              <w:top w:w="100" w:type="dxa"/>
              <w:start w:w="110" w:type="dxa"/>
              <w:bottom w:w="100" w:type="dxa"/>
              <w:end w:w="110" w:type="dxa"/>
            </w:tcMar>
          </w:tcPr>
          <w:p>
            <w:pPr>
              <w:spacing w:after="0"/>
            </w:pPr>
            <w:r>
              <w:rPr>
                <w:sz w:val="16"/>
              </w:rPr>
              <w:t>Source</w:t>
            </w:r>
          </w:p>
        </w:tc>
        <w:tc>
          <w:tcPr>
            <w:tcW w:type="dxa" w:w="7416"/>
            <w:vAlign w:val="top"/>
            <w:tcMar>
              <w:top w:w="100" w:type="dxa"/>
              <w:start w:w="110" w:type="dxa"/>
              <w:bottom w:w="100" w:type="dxa"/>
              <w:end w:w="110" w:type="dxa"/>
            </w:tcMar>
          </w:tcPr>
          <w:p>
            <w:pPr>
              <w:spacing w:after="0"/>
            </w:pPr>
            <w:r>
              <w:rPr>
                <w:sz w:val="16"/>
              </w:rPr>
              <w:t>Portfolio Design Engineering Review and implementation plan</w:t>
            </w:r>
          </w:p>
        </w:tc>
      </w:tr>
      <w:tr>
        <w:tc>
          <w:tcPr>
            <w:tcW w:type="dxa" w:w="2232"/>
            <w:vAlign w:val="top"/>
            <w:tcMar>
              <w:top w:w="100" w:type="dxa"/>
              <w:start w:w="110" w:type="dxa"/>
              <w:bottom w:w="100" w:type="dxa"/>
              <w:end w:w="110" w:type="dxa"/>
            </w:tcMar>
            <w:shd w:fill="F8FAFC"/>
          </w:tcPr>
          <w:p>
            <w:pPr>
              <w:spacing w:after="0"/>
            </w:pPr>
            <w:r>
              <w:rPr>
                <w:sz w:val="16"/>
              </w:rPr>
              <w:t>Date</w:t>
            </w:r>
          </w:p>
        </w:tc>
        <w:tc>
          <w:tcPr>
            <w:tcW w:type="dxa" w:w="7416"/>
            <w:vAlign w:val="top"/>
            <w:tcMar>
              <w:top w:w="100" w:type="dxa"/>
              <w:start w:w="110" w:type="dxa"/>
              <w:bottom w:w="100" w:type="dxa"/>
              <w:end w:w="110" w:type="dxa"/>
            </w:tcMar>
            <w:shd w:fill="F8FAFC"/>
          </w:tcPr>
          <w:p>
            <w:pPr>
              <w:spacing w:after="0"/>
            </w:pPr>
            <w:r>
              <w:rPr>
                <w:sz w:val="16"/>
              </w:rPr>
              <w:t>13 October 2026</w:t>
            </w:r>
          </w:p>
        </w:tc>
      </w:tr>
    </w:tbl>
    <w:p>
      <w:pPr>
        <w:spacing w:after="0"/>
      </w:pPr>
    </w:p>
    <w:p>
      <w:pPr>
        <w:spacing w:after="600"/>
      </w:pPr>
    </w:p>
    <w:p>
      <w:pPr>
        <w:jc w:val="left"/>
      </w:pPr>
      <w:r>
        <w:rPr>
          <w:b/>
          <w:color w:val="2643E9"/>
          <w:sz w:val="16"/>
        </w:rPr>
        <w:t>PRODUCT DECISION</w:t>
      </w:r>
    </w:p>
    <w:p>
      <w:pPr>
        <w:ind w:left="374" w:right="864"/>
      </w:pPr>
      <w:r>
        <w:rPr>
          <w:b/>
          <w:color w:val="101828"/>
          <w:sz w:val="26"/>
        </w:rPr>
        <w:t>Improve structure, proof, accessibility and conversion without redesigning the site’s visual identity. The restored production website is the visual source of truth; the proof-sheet contributes selective editorial mechanisms, not a replacement skin.</w:t>
      </w:r>
    </w:p>
    <w:p>
      <w:r>
        <w:br w:type="page"/>
      </w:r>
    </w:p>
    <w:p>
      <w:pPr>
        <w:pStyle w:val="Heading1"/>
      </w:pPr>
      <w:r>
        <w:t>1. Executive summary</w:t>
      </w:r>
    </w:p>
    <w:p>
      <w:r>
        <w:t>The portfolio already has a distinctive visual voice: editorial restraint, an Ultramarine–paper–ink palette, sharp geometry, authored imagery, quiet motion, a strong portrait treatment and warm, direct writing. Its primary weakness is not visual taste; it is insufficient proof. Hiring managers and potential clients can see an authored surface, but cannot consistently reach complete case studies, evaluate the work, submit a reliable enquiry or understand the full range of practice.</w:t>
      </w:r>
    </w:p>
    <w:p>
      <w:r>
        <w:t>This release turns the current site into a credible senior-design portfolio by making the proof layer complete and trustworthy. It opens one flagship case study first, restructures the homepage around evidence, adds truthful Explorations and Community destinations, strengthens the Index, ships a real contact service, makes the CV accessible, and introduces robust accessibility, performance and content-governance requirements.</w:t>
      </w:r>
    </w:p>
    <w:p>
      <w:r>
        <w:t>The release must feel like the same website, only more resolved. No requirement authorizes a stylistic reset. Proof-sheet ideas may be used only where they clarify production, sequencing or authorship and remain subordinate to the restored visual system.</w:t>
      </w:r>
    </w:p>
    <w:p>
      <w:pPr>
        <w:pStyle w:val="Heading1"/>
      </w:pPr>
      <w:r>
        <w:t>2. Product vision and positioning</w:t>
      </w:r>
    </w:p>
    <w:p>
      <w:pPr>
        <w:pStyle w:val="Heading2"/>
      </w:pPr>
      <w:r>
        <w:t>2.1 Vision</w:t>
      </w:r>
    </w:p>
    <w:p>
      <w:r>
        <w:t>Create a precise, memorable portfolio that lets design leaders quickly understand Miebaka’s point of view, inspect the quality of his decisions and production thinking, and confidently begin a conversation.</w:t>
      </w:r>
    </w:p>
    <w:p>
      <w:pPr>
        <w:pStyle w:val="Heading2"/>
      </w:pPr>
      <w:r>
        <w:t>2.2 Positioning</w:t>
      </w:r>
    </w:p>
    <w:p>
      <w:r>
        <w:t>Miebaka is presented as a senior multidisciplinary designer whose value lies in the connection between strategic thinking, visual systems, editorial judgment and production discipline—not as a generalist offering an undifferentiated list of services.</w:t>
      </w:r>
    </w:p>
    <w:p>
      <w:pPr>
        <w:pStyle w:val="Heading2"/>
      </w:pPr>
      <w:r>
        <w:t>2.3 Primary product job</w:t>
      </w:r>
    </w:p>
    <w:p>
      <w:r>
        <w:t>Help hiring managers and design leaders evaluate Miebaka for senior design employment. Client enquiries and professional reputation are important secondary jobs.</w:t>
      </w:r>
    </w:p>
    <w:p>
      <w:pPr>
        <w:pStyle w:val="Heading2"/>
      </w:pPr>
      <w:r>
        <w:t>2.4 Target roles and markets</w:t>
      </w:r>
    </w:p>
    <w:p>
      <w:pPr>
        <w:pStyle w:val="ListBullet"/>
        <w:spacing w:after="44"/>
      </w:pPr>
      <w:r>
        <w:t>Primary roles: Art Director, Senior Brand Designer and Senior Visual Designer.</w:t>
      </w:r>
    </w:p>
    <w:p>
      <w:pPr>
        <w:pStyle w:val="ListBullet"/>
        <w:spacing w:after="44"/>
      </w:pPr>
      <w:r>
        <w:t>Markets: remote international roles, Nigerian roles and relocation opportunities.</w:t>
      </w:r>
    </w:p>
    <w:p>
      <w:pPr>
        <w:pStyle w:val="ListBullet"/>
        <w:spacing w:after="44"/>
      </w:pPr>
      <w:r>
        <w:t>Secondary opportunities: selected identity, campaign, editorial and creative-direction engagements.</w:t>
      </w:r>
    </w:p>
    <w:p>
      <w:pPr>
        <w:pStyle w:val="Heading1"/>
      </w:pPr>
      <w:r>
        <w:t>3. Objectives and success definition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01828"/>
            <w:vAlign w:val="center"/>
            <w:tcMar>
              <w:top w:w="100" w:type="dxa"/>
              <w:start w:w="110" w:type="dxa"/>
              <w:bottom w:w="100" w:type="dxa"/>
              <w:end w:w="110" w:type="dxa"/>
            </w:tcMar>
          </w:tcPr>
          <w:p>
            <w:r>
              <w:rPr>
                <w:b/>
                <w:color w:val="FFFFFF"/>
                <w:sz w:val="14"/>
              </w:rPr>
              <w:t>PRIORITY</w:t>
            </w:r>
          </w:p>
        </w:tc>
        <w:tc>
          <w:tcPr>
            <w:tcW w:type="dxa" w:w="3384"/>
            <w:shd w:fill="101828"/>
            <w:vAlign w:val="center"/>
            <w:tcMar>
              <w:top w:w="100" w:type="dxa"/>
              <w:start w:w="110" w:type="dxa"/>
              <w:bottom w:w="100" w:type="dxa"/>
              <w:end w:w="110" w:type="dxa"/>
            </w:tcMar>
          </w:tcPr>
          <w:p>
            <w:r>
              <w:rPr>
                <w:b/>
                <w:color w:val="FFFFFF"/>
                <w:sz w:val="14"/>
              </w:rPr>
              <w:t>OBJECTIVE</w:t>
            </w:r>
          </w:p>
        </w:tc>
        <w:tc>
          <w:tcPr>
            <w:tcW w:type="dxa" w:w="5544"/>
            <w:shd w:fill="101828"/>
            <w:vAlign w:val="center"/>
            <w:tcMar>
              <w:top w:w="100" w:type="dxa"/>
              <w:start w:w="110" w:type="dxa"/>
              <w:bottom w:w="100" w:type="dxa"/>
              <w:end w:w="110" w:type="dxa"/>
            </w:tcMar>
          </w:tcPr>
          <w:p>
            <w:r>
              <w:rPr>
                <w:b/>
                <w:color w:val="FFFFFF"/>
                <w:sz w:val="14"/>
              </w:rPr>
              <w:t>SUCCESS SIGNAL</w:t>
            </w:r>
          </w:p>
        </w:tc>
      </w:tr>
      <w:tr>
        <w:tc>
          <w:tcPr>
            <w:tcW w:type="dxa" w:w="792"/>
            <w:vAlign w:val="top"/>
            <w:tcMar>
              <w:top w:w="100" w:type="dxa"/>
              <w:start w:w="110" w:type="dxa"/>
              <w:bottom w:w="100" w:type="dxa"/>
              <w:end w:w="110" w:type="dxa"/>
            </w:tcMar>
          </w:tcPr>
          <w:p>
            <w:pPr>
              <w:spacing w:after="0"/>
            </w:pPr>
            <w:r>
              <w:rPr>
                <w:sz w:val="16"/>
              </w:rPr>
              <w:t>P0</w:t>
            </w:r>
          </w:p>
        </w:tc>
        <w:tc>
          <w:tcPr>
            <w:tcW w:type="dxa" w:w="3384"/>
            <w:vAlign w:val="top"/>
            <w:tcMar>
              <w:top w:w="100" w:type="dxa"/>
              <w:start w:w="110" w:type="dxa"/>
              <w:bottom w:w="100" w:type="dxa"/>
              <w:end w:w="110" w:type="dxa"/>
            </w:tcMar>
          </w:tcPr>
          <w:p>
            <w:pPr>
              <w:spacing w:after="0"/>
            </w:pPr>
            <w:r>
              <w:rPr>
                <w:sz w:val="16"/>
              </w:rPr>
              <w:t>Make professional work evaluable</w:t>
            </w:r>
          </w:p>
        </w:tc>
        <w:tc>
          <w:tcPr>
            <w:tcW w:type="dxa" w:w="5544"/>
            <w:vAlign w:val="top"/>
            <w:tcMar>
              <w:top w:w="100" w:type="dxa"/>
              <w:start w:w="110" w:type="dxa"/>
              <w:bottom w:w="100" w:type="dxa"/>
              <w:end w:w="110" w:type="dxa"/>
            </w:tcMar>
          </w:tcPr>
          <w:p>
            <w:pPr>
              <w:spacing w:after="0"/>
            </w:pPr>
            <w:r>
              <w:rPr>
                <w:sz w:val="16"/>
              </w:rPr>
              <w:t>At least the TEDx RSU flagship case study is public, complete and navigable.</w:t>
            </w:r>
          </w:p>
        </w:tc>
      </w:tr>
      <w:tr>
        <w:tc>
          <w:tcPr>
            <w:tcW w:type="dxa" w:w="792"/>
            <w:vAlign w:val="top"/>
            <w:tcMar>
              <w:top w:w="100" w:type="dxa"/>
              <w:start w:w="110" w:type="dxa"/>
              <w:bottom w:w="100" w:type="dxa"/>
              <w:end w:w="110" w:type="dxa"/>
            </w:tcMar>
            <w:shd w:fill="F8FAFC"/>
          </w:tcPr>
          <w:p>
            <w:pPr>
              <w:spacing w:after="0"/>
            </w:pPr>
            <w:r>
              <w:rPr>
                <w:sz w:val="16"/>
              </w:rPr>
              <w:t>P0</w:t>
            </w:r>
          </w:p>
        </w:tc>
        <w:tc>
          <w:tcPr>
            <w:tcW w:type="dxa" w:w="3384"/>
            <w:vAlign w:val="top"/>
            <w:tcMar>
              <w:top w:w="100" w:type="dxa"/>
              <w:start w:w="110" w:type="dxa"/>
              <w:bottom w:w="100" w:type="dxa"/>
              <w:end w:w="110" w:type="dxa"/>
            </w:tcMar>
            <w:shd w:fill="F8FAFC"/>
          </w:tcPr>
          <w:p>
            <w:pPr>
              <w:spacing w:after="0"/>
            </w:pPr>
            <w:r>
              <w:rPr>
                <w:sz w:val="16"/>
              </w:rPr>
              <w:t>Make contact reliable</w:t>
            </w:r>
          </w:p>
        </w:tc>
        <w:tc>
          <w:tcPr>
            <w:tcW w:type="dxa" w:w="5544"/>
            <w:vAlign w:val="top"/>
            <w:tcMar>
              <w:top w:w="100" w:type="dxa"/>
              <w:start w:w="110" w:type="dxa"/>
              <w:bottom w:w="100" w:type="dxa"/>
              <w:end w:w="110" w:type="dxa"/>
            </w:tcMar>
            <w:shd w:fill="F8FAFC"/>
          </w:tcPr>
          <w:p>
            <w:pPr>
              <w:spacing w:after="0"/>
            </w:pPr>
            <w:r>
              <w:rPr>
                <w:sz w:val="16"/>
              </w:rPr>
              <w:t>The form sends through a server endpoint, reports clear states and preserves input after recoverable failure.</w:t>
            </w:r>
          </w:p>
        </w:tc>
      </w:tr>
      <w:tr>
        <w:tc>
          <w:tcPr>
            <w:tcW w:type="dxa" w:w="792"/>
            <w:vAlign w:val="top"/>
            <w:tcMar>
              <w:top w:w="100" w:type="dxa"/>
              <w:start w:w="110" w:type="dxa"/>
              <w:bottom w:w="100" w:type="dxa"/>
              <w:end w:w="110" w:type="dxa"/>
            </w:tcMar>
          </w:tcPr>
          <w:p>
            <w:pPr>
              <w:spacing w:after="0"/>
            </w:pPr>
            <w:r>
              <w:rPr>
                <w:sz w:val="16"/>
              </w:rPr>
              <w:t>P0</w:t>
            </w:r>
          </w:p>
        </w:tc>
        <w:tc>
          <w:tcPr>
            <w:tcW w:type="dxa" w:w="3384"/>
            <w:vAlign w:val="top"/>
            <w:tcMar>
              <w:top w:w="100" w:type="dxa"/>
              <w:start w:w="110" w:type="dxa"/>
              <w:bottom w:w="100" w:type="dxa"/>
              <w:end w:w="110" w:type="dxa"/>
            </w:tcMar>
          </w:tcPr>
          <w:p>
            <w:pPr>
              <w:spacing w:after="0"/>
            </w:pPr>
            <w:r>
              <w:rPr>
                <w:sz w:val="16"/>
              </w:rPr>
              <w:t>Preserve exact visual character</w:t>
            </w:r>
          </w:p>
        </w:tc>
        <w:tc>
          <w:tcPr>
            <w:tcW w:type="dxa" w:w="5544"/>
            <w:vAlign w:val="top"/>
            <w:tcMar>
              <w:top w:w="100" w:type="dxa"/>
              <w:start w:w="110" w:type="dxa"/>
              <w:bottom w:w="100" w:type="dxa"/>
              <w:end w:w="110" w:type="dxa"/>
            </w:tcMar>
          </w:tcPr>
          <w:p>
            <w:pPr>
              <w:spacing w:after="0"/>
            </w:pPr>
            <w:r>
              <w:rPr>
                <w:sz w:val="16"/>
              </w:rPr>
              <w:t>Owner review confirms continuity with the restored baseline; no proof-sheet or generic UI drift.</w:t>
            </w:r>
          </w:p>
        </w:tc>
      </w:tr>
      <w:tr>
        <w:tc>
          <w:tcPr>
            <w:tcW w:type="dxa" w:w="792"/>
            <w:vAlign w:val="top"/>
            <w:tcMar>
              <w:top w:w="100" w:type="dxa"/>
              <w:start w:w="110" w:type="dxa"/>
              <w:bottom w:w="100" w:type="dxa"/>
              <w:end w:w="110" w:type="dxa"/>
            </w:tcMar>
            <w:shd w:fill="F8FAFC"/>
          </w:tcPr>
          <w:p>
            <w:pPr>
              <w:spacing w:after="0"/>
            </w:pPr>
            <w:r>
              <w:rPr>
                <w:sz w:val="16"/>
              </w:rPr>
              <w:t>P1</w:t>
            </w:r>
          </w:p>
        </w:tc>
        <w:tc>
          <w:tcPr>
            <w:tcW w:type="dxa" w:w="3384"/>
            <w:vAlign w:val="top"/>
            <w:tcMar>
              <w:top w:w="100" w:type="dxa"/>
              <w:start w:w="110" w:type="dxa"/>
              <w:bottom w:w="100" w:type="dxa"/>
              <w:end w:w="110" w:type="dxa"/>
            </w:tcMar>
            <w:shd w:fill="F8FAFC"/>
          </w:tcPr>
          <w:p>
            <w:pPr>
              <w:spacing w:after="0"/>
            </w:pPr>
            <w:r>
              <w:rPr>
                <w:sz w:val="16"/>
              </w:rPr>
              <w:t>Clarify the breadth of practice</w:t>
            </w:r>
          </w:p>
        </w:tc>
        <w:tc>
          <w:tcPr>
            <w:tcW w:type="dxa" w:w="5544"/>
            <w:vAlign w:val="top"/>
            <w:tcMar>
              <w:top w:w="100" w:type="dxa"/>
              <w:start w:w="110" w:type="dxa"/>
              <w:bottom w:w="100" w:type="dxa"/>
              <w:end w:w="110" w:type="dxa"/>
            </w:tcMar>
            <w:shd w:fill="F8FAFC"/>
          </w:tcPr>
          <w:p>
            <w:pPr>
              <w:spacing w:after="0"/>
            </w:pPr>
            <w:r>
              <w:rPr>
                <w:sz w:val="16"/>
              </w:rPr>
              <w:t>Work, Explorations, Community, About, Services and Writing have truthful destinations and states.</w:t>
            </w:r>
          </w:p>
        </w:tc>
      </w:tr>
      <w:tr>
        <w:tc>
          <w:tcPr>
            <w:tcW w:type="dxa" w:w="792"/>
            <w:vAlign w:val="top"/>
            <w:tcMar>
              <w:top w:w="100" w:type="dxa"/>
              <w:start w:w="110" w:type="dxa"/>
              <w:bottom w:w="100" w:type="dxa"/>
              <w:end w:w="110" w:type="dxa"/>
            </w:tcMar>
          </w:tcPr>
          <w:p>
            <w:pPr>
              <w:spacing w:after="0"/>
            </w:pPr>
            <w:r>
              <w:rPr>
                <w:sz w:val="16"/>
              </w:rPr>
              <w:t>P1</w:t>
            </w:r>
          </w:p>
        </w:tc>
        <w:tc>
          <w:tcPr>
            <w:tcW w:type="dxa" w:w="3384"/>
            <w:vAlign w:val="top"/>
            <w:tcMar>
              <w:top w:w="100" w:type="dxa"/>
              <w:start w:w="110" w:type="dxa"/>
              <w:bottom w:w="100" w:type="dxa"/>
              <w:end w:w="110" w:type="dxa"/>
            </w:tcMar>
          </w:tcPr>
          <w:p>
            <w:pPr>
              <w:spacing w:after="0"/>
            </w:pPr>
            <w:r>
              <w:rPr>
                <w:sz w:val="16"/>
              </w:rPr>
              <w:t>Strengthen professional trust</w:t>
            </w:r>
          </w:p>
        </w:tc>
        <w:tc>
          <w:tcPr>
            <w:tcW w:type="dxa" w:w="5544"/>
            <w:vAlign w:val="top"/>
            <w:tcMar>
              <w:top w:w="100" w:type="dxa"/>
              <w:start w:w="110" w:type="dxa"/>
              <w:bottom w:w="100" w:type="dxa"/>
              <w:end w:w="110" w:type="dxa"/>
            </w:tcMar>
          </w:tcPr>
          <w:p>
            <w:pPr>
              <w:spacing w:after="0"/>
            </w:pPr>
            <w:r>
              <w:rPr>
                <w:sz w:val="16"/>
              </w:rPr>
              <w:t>CV, verified metadata, clear roles and factual case-study captions are available.</w:t>
            </w:r>
          </w:p>
        </w:tc>
      </w:tr>
      <w:tr>
        <w:tc>
          <w:tcPr>
            <w:tcW w:type="dxa" w:w="792"/>
            <w:vAlign w:val="top"/>
            <w:tcMar>
              <w:top w:w="100" w:type="dxa"/>
              <w:start w:w="110" w:type="dxa"/>
              <w:bottom w:w="100" w:type="dxa"/>
              <w:end w:w="110" w:type="dxa"/>
            </w:tcMar>
            <w:shd w:fill="F8FAFC"/>
          </w:tcPr>
          <w:p>
            <w:pPr>
              <w:spacing w:after="0"/>
            </w:pPr>
            <w:r>
              <w:rPr>
                <w:sz w:val="16"/>
              </w:rPr>
              <w:t>P1</w:t>
            </w:r>
          </w:p>
        </w:tc>
        <w:tc>
          <w:tcPr>
            <w:tcW w:type="dxa" w:w="3384"/>
            <w:vAlign w:val="top"/>
            <w:tcMar>
              <w:top w:w="100" w:type="dxa"/>
              <w:start w:w="110" w:type="dxa"/>
              <w:bottom w:w="100" w:type="dxa"/>
              <w:end w:w="110" w:type="dxa"/>
            </w:tcMar>
            <w:shd w:fill="F8FAFC"/>
          </w:tcPr>
          <w:p>
            <w:pPr>
              <w:spacing w:after="0"/>
            </w:pPr>
            <w:r>
              <w:rPr>
                <w:sz w:val="16"/>
              </w:rPr>
              <w:t>Improve inclusive quality</w:t>
            </w:r>
          </w:p>
        </w:tc>
        <w:tc>
          <w:tcPr>
            <w:tcW w:type="dxa" w:w="5544"/>
            <w:vAlign w:val="top"/>
            <w:tcMar>
              <w:top w:w="100" w:type="dxa"/>
              <w:start w:w="110" w:type="dxa"/>
              <w:bottom w:w="100" w:type="dxa"/>
              <w:end w:w="110" w:type="dxa"/>
            </w:tcMar>
            <w:shd w:fill="F8FAFC"/>
          </w:tcPr>
          <w:p>
            <w:pPr>
              <w:spacing w:after="0"/>
            </w:pPr>
            <w:r>
              <w:rPr>
                <w:sz w:val="16"/>
              </w:rPr>
              <w:t>Keyboard, reduced-motion, no-JS, 320px, zoom and assistive-technology release checks pass.</w:t>
            </w:r>
          </w:p>
        </w:tc>
      </w:tr>
      <w:tr>
        <w:tc>
          <w:tcPr>
            <w:tcW w:type="dxa" w:w="792"/>
            <w:vAlign w:val="top"/>
            <w:tcMar>
              <w:top w:w="100" w:type="dxa"/>
              <w:start w:w="110" w:type="dxa"/>
              <w:bottom w:w="100" w:type="dxa"/>
              <w:end w:w="110" w:type="dxa"/>
            </w:tcMar>
          </w:tcPr>
          <w:p>
            <w:pPr>
              <w:spacing w:after="0"/>
            </w:pPr>
            <w:r>
              <w:rPr>
                <w:sz w:val="16"/>
              </w:rPr>
              <w:t>P1</w:t>
            </w:r>
          </w:p>
        </w:tc>
        <w:tc>
          <w:tcPr>
            <w:tcW w:type="dxa" w:w="3384"/>
            <w:vAlign w:val="top"/>
            <w:tcMar>
              <w:top w:w="100" w:type="dxa"/>
              <w:start w:w="110" w:type="dxa"/>
              <w:bottom w:w="100" w:type="dxa"/>
              <w:end w:w="110" w:type="dxa"/>
            </w:tcMar>
          </w:tcPr>
          <w:p>
            <w:pPr>
              <w:spacing w:after="0"/>
            </w:pPr>
            <w:r>
              <w:rPr>
                <w:sz w:val="16"/>
              </w:rPr>
              <w:t>Protect speed and stability</w:t>
            </w:r>
          </w:p>
        </w:tc>
        <w:tc>
          <w:tcPr>
            <w:tcW w:type="dxa" w:w="5544"/>
            <w:vAlign w:val="top"/>
            <w:tcMar>
              <w:top w:w="100" w:type="dxa"/>
              <w:start w:w="110" w:type="dxa"/>
              <w:bottom w:w="100" w:type="dxa"/>
              <w:end w:w="110" w:type="dxa"/>
            </w:tcMar>
          </w:tcPr>
          <w:p>
            <w:pPr>
              <w:spacing w:after="0"/>
            </w:pPr>
            <w:r>
              <w:rPr>
                <w:sz w:val="16"/>
              </w:rPr>
              <w:t>Core Web Vitals and bundle budgets meet the release gates in this PRD.</w:t>
            </w:r>
          </w:p>
        </w:tc>
      </w:tr>
    </w:tbl>
    <w:p>
      <w:pPr>
        <w:spacing w:after="0"/>
      </w:pPr>
    </w:p>
    <w:p>
      <w:pPr>
        <w:pStyle w:val="Heading2"/>
      </w:pPr>
      <w:r>
        <w:t>3.1 Conversion hierarchy</w:t>
      </w:r>
    </w:p>
    <w:p>
      <w:pPr>
        <w:pStyle w:val="ListBullet"/>
        <w:spacing w:after="44"/>
      </w:pPr>
      <w:r>
        <w:t>Primary conversion: send a credible contact enquiry.</w:t>
      </w:r>
    </w:p>
    <w:p>
      <w:pPr>
        <w:pStyle w:val="ListBullet"/>
        <w:spacing w:after="44"/>
      </w:pPr>
      <w:r>
        <w:t>Secondary conversions: complete a case study, download the CV, visit LinkedIn, remember the work and return.</w:t>
      </w:r>
    </w:p>
    <w:p>
      <w:pPr>
        <w:pStyle w:val="ListBullet"/>
        <w:spacing w:after="44"/>
      </w:pPr>
      <w:r>
        <w:t>Micro-conversions: open the Index, inspect services, view project metadata and continue to the next project.</w:t>
      </w:r>
    </w:p>
    <w:p>
      <w:pPr>
        <w:pStyle w:val="Heading1"/>
      </w:pPr>
      <w:r>
        <w:t>4. Users and priority journeys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1828"/>
            <w:vAlign w:val="center"/>
            <w:tcMar>
              <w:top w:w="100" w:type="dxa"/>
              <w:start w:w="110" w:type="dxa"/>
              <w:bottom w:w="100" w:type="dxa"/>
              <w:end w:w="110" w:type="dxa"/>
            </w:tcMar>
          </w:tcPr>
          <w:p>
            <w:r>
              <w:rPr>
                <w:b/>
                <w:color w:val="FFFFFF"/>
                <w:sz w:val="14"/>
              </w:rPr>
              <w:t>AUDIENCE</w:t>
            </w:r>
          </w:p>
        </w:tc>
        <w:tc>
          <w:tcPr>
            <w:tcW w:type="dxa" w:w="3168"/>
            <w:shd w:fill="101828"/>
            <w:vAlign w:val="center"/>
            <w:tcMar>
              <w:top w:w="100" w:type="dxa"/>
              <w:start w:w="110" w:type="dxa"/>
              <w:bottom w:w="100" w:type="dxa"/>
              <w:end w:w="110" w:type="dxa"/>
            </w:tcMar>
          </w:tcPr>
          <w:p>
            <w:r>
              <w:rPr>
                <w:b/>
                <w:color w:val="FFFFFF"/>
                <w:sz w:val="14"/>
              </w:rPr>
              <w:t>NEED</w:t>
            </w:r>
          </w:p>
        </w:tc>
        <w:tc>
          <w:tcPr>
            <w:tcW w:type="dxa" w:w="4608"/>
            <w:shd w:fill="101828"/>
            <w:vAlign w:val="center"/>
            <w:tcMar>
              <w:top w:w="100" w:type="dxa"/>
              <w:start w:w="110" w:type="dxa"/>
              <w:bottom w:w="100" w:type="dxa"/>
              <w:end w:w="110" w:type="dxa"/>
            </w:tcMar>
          </w:tcPr>
          <w:p>
            <w:r>
              <w:rPr>
                <w:b/>
                <w:color w:val="FFFFFF"/>
                <w:sz w:val="14"/>
              </w:rPr>
              <w:t>REQUIRED JOURNEY</w:t>
            </w:r>
          </w:p>
        </w:tc>
      </w:tr>
      <w:tr>
        <w:tc>
          <w:tcPr>
            <w:tcW w:type="dxa" w:w="1944"/>
            <w:vAlign w:val="top"/>
            <w:tcMar>
              <w:top w:w="100" w:type="dxa"/>
              <w:start w:w="110" w:type="dxa"/>
              <w:bottom w:w="100" w:type="dxa"/>
              <w:end w:w="110" w:type="dxa"/>
            </w:tcMar>
          </w:tcPr>
          <w:p>
            <w:pPr>
              <w:spacing w:after="0"/>
            </w:pPr>
            <w:r>
              <w:rPr>
                <w:sz w:val="16"/>
              </w:rPr>
              <w:t>Design leader / hiring manager</w:t>
            </w:r>
          </w:p>
        </w:tc>
        <w:tc>
          <w:tcPr>
            <w:tcW w:type="dxa" w:w="3168"/>
            <w:vAlign w:val="top"/>
            <w:tcMar>
              <w:top w:w="100" w:type="dxa"/>
              <w:start w:w="110" w:type="dxa"/>
              <w:bottom w:w="100" w:type="dxa"/>
              <w:end w:w="110" w:type="dxa"/>
            </w:tcMar>
          </w:tcPr>
          <w:p>
            <w:pPr>
              <w:spacing w:after="0"/>
            </w:pPr>
            <w:r>
              <w:rPr>
                <w:sz w:val="16"/>
              </w:rPr>
              <w:t>Fast evidence of senior judgment, role clarity and craft</w:t>
            </w:r>
          </w:p>
        </w:tc>
        <w:tc>
          <w:tcPr>
            <w:tcW w:type="dxa" w:w="4608"/>
            <w:vAlign w:val="top"/>
            <w:tcMar>
              <w:top w:w="100" w:type="dxa"/>
              <w:start w:w="110" w:type="dxa"/>
              <w:bottom w:w="100" w:type="dxa"/>
              <w:end w:w="110" w:type="dxa"/>
            </w:tcMar>
          </w:tcPr>
          <w:p>
            <w:pPr>
              <w:spacing w:after="0"/>
            </w:pPr>
            <w:r>
              <w:rPr>
                <w:sz w:val="16"/>
              </w:rPr>
              <w:t>Home → selected work → TEDx RSU → About/CV → Contact</w:t>
            </w:r>
          </w:p>
        </w:tc>
      </w:tr>
      <w:tr>
        <w:tc>
          <w:tcPr>
            <w:tcW w:type="dxa" w:w="1944"/>
            <w:vAlign w:val="top"/>
            <w:tcMar>
              <w:top w:w="100" w:type="dxa"/>
              <w:start w:w="110" w:type="dxa"/>
              <w:bottom w:w="100" w:type="dxa"/>
              <w:end w:w="110" w:type="dxa"/>
            </w:tcMar>
            <w:shd w:fill="F8FAFC"/>
          </w:tcPr>
          <w:p>
            <w:pPr>
              <w:spacing w:after="0"/>
            </w:pPr>
            <w:r>
              <w:rPr>
                <w:sz w:val="16"/>
              </w:rPr>
              <w:t>Founder / client</w:t>
            </w:r>
          </w:p>
        </w:tc>
        <w:tc>
          <w:tcPr>
            <w:tcW w:type="dxa" w:w="3168"/>
            <w:vAlign w:val="top"/>
            <w:tcMar>
              <w:top w:w="100" w:type="dxa"/>
              <w:start w:w="110" w:type="dxa"/>
              <w:bottom w:w="100" w:type="dxa"/>
              <w:end w:w="110" w:type="dxa"/>
            </w:tcMar>
            <w:shd w:fill="F8FAFC"/>
          </w:tcPr>
          <w:p>
            <w:pPr>
              <w:spacing w:after="0"/>
            </w:pPr>
            <w:r>
              <w:rPr>
                <w:sz w:val="16"/>
              </w:rPr>
              <w:t>Confidence in fit, process and delivery</w:t>
            </w:r>
          </w:p>
        </w:tc>
        <w:tc>
          <w:tcPr>
            <w:tcW w:type="dxa" w:w="4608"/>
            <w:vAlign w:val="top"/>
            <w:tcMar>
              <w:top w:w="100" w:type="dxa"/>
              <w:start w:w="110" w:type="dxa"/>
              <w:bottom w:w="100" w:type="dxa"/>
              <w:end w:w="110" w:type="dxa"/>
            </w:tcMar>
            <w:shd w:fill="F8FAFC"/>
          </w:tcPr>
          <w:p>
            <w:pPr>
              <w:spacing w:after="0"/>
            </w:pPr>
            <w:r>
              <w:rPr>
                <w:sz w:val="16"/>
              </w:rPr>
              <w:t>Home → Services → relevant project → Contact</w:t>
            </w:r>
          </w:p>
        </w:tc>
      </w:tr>
      <w:tr>
        <w:tc>
          <w:tcPr>
            <w:tcW w:type="dxa" w:w="1944"/>
            <w:vAlign w:val="top"/>
            <w:tcMar>
              <w:top w:w="100" w:type="dxa"/>
              <w:start w:w="110" w:type="dxa"/>
              <w:bottom w:w="100" w:type="dxa"/>
              <w:end w:w="110" w:type="dxa"/>
            </w:tcMar>
          </w:tcPr>
          <w:p>
            <w:pPr>
              <w:spacing w:after="0"/>
            </w:pPr>
            <w:r>
              <w:rPr>
                <w:sz w:val="16"/>
              </w:rPr>
              <w:t>Creative director / collaborator</w:t>
            </w:r>
          </w:p>
        </w:tc>
        <w:tc>
          <w:tcPr>
            <w:tcW w:type="dxa" w:w="3168"/>
            <w:vAlign w:val="top"/>
            <w:tcMar>
              <w:top w:w="100" w:type="dxa"/>
              <w:start w:w="110" w:type="dxa"/>
              <w:bottom w:w="100" w:type="dxa"/>
              <w:end w:w="110" w:type="dxa"/>
            </w:tcMar>
          </w:tcPr>
          <w:p>
            <w:pPr>
              <w:spacing w:after="0"/>
            </w:pPr>
            <w:r>
              <w:rPr>
                <w:sz w:val="16"/>
              </w:rPr>
              <w:t>A clear view of authorship and complementary strengths</w:t>
            </w:r>
          </w:p>
        </w:tc>
        <w:tc>
          <w:tcPr>
            <w:tcW w:type="dxa" w:w="4608"/>
            <w:vAlign w:val="top"/>
            <w:tcMar>
              <w:top w:w="100" w:type="dxa"/>
              <w:start w:w="110" w:type="dxa"/>
              <w:bottom w:w="100" w:type="dxa"/>
              <w:end w:w="110" w:type="dxa"/>
            </w:tcMar>
          </w:tcPr>
          <w:p>
            <w:pPr>
              <w:spacing w:after="0"/>
            </w:pPr>
            <w:r>
              <w:rPr>
                <w:sz w:val="16"/>
              </w:rPr>
              <w:t>Index → Work/Explorations → project detail → Contact</w:t>
            </w:r>
          </w:p>
        </w:tc>
      </w:tr>
      <w:tr>
        <w:tc>
          <w:tcPr>
            <w:tcW w:type="dxa" w:w="1944"/>
            <w:vAlign w:val="top"/>
            <w:tcMar>
              <w:top w:w="100" w:type="dxa"/>
              <w:start w:w="110" w:type="dxa"/>
              <w:bottom w:w="100" w:type="dxa"/>
              <w:end w:w="110" w:type="dxa"/>
            </w:tcMar>
            <w:shd w:fill="F8FAFC"/>
          </w:tcPr>
          <w:p>
            <w:pPr>
              <w:spacing w:after="0"/>
            </w:pPr>
            <w:r>
              <w:rPr>
                <w:sz w:val="16"/>
              </w:rPr>
              <w:t>General visitor</w:t>
            </w:r>
          </w:p>
        </w:tc>
        <w:tc>
          <w:tcPr>
            <w:tcW w:type="dxa" w:w="3168"/>
            <w:vAlign w:val="top"/>
            <w:tcMar>
              <w:top w:w="100" w:type="dxa"/>
              <w:start w:w="110" w:type="dxa"/>
              <w:bottom w:w="100" w:type="dxa"/>
              <w:end w:w="110" w:type="dxa"/>
            </w:tcMar>
            <w:shd w:fill="F8FAFC"/>
          </w:tcPr>
          <w:p>
            <w:pPr>
              <w:spacing w:after="0"/>
            </w:pPr>
            <w:r>
              <w:rPr>
                <w:sz w:val="16"/>
              </w:rPr>
              <w:t>A legible introduction without specialist knowledge</w:t>
            </w:r>
          </w:p>
        </w:tc>
        <w:tc>
          <w:tcPr>
            <w:tcW w:type="dxa" w:w="4608"/>
            <w:vAlign w:val="top"/>
            <w:tcMar>
              <w:top w:w="100" w:type="dxa"/>
              <w:start w:w="110" w:type="dxa"/>
              <w:bottom w:w="100" w:type="dxa"/>
              <w:end w:w="110" w:type="dxa"/>
            </w:tcMar>
            <w:shd w:fill="F8FAFC"/>
          </w:tcPr>
          <w:p>
            <w:pPr>
              <w:spacing w:after="0"/>
            </w:pPr>
            <w:r>
              <w:rPr>
                <w:sz w:val="16"/>
              </w:rPr>
              <w:t>Home → selected work/profile → Index</w:t>
            </w:r>
          </w:p>
        </w:tc>
      </w:tr>
      <w:tr>
        <w:tc>
          <w:tcPr>
            <w:tcW w:type="dxa" w:w="1944"/>
            <w:vAlign w:val="top"/>
            <w:tcMar>
              <w:top w:w="100" w:type="dxa"/>
              <w:start w:w="110" w:type="dxa"/>
              <w:bottom w:w="100" w:type="dxa"/>
              <w:end w:w="110" w:type="dxa"/>
            </w:tcMar>
          </w:tcPr>
          <w:p>
            <w:pPr>
              <w:spacing w:after="0"/>
            </w:pPr>
            <w:r>
              <w:rPr>
                <w:sz w:val="16"/>
              </w:rPr>
              <w:t>Designer / peer</w:t>
            </w:r>
          </w:p>
        </w:tc>
        <w:tc>
          <w:tcPr>
            <w:tcW w:type="dxa" w:w="3168"/>
            <w:vAlign w:val="top"/>
            <w:tcMar>
              <w:top w:w="100" w:type="dxa"/>
              <w:start w:w="110" w:type="dxa"/>
              <w:bottom w:w="100" w:type="dxa"/>
              <w:end w:w="110" w:type="dxa"/>
            </w:tcMar>
          </w:tcPr>
          <w:p>
            <w:pPr>
              <w:spacing w:after="0"/>
            </w:pPr>
            <w:r>
              <w:rPr>
                <w:sz w:val="16"/>
              </w:rPr>
              <w:t>Process, production and editorial detail</w:t>
            </w:r>
          </w:p>
        </w:tc>
        <w:tc>
          <w:tcPr>
            <w:tcW w:type="dxa" w:w="4608"/>
            <w:vAlign w:val="top"/>
            <w:tcMar>
              <w:top w:w="100" w:type="dxa"/>
              <w:start w:w="110" w:type="dxa"/>
              <w:bottom w:w="100" w:type="dxa"/>
              <w:end w:w="110" w:type="dxa"/>
            </w:tcMar>
          </w:tcPr>
          <w:p>
            <w:pPr>
              <w:spacing w:after="0"/>
            </w:pPr>
            <w:r>
              <w:rPr>
                <w:sz w:val="16"/>
              </w:rPr>
              <w:t>Work → project plates/captions → Writing</w:t>
            </w:r>
          </w:p>
        </w:tc>
      </w:tr>
    </w:tbl>
    <w:p>
      <w:pPr>
        <w:spacing w:after="0"/>
      </w:pPr>
    </w:p>
    <w:p>
      <w:pPr>
        <w:pStyle w:val="Heading2"/>
      </w:pPr>
      <w:r>
        <w:t>4.1 Journey requirements</w:t>
      </w:r>
    </w:p>
    <w:p>
      <w:pPr>
        <w:pStyle w:val="ListBullet"/>
        <w:spacing w:after="44"/>
      </w:pPr>
      <w:r>
        <w:t>Every route must make the next meaningful action clear without adding loud, conversion-template styling.</w:t>
      </w:r>
    </w:p>
    <w:p>
      <w:pPr>
        <w:pStyle w:val="ListBullet"/>
        <w:spacing w:after="44"/>
      </w:pPr>
      <w:r>
        <w:t>The visitor must never encounter a locked professional project without a truthful explanation and an available published alternative.</w:t>
      </w:r>
    </w:p>
    <w:p>
      <w:pPr>
        <w:pStyle w:val="ListBullet"/>
        <w:spacing w:after="44"/>
      </w:pPr>
      <w:r>
        <w:t>The full site must remain understandable with JavaScript disabled; enhancements may enrich, not reveal, core content.</w:t>
      </w:r>
    </w:p>
    <w:p>
      <w:pPr>
        <w:pStyle w:val="Heading1"/>
      </w:pPr>
      <w:r>
        <w:t>5. Current-state problem statement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101828"/>
            <w:vAlign w:val="center"/>
            <w:tcMar>
              <w:top w:w="100" w:type="dxa"/>
              <w:start w:w="110" w:type="dxa"/>
              <w:bottom w:w="100" w:type="dxa"/>
              <w:end w:w="110" w:type="dxa"/>
            </w:tcMar>
          </w:tcPr>
          <w:p>
            <w:r>
              <w:rPr>
                <w:b/>
                <w:color w:val="FFFFFF"/>
                <w:sz w:val="14"/>
              </w:rPr>
              <w:t>PROBLEM</w:t>
            </w:r>
          </w:p>
        </w:tc>
        <w:tc>
          <w:tcPr>
            <w:tcW w:type="dxa" w:w="5400"/>
            <w:shd w:fill="101828"/>
            <w:vAlign w:val="center"/>
            <w:tcMar>
              <w:top w:w="100" w:type="dxa"/>
              <w:start w:w="110" w:type="dxa"/>
              <w:bottom w:w="100" w:type="dxa"/>
              <w:end w:w="110" w:type="dxa"/>
            </w:tcMar>
          </w:tcPr>
          <w:p>
            <w:r>
              <w:rPr>
                <w:b/>
                <w:color w:val="FFFFFF"/>
                <w:sz w:val="14"/>
              </w:rPr>
              <w:t>IMPACT</w:t>
            </w:r>
          </w:p>
        </w:tc>
        <w:tc>
          <w:tcPr>
            <w:tcW w:type="dxa" w:w="1008"/>
            <w:shd w:fill="101828"/>
            <w:vAlign w:val="center"/>
            <w:tcMar>
              <w:top w:w="100" w:type="dxa"/>
              <w:start w:w="110" w:type="dxa"/>
              <w:bottom w:w="100" w:type="dxa"/>
              <w:end w:w="110" w:type="dxa"/>
            </w:tcMar>
          </w:tcPr>
          <w:p>
            <w:r>
              <w:rPr>
                <w:b/>
                <w:color w:val="FFFFFF"/>
                <w:sz w:val="14"/>
              </w:rPr>
              <w:t>PRIORITY</w:t>
            </w:r>
          </w:p>
        </w:tc>
      </w:tr>
      <w:tr>
        <w:tc>
          <w:tcPr>
            <w:tcW w:type="dxa" w:w="3240"/>
            <w:vAlign w:val="top"/>
            <w:tcMar>
              <w:top w:w="100" w:type="dxa"/>
              <w:start w:w="110" w:type="dxa"/>
              <w:bottom w:w="100" w:type="dxa"/>
              <w:end w:w="110" w:type="dxa"/>
            </w:tcMar>
          </w:tcPr>
          <w:p>
            <w:pPr>
              <w:spacing w:after="0"/>
            </w:pPr>
            <w:r>
              <w:rPr>
                <w:sz w:val="16"/>
              </w:rPr>
              <w:t>All professional case studies are locked</w:t>
            </w:r>
          </w:p>
        </w:tc>
        <w:tc>
          <w:tcPr>
            <w:tcW w:type="dxa" w:w="5400"/>
            <w:vAlign w:val="top"/>
            <w:tcMar>
              <w:top w:w="100" w:type="dxa"/>
              <w:start w:w="110" w:type="dxa"/>
              <w:bottom w:w="100" w:type="dxa"/>
              <w:end w:w="110" w:type="dxa"/>
            </w:tcMar>
          </w:tcPr>
          <w:p>
            <w:pPr>
              <w:spacing w:after="0"/>
            </w:pPr>
            <w:r>
              <w:rPr>
                <w:sz w:val="16"/>
              </w:rPr>
              <w:t>The site asks for trust without supplying enough evidence.</w:t>
            </w:r>
          </w:p>
        </w:tc>
        <w:tc>
          <w:tcPr>
            <w:tcW w:type="dxa" w:w="1008"/>
            <w:vAlign w:val="top"/>
            <w:tcMar>
              <w:top w:w="100" w:type="dxa"/>
              <w:start w:w="110" w:type="dxa"/>
              <w:bottom w:w="100" w:type="dxa"/>
              <w:end w:w="110" w:type="dxa"/>
            </w:tcMar>
          </w:tcPr>
          <w:p>
            <w:pPr>
              <w:spacing w:after="0"/>
            </w:pPr>
            <w:r>
              <w:rPr>
                <w:sz w:val="16"/>
              </w:rPr>
              <w:t>P0</w:t>
            </w:r>
          </w:p>
        </w:tc>
      </w:tr>
      <w:tr>
        <w:tc>
          <w:tcPr>
            <w:tcW w:type="dxa" w:w="3240"/>
            <w:vAlign w:val="top"/>
            <w:tcMar>
              <w:top w:w="100" w:type="dxa"/>
              <w:start w:w="110" w:type="dxa"/>
              <w:bottom w:w="100" w:type="dxa"/>
              <w:end w:w="110" w:type="dxa"/>
            </w:tcMar>
            <w:shd w:fill="F8FAFC"/>
          </w:tcPr>
          <w:p>
            <w:pPr>
              <w:spacing w:after="0"/>
            </w:pPr>
            <w:r>
              <w:rPr>
                <w:sz w:val="16"/>
              </w:rPr>
              <w:t>Homepage biography precedes proof</w:t>
            </w:r>
          </w:p>
        </w:tc>
        <w:tc>
          <w:tcPr>
            <w:tcW w:type="dxa" w:w="5400"/>
            <w:vAlign w:val="top"/>
            <w:tcMar>
              <w:top w:w="100" w:type="dxa"/>
              <w:start w:w="110" w:type="dxa"/>
              <w:bottom w:w="100" w:type="dxa"/>
              <w:end w:w="110" w:type="dxa"/>
            </w:tcMar>
            <w:shd w:fill="F8FAFC"/>
          </w:tcPr>
          <w:p>
            <w:pPr>
              <w:spacing w:after="0"/>
            </w:pPr>
            <w:r>
              <w:rPr>
                <w:sz w:val="16"/>
              </w:rPr>
              <w:t>The strongest hiring-manager journey is delayed.</w:t>
            </w:r>
          </w:p>
        </w:tc>
        <w:tc>
          <w:tcPr>
            <w:tcW w:type="dxa" w:w="1008"/>
            <w:vAlign w:val="top"/>
            <w:tcMar>
              <w:top w:w="100" w:type="dxa"/>
              <w:start w:w="110" w:type="dxa"/>
              <w:bottom w:w="100" w:type="dxa"/>
              <w:end w:w="110" w:type="dxa"/>
            </w:tcMar>
            <w:shd w:fill="F8FAFC"/>
          </w:tcPr>
          <w:p>
            <w:pPr>
              <w:spacing w:after="0"/>
            </w:pPr>
            <w:r>
              <w:rPr>
                <w:sz w:val="16"/>
              </w:rPr>
              <w:t>P0</w:t>
            </w:r>
          </w:p>
        </w:tc>
      </w:tr>
      <w:tr>
        <w:tc>
          <w:tcPr>
            <w:tcW w:type="dxa" w:w="3240"/>
            <w:vAlign w:val="top"/>
            <w:tcMar>
              <w:top w:w="100" w:type="dxa"/>
              <w:start w:w="110" w:type="dxa"/>
              <w:bottom w:w="100" w:type="dxa"/>
              <w:end w:w="110" w:type="dxa"/>
            </w:tcMar>
          </w:tcPr>
          <w:p>
            <w:pPr>
              <w:spacing w:after="0"/>
            </w:pPr>
            <w:r>
              <w:rPr>
                <w:sz w:val="16"/>
              </w:rPr>
              <w:t>Explorations and Community are missing</w:t>
            </w:r>
          </w:p>
        </w:tc>
        <w:tc>
          <w:tcPr>
            <w:tcW w:type="dxa" w:w="5400"/>
            <w:vAlign w:val="top"/>
            <w:tcMar>
              <w:top w:w="100" w:type="dxa"/>
              <w:start w:w="110" w:type="dxa"/>
              <w:bottom w:w="100" w:type="dxa"/>
              <w:end w:w="110" w:type="dxa"/>
            </w:tcMar>
          </w:tcPr>
          <w:p>
            <w:pPr>
              <w:spacing w:after="0"/>
            </w:pPr>
            <w:r>
              <w:rPr>
                <w:sz w:val="16"/>
              </w:rPr>
              <w:t>The navigation cannot truthfully represent the full practice.</w:t>
            </w:r>
          </w:p>
        </w:tc>
        <w:tc>
          <w:tcPr>
            <w:tcW w:type="dxa" w:w="1008"/>
            <w:vAlign w:val="top"/>
            <w:tcMar>
              <w:top w:w="100" w:type="dxa"/>
              <w:start w:w="110" w:type="dxa"/>
              <w:bottom w:w="100" w:type="dxa"/>
              <w:end w:w="110" w:type="dxa"/>
            </w:tcMar>
          </w:tcPr>
          <w:p>
            <w:pPr>
              <w:spacing w:after="0"/>
            </w:pPr>
            <w:r>
              <w:rPr>
                <w:sz w:val="16"/>
              </w:rPr>
              <w:t>P1</w:t>
            </w:r>
          </w:p>
        </w:tc>
      </w:tr>
      <w:tr>
        <w:tc>
          <w:tcPr>
            <w:tcW w:type="dxa" w:w="3240"/>
            <w:vAlign w:val="top"/>
            <w:tcMar>
              <w:top w:w="100" w:type="dxa"/>
              <w:start w:w="110" w:type="dxa"/>
              <w:bottom w:w="100" w:type="dxa"/>
              <w:end w:w="110" w:type="dxa"/>
            </w:tcMar>
            <w:shd w:fill="F8FAFC"/>
          </w:tcPr>
          <w:p>
            <w:pPr>
              <w:spacing w:after="0"/>
            </w:pPr>
            <w:r>
              <w:rPr>
                <w:sz w:val="16"/>
              </w:rPr>
              <w:t>Contact is mailto-only and the API route fails</w:t>
            </w:r>
          </w:p>
        </w:tc>
        <w:tc>
          <w:tcPr>
            <w:tcW w:type="dxa" w:w="5400"/>
            <w:vAlign w:val="top"/>
            <w:tcMar>
              <w:top w:w="100" w:type="dxa"/>
              <w:start w:w="110" w:type="dxa"/>
              <w:bottom w:w="100" w:type="dxa"/>
              <w:end w:w="110" w:type="dxa"/>
            </w:tcMar>
            <w:shd w:fill="F8FAFC"/>
          </w:tcPr>
          <w:p>
            <w:pPr>
              <w:spacing w:after="0"/>
            </w:pPr>
            <w:r>
              <w:rPr>
                <w:sz w:val="16"/>
              </w:rPr>
              <w:t>Primary conversion is unreliable and hard to measure.</w:t>
            </w:r>
          </w:p>
        </w:tc>
        <w:tc>
          <w:tcPr>
            <w:tcW w:type="dxa" w:w="1008"/>
            <w:vAlign w:val="top"/>
            <w:tcMar>
              <w:top w:w="100" w:type="dxa"/>
              <w:start w:w="110" w:type="dxa"/>
              <w:bottom w:w="100" w:type="dxa"/>
              <w:end w:w="110" w:type="dxa"/>
            </w:tcMar>
            <w:shd w:fill="F8FAFC"/>
          </w:tcPr>
          <w:p>
            <w:pPr>
              <w:spacing w:after="0"/>
            </w:pPr>
            <w:r>
              <w:rPr>
                <w:sz w:val="16"/>
              </w:rPr>
              <w:t>P0</w:t>
            </w:r>
          </w:p>
        </w:tc>
      </w:tr>
      <w:tr>
        <w:tc>
          <w:tcPr>
            <w:tcW w:type="dxa" w:w="3240"/>
            <w:vAlign w:val="top"/>
            <w:tcMar>
              <w:top w:w="100" w:type="dxa"/>
              <w:start w:w="110" w:type="dxa"/>
              <w:bottom w:w="100" w:type="dxa"/>
              <w:end w:w="110" w:type="dxa"/>
            </w:tcMar>
          </w:tcPr>
          <w:p>
            <w:pPr>
              <w:spacing w:after="0"/>
            </w:pPr>
            <w:r>
              <w:rPr>
                <w:sz w:val="16"/>
              </w:rPr>
              <w:t>Tests protect an obsolete contract</w:t>
            </w:r>
          </w:p>
        </w:tc>
        <w:tc>
          <w:tcPr>
            <w:tcW w:type="dxa" w:w="5400"/>
            <w:vAlign w:val="top"/>
            <w:tcMar>
              <w:top w:w="100" w:type="dxa"/>
              <w:start w:w="110" w:type="dxa"/>
              <w:bottom w:w="100" w:type="dxa"/>
              <w:end w:w="110" w:type="dxa"/>
            </w:tcMar>
          </w:tcPr>
          <w:p>
            <w:pPr>
              <w:spacing w:after="0"/>
            </w:pPr>
            <w:r>
              <w:rPr>
                <w:sz w:val="16"/>
              </w:rPr>
              <w:t>Green checks can validate the wrong product behavior.</w:t>
            </w:r>
          </w:p>
        </w:tc>
        <w:tc>
          <w:tcPr>
            <w:tcW w:type="dxa" w:w="1008"/>
            <w:vAlign w:val="top"/>
            <w:tcMar>
              <w:top w:w="100" w:type="dxa"/>
              <w:start w:w="110" w:type="dxa"/>
              <w:bottom w:w="100" w:type="dxa"/>
              <w:end w:w="110" w:type="dxa"/>
            </w:tcMar>
          </w:tcPr>
          <w:p>
            <w:pPr>
              <w:spacing w:after="0"/>
            </w:pPr>
            <w:r>
              <w:rPr>
                <w:sz w:val="16"/>
              </w:rPr>
              <w:t>P0</w:t>
            </w:r>
          </w:p>
        </w:tc>
      </w:tr>
      <w:tr>
        <w:tc>
          <w:tcPr>
            <w:tcW w:type="dxa" w:w="3240"/>
            <w:vAlign w:val="top"/>
            <w:tcMar>
              <w:top w:w="100" w:type="dxa"/>
              <w:start w:w="110" w:type="dxa"/>
              <w:bottom w:w="100" w:type="dxa"/>
              <w:end w:w="110" w:type="dxa"/>
            </w:tcMar>
            <w:shd w:fill="F8FAFC"/>
          </w:tcPr>
          <w:p>
            <w:pPr>
              <w:spacing w:after="0"/>
            </w:pPr>
            <w:r>
              <w:rPr>
                <w:sz w:val="16"/>
              </w:rPr>
              <w:t>Navigation and CV access are incomplete</w:t>
            </w:r>
          </w:p>
        </w:tc>
        <w:tc>
          <w:tcPr>
            <w:tcW w:type="dxa" w:w="5400"/>
            <w:vAlign w:val="top"/>
            <w:tcMar>
              <w:top w:w="100" w:type="dxa"/>
              <w:start w:w="110" w:type="dxa"/>
              <w:bottom w:w="100" w:type="dxa"/>
              <w:end w:w="110" w:type="dxa"/>
            </w:tcMar>
            <w:shd w:fill="F8FAFC"/>
          </w:tcPr>
          <w:p>
            <w:pPr>
              <w:spacing w:after="0"/>
            </w:pPr>
            <w:r>
              <w:rPr>
                <w:sz w:val="16"/>
              </w:rPr>
              <w:t>Users must infer routes and professional history.</w:t>
            </w:r>
          </w:p>
        </w:tc>
        <w:tc>
          <w:tcPr>
            <w:tcW w:type="dxa" w:w="1008"/>
            <w:vAlign w:val="top"/>
            <w:tcMar>
              <w:top w:w="100" w:type="dxa"/>
              <w:start w:w="110" w:type="dxa"/>
              <w:bottom w:w="100" w:type="dxa"/>
              <w:end w:w="110" w:type="dxa"/>
            </w:tcMar>
            <w:shd w:fill="F8FAFC"/>
          </w:tcPr>
          <w:p>
            <w:pPr>
              <w:spacing w:after="0"/>
            </w:pPr>
            <w:r>
              <w:rPr>
                <w:sz w:val="16"/>
              </w:rPr>
              <w:t>P1</w:t>
            </w:r>
          </w:p>
        </w:tc>
      </w:tr>
      <w:tr>
        <w:tc>
          <w:tcPr>
            <w:tcW w:type="dxa" w:w="3240"/>
            <w:vAlign w:val="top"/>
            <w:tcMar>
              <w:top w:w="100" w:type="dxa"/>
              <w:start w:w="110" w:type="dxa"/>
              <w:bottom w:w="100" w:type="dxa"/>
              <w:end w:w="110" w:type="dxa"/>
            </w:tcMar>
          </w:tcPr>
          <w:p>
            <w:pPr>
              <w:spacing w:after="0"/>
            </w:pPr>
            <w:r>
              <w:rPr>
                <w:sz w:val="16"/>
              </w:rPr>
              <w:t>Client loop lacks a visible pause control</w:t>
            </w:r>
          </w:p>
        </w:tc>
        <w:tc>
          <w:tcPr>
            <w:tcW w:type="dxa" w:w="5400"/>
            <w:vAlign w:val="top"/>
            <w:tcMar>
              <w:top w:w="100" w:type="dxa"/>
              <w:start w:w="110" w:type="dxa"/>
              <w:bottom w:w="100" w:type="dxa"/>
              <w:end w:w="110" w:type="dxa"/>
            </w:tcMar>
          </w:tcPr>
          <w:p>
            <w:pPr>
              <w:spacing w:after="0"/>
            </w:pPr>
            <w:r>
              <w:rPr>
                <w:sz w:val="16"/>
              </w:rPr>
              <w:t>Motion is not fully operable or inclusive.</w:t>
            </w:r>
          </w:p>
        </w:tc>
        <w:tc>
          <w:tcPr>
            <w:tcW w:type="dxa" w:w="1008"/>
            <w:vAlign w:val="top"/>
            <w:tcMar>
              <w:top w:w="100" w:type="dxa"/>
              <w:start w:w="110" w:type="dxa"/>
              <w:bottom w:w="100" w:type="dxa"/>
              <w:end w:w="110" w:type="dxa"/>
            </w:tcMar>
          </w:tcPr>
          <w:p>
            <w:pPr>
              <w:spacing w:after="0"/>
            </w:pPr>
            <w:r>
              <w:rPr>
                <w:sz w:val="16"/>
              </w:rPr>
              <w:t>P1</w:t>
            </w:r>
          </w:p>
        </w:tc>
      </w:tr>
      <w:tr>
        <w:tc>
          <w:tcPr>
            <w:tcW w:type="dxa" w:w="3240"/>
            <w:vAlign w:val="top"/>
            <w:tcMar>
              <w:top w:w="100" w:type="dxa"/>
              <w:start w:w="110" w:type="dxa"/>
              <w:bottom w:w="100" w:type="dxa"/>
              <w:end w:w="110" w:type="dxa"/>
            </w:tcMar>
            <w:shd w:fill="F8FAFC"/>
          </w:tcPr>
          <w:p>
            <w:pPr>
              <w:spacing w:after="0"/>
            </w:pPr>
            <w:r>
              <w:rPr>
                <w:sz w:val="16"/>
              </w:rPr>
              <w:t>Content, CSS and JavaScript are overly consolidated</w:t>
            </w:r>
          </w:p>
        </w:tc>
        <w:tc>
          <w:tcPr>
            <w:tcW w:type="dxa" w:w="5400"/>
            <w:vAlign w:val="top"/>
            <w:tcMar>
              <w:top w:w="100" w:type="dxa"/>
              <w:start w:w="110" w:type="dxa"/>
              <w:bottom w:w="100" w:type="dxa"/>
              <w:end w:w="110" w:type="dxa"/>
            </w:tcMar>
            <w:shd w:fill="F8FAFC"/>
          </w:tcPr>
          <w:p>
            <w:pPr>
              <w:spacing w:after="0"/>
            </w:pPr>
            <w:r>
              <w:rPr>
                <w:sz w:val="16"/>
              </w:rPr>
              <w:t>Changes carry avoidable regression and maintenance risk.</w:t>
            </w:r>
          </w:p>
        </w:tc>
        <w:tc>
          <w:tcPr>
            <w:tcW w:type="dxa" w:w="1008"/>
            <w:vAlign w:val="top"/>
            <w:tcMar>
              <w:top w:w="100" w:type="dxa"/>
              <w:start w:w="110" w:type="dxa"/>
              <w:bottom w:w="100" w:type="dxa"/>
              <w:end w:w="110" w:type="dxa"/>
            </w:tcMar>
            <w:shd w:fill="F8FAFC"/>
          </w:tcPr>
          <w:p>
            <w:pPr>
              <w:spacing w:after="0"/>
            </w:pPr>
            <w:r>
              <w:rPr>
                <w:sz w:val="16"/>
              </w:rPr>
              <w:t>P1</w:t>
            </w:r>
          </w:p>
        </w:tc>
      </w:tr>
      <w:tr>
        <w:tc>
          <w:tcPr>
            <w:tcW w:type="dxa" w:w="3240"/>
            <w:vAlign w:val="top"/>
            <w:tcMar>
              <w:top w:w="100" w:type="dxa"/>
              <w:start w:w="110" w:type="dxa"/>
              <w:bottom w:w="100" w:type="dxa"/>
              <w:end w:w="110" w:type="dxa"/>
            </w:tcMar>
          </w:tcPr>
          <w:p>
            <w:pPr>
              <w:spacing w:after="0"/>
            </w:pPr>
            <w:r>
              <w:rPr>
                <w:sz w:val="16"/>
              </w:rPr>
              <w:t>Some claims lack evidence</w:t>
            </w:r>
          </w:p>
        </w:tc>
        <w:tc>
          <w:tcPr>
            <w:tcW w:type="dxa" w:w="5400"/>
            <w:vAlign w:val="top"/>
            <w:tcMar>
              <w:top w:w="100" w:type="dxa"/>
              <w:start w:w="110" w:type="dxa"/>
              <w:bottom w:w="100" w:type="dxa"/>
              <w:end w:w="110" w:type="dxa"/>
            </w:tcMar>
          </w:tcPr>
          <w:p>
            <w:pPr>
              <w:spacing w:after="0"/>
            </w:pPr>
            <w:r>
              <w:rPr>
                <w:sz w:val="16"/>
              </w:rPr>
              <w:t>Professional trust can be weakened by unsupported outcomes.</w:t>
            </w:r>
          </w:p>
        </w:tc>
        <w:tc>
          <w:tcPr>
            <w:tcW w:type="dxa" w:w="1008"/>
            <w:vAlign w:val="top"/>
            <w:tcMar>
              <w:top w:w="100" w:type="dxa"/>
              <w:start w:w="110" w:type="dxa"/>
              <w:bottom w:w="100" w:type="dxa"/>
              <w:end w:w="110" w:type="dxa"/>
            </w:tcMar>
          </w:tcPr>
          <w:p>
            <w:pPr>
              <w:spacing w:after="0"/>
            </w:pPr>
            <w:r>
              <w:rPr>
                <w:sz w:val="16"/>
              </w:rPr>
              <w:t>P0</w:t>
            </w:r>
          </w:p>
        </w:tc>
      </w:tr>
    </w:tbl>
    <w:p>
      <w:pPr>
        <w:spacing w:after="0"/>
      </w:pPr>
    </w:p>
    <w:p>
      <w:pPr>
        <w:pStyle w:val="Heading1"/>
      </w:pPr>
      <w:r>
        <w:t>6. Product and design principles</w:t>
      </w:r>
    </w:p>
    <w:p>
      <w:pPr>
        <w:pStyle w:val="ListBullet"/>
        <w:spacing w:after="44"/>
      </w:pPr>
      <w:r>
        <w:t>Preserve before extending. The restored production site at commit 54dcc41 is the visual authority.</w:t>
      </w:r>
    </w:p>
    <w:p>
      <w:pPr>
        <w:pStyle w:val="ListBullet"/>
        <w:spacing w:after="44"/>
      </w:pPr>
      <w:r>
        <w:t>Proof before biography. Show the work early, then deepen the human story.</w:t>
      </w:r>
    </w:p>
    <w:p>
      <w:pPr>
        <w:pStyle w:val="ListBullet"/>
        <w:spacing w:after="44"/>
      </w:pPr>
      <w:r>
        <w:t>Truth over completeness. A candid coming-soon or empty state is better than invented work, metrics or testimony.</w:t>
      </w:r>
    </w:p>
    <w:p>
      <w:pPr>
        <w:pStyle w:val="ListBullet"/>
        <w:spacing w:after="44"/>
      </w:pPr>
      <w:r>
        <w:t>One visual argument. New UI must belong to the existing editorial system, not introduce cards, pills or dashboard conventions.</w:t>
      </w:r>
    </w:p>
    <w:p>
      <w:pPr>
        <w:pStyle w:val="ListBullet"/>
        <w:spacing w:after="44"/>
      </w:pPr>
      <w:r>
        <w:t>Mechanism must reveal meaning. Expressive interactions are allowed only when they reveal process, material, sequencing or authorship.</w:t>
      </w:r>
    </w:p>
    <w:p>
      <w:pPr>
        <w:pStyle w:val="ListBullet"/>
        <w:spacing w:after="44"/>
      </w:pPr>
      <w:r>
        <w:t>Content before animation. Essential content, actions and navigation must exist in the document before enhancement runs.</w:t>
      </w:r>
    </w:p>
    <w:p>
      <w:pPr>
        <w:pStyle w:val="ListBullet"/>
        <w:spacing w:after="44"/>
      </w:pPr>
      <w:r>
        <w:t>Quiet confidence. Motion, labels and controls should feel precise and deliberate rather than theatrical.</w:t>
      </w:r>
    </w:p>
    <w:p>
      <w:pPr>
        <w:pStyle w:val="Heading2"/>
      </w:pPr>
      <w:r>
        <w:t>6.1 Immutable visual characteristics</w:t>
      </w:r>
    </w:p>
    <w:p>
      <w:pPr>
        <w:pStyle w:val="ListBullet"/>
        <w:spacing w:after="44"/>
      </w:pPr>
      <w:r>
        <w:t>Ultramarine, paper and ink remain the governing neutral/accent relationship; authored project colours remain project-specific.</w:t>
      </w:r>
    </w:p>
    <w:p>
      <w:pPr>
        <w:pStyle w:val="ListBullet"/>
        <w:spacing w:after="44"/>
      </w:pPr>
      <w:r>
        <w:t>Retain the current typography hierarchy and three-typeface ceiling.</w:t>
      </w:r>
    </w:p>
    <w:p>
      <w:pPr>
        <w:pStyle w:val="ListBullet"/>
        <w:spacing w:after="44"/>
      </w:pPr>
      <w:r>
        <w:t>Retain low density, sharp geometry, asymmetric air, quiet motion, portrait treatment and signature/footer character.</w:t>
      </w:r>
    </w:p>
    <w:p>
      <w:pPr>
        <w:pStyle w:val="ListBullet"/>
        <w:spacing w:after="44"/>
      </w:pPr>
      <w:r>
        <w:t>Do not replace the site with the proof-sheet interface, Material 3, a generic portfolio template or a component-library aesthetic.</w:t>
      </w:r>
    </w:p>
    <w:p>
      <w:pPr>
        <w:pStyle w:val="Heading1"/>
      </w:pPr>
      <w:r>
        <w:t>7. Scope</w:t>
      </w:r>
    </w:p>
    <w:p>
      <w:pPr>
        <w:pStyle w:val="Heading2"/>
      </w:pPr>
      <w:r>
        <w:t>7.1 In scope</w:t>
      </w:r>
    </w:p>
    <w:p>
      <w:pPr>
        <w:pStyle w:val="ListBullet"/>
        <w:spacing w:after="44"/>
      </w:pPr>
      <w:r>
        <w:t>Reordered homepage with selected work before profile, followed by services, client proof and contact.</w:t>
      </w:r>
    </w:p>
    <w:p>
      <w:pPr>
        <w:pStyle w:val="ListBullet"/>
        <w:spacing w:after="44"/>
      </w:pPr>
      <w:r>
        <w:t>Mixed publication states for projects, with one complete flagship case study at launch.</w:t>
      </w:r>
    </w:p>
    <w:p>
      <w:pPr>
        <w:pStyle w:val="ListBullet"/>
        <w:spacing w:after="44"/>
      </w:pPr>
      <w:r>
        <w:t>New Explorations and Community destinations with supplied entries or truthful empty states.</w:t>
      </w:r>
    </w:p>
    <w:p>
      <w:pPr>
        <w:pStyle w:val="ListBullet"/>
        <w:spacing w:after="44"/>
      </w:pPr>
      <w:r>
        <w:t>Expanded full-screen editorial Index containing all routes, contact, CV and preference controls.</w:t>
      </w:r>
    </w:p>
    <w:p>
      <w:pPr>
        <w:pStyle w:val="ListBullet"/>
        <w:spacing w:after="44"/>
      </w:pPr>
      <w:r>
        <w:t>Downloadable CV linked from About and Index.</w:t>
      </w:r>
    </w:p>
    <w:p>
      <w:pPr>
        <w:pStyle w:val="ListBullet"/>
        <w:spacing w:after="44"/>
      </w:pPr>
      <w:r>
        <w:t>Five-service swatch interaction, experience ledger and controlled client-logo loop.</w:t>
      </w:r>
    </w:p>
    <w:p>
      <w:pPr>
        <w:pStyle w:val="ListBullet"/>
        <w:spacing w:after="44"/>
      </w:pPr>
      <w:r>
        <w:t>Server-backed contact form, updated privacy content, structured error handling and abuse protection.</w:t>
      </w:r>
    </w:p>
    <w:p>
      <w:pPr>
        <w:pStyle w:val="ListBullet"/>
        <w:spacing w:after="44"/>
      </w:pPr>
      <w:r>
        <w:t>Content-model split, build-time validation, CSS/JS consolidation and production-output cleanup.</w:t>
      </w:r>
    </w:p>
    <w:p>
      <w:pPr>
        <w:pStyle w:val="ListBullet"/>
        <w:spacing w:after="44"/>
      </w:pPr>
      <w:r>
        <w:t>Accessibility, performance, browser, security and visual-regression release gates.</w:t>
      </w:r>
    </w:p>
    <w:p>
      <w:pPr>
        <w:pStyle w:val="Heading2"/>
      </w:pPr>
      <w:r>
        <w:t>7.2 Explicit non-goals</w:t>
      </w:r>
    </w:p>
    <w:p>
      <w:pPr>
        <w:pStyle w:val="ListBullet"/>
        <w:spacing w:after="44"/>
      </w:pPr>
      <w:r>
        <w:t>Recreating the rejected thesis-aligned redesign or replacing the current visual language.</w:t>
      </w:r>
    </w:p>
    <w:p>
      <w:pPr>
        <w:pStyle w:val="ListBullet"/>
        <w:spacing w:after="44"/>
      </w:pPr>
      <w:r>
        <w:t>Publishing incomplete projects as finished work or inventing outcomes, testimonials, communities or principles.</w:t>
      </w:r>
    </w:p>
    <w:p>
      <w:pPr>
        <w:pStyle w:val="ListBullet"/>
        <w:spacing w:after="44"/>
      </w:pPr>
      <w:r>
        <w:t>Adding authentication, a database, a CMS, advertising trackers or a large analytics stack.</w:t>
      </w:r>
    </w:p>
    <w:p>
      <w:pPr>
        <w:pStyle w:val="ListBullet"/>
        <w:spacing w:after="44"/>
      </w:pPr>
      <w:r>
        <w:t>Making every proof-sheet motif global, adopting a fourth typeface, a custom cursor or mandatory smooth-scroll libraries.</w:t>
      </w:r>
    </w:p>
    <w:p>
      <w:pPr>
        <w:pStyle w:val="ListBullet"/>
        <w:spacing w:after="44"/>
      </w:pPr>
      <w:r>
        <w:t>Deploying material visual changes without preview review and explicit owner approval.</w:t>
      </w:r>
    </w:p>
    <w:p>
      <w:pPr>
        <w:pStyle w:val="Heading1"/>
      </w:pPr>
      <w:r>
        <w:t>8. Information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01828"/>
            <w:vAlign w:val="center"/>
            <w:tcMar>
              <w:top w:w="100" w:type="dxa"/>
              <w:start w:w="110" w:type="dxa"/>
              <w:bottom w:w="100" w:type="dxa"/>
              <w:end w:w="110" w:type="dxa"/>
            </w:tcMar>
          </w:tcPr>
          <w:p>
            <w:r>
              <w:rPr>
                <w:b/>
                <w:color w:val="FFFFFF"/>
                <w:sz w:val="14"/>
              </w:rPr>
              <w:t>ROUTE</w:t>
            </w:r>
          </w:p>
        </w:tc>
        <w:tc>
          <w:tcPr>
            <w:tcW w:type="dxa" w:w="5040"/>
            <w:shd w:fill="101828"/>
            <w:vAlign w:val="center"/>
            <w:tcMar>
              <w:top w:w="100" w:type="dxa"/>
              <w:start w:w="110" w:type="dxa"/>
              <w:bottom w:w="100" w:type="dxa"/>
              <w:end w:w="110" w:type="dxa"/>
            </w:tcMar>
          </w:tcPr>
          <w:p>
            <w:r>
              <w:rPr>
                <w:b/>
                <w:color w:val="FFFFFF"/>
                <w:sz w:val="14"/>
              </w:rPr>
              <w:t>PURPOSE</w:t>
            </w:r>
          </w:p>
        </w:tc>
        <w:tc>
          <w:tcPr>
            <w:tcW w:type="dxa" w:w="2664"/>
            <w:shd w:fill="101828"/>
            <w:vAlign w:val="center"/>
            <w:tcMar>
              <w:top w:w="100" w:type="dxa"/>
              <w:start w:w="110" w:type="dxa"/>
              <w:bottom w:w="100" w:type="dxa"/>
              <w:end w:w="110" w:type="dxa"/>
            </w:tcMar>
          </w:tcPr>
          <w:p>
            <w:r>
              <w:rPr>
                <w:b/>
                <w:color w:val="FFFFFF"/>
                <w:sz w:val="14"/>
              </w:rPr>
              <w:t>LAUNCH STATE</w:t>
            </w:r>
          </w:p>
        </w:tc>
      </w:tr>
      <w:tr>
        <w:tc>
          <w:tcPr>
            <w:tcW w:type="dxa" w:w="1872"/>
            <w:vAlign w:val="top"/>
            <w:tcMar>
              <w:top w:w="100" w:type="dxa"/>
              <w:start w:w="110" w:type="dxa"/>
              <w:bottom w:w="100" w:type="dxa"/>
              <w:end w:w="110" w:type="dxa"/>
            </w:tcMar>
          </w:tcPr>
          <w:p>
            <w:pPr>
              <w:spacing w:after="0"/>
            </w:pPr>
            <w:r>
              <w:rPr>
                <w:sz w:val="16"/>
              </w:rPr>
              <w:t>Home</w:t>
            </w:r>
          </w:p>
        </w:tc>
        <w:tc>
          <w:tcPr>
            <w:tcW w:type="dxa" w:w="5040"/>
            <w:vAlign w:val="top"/>
            <w:tcMar>
              <w:top w:w="100" w:type="dxa"/>
              <w:start w:w="110" w:type="dxa"/>
              <w:bottom w:w="100" w:type="dxa"/>
              <w:end w:w="110" w:type="dxa"/>
            </w:tcMar>
          </w:tcPr>
          <w:p>
            <w:pPr>
              <w:spacing w:after="0"/>
            </w:pPr>
            <w:r>
              <w:rPr>
                <w:sz w:val="16"/>
              </w:rPr>
              <w:t>Positioning, selected proof, profile, services, trust and contact</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Work</w:t>
            </w:r>
          </w:p>
        </w:tc>
        <w:tc>
          <w:tcPr>
            <w:tcW w:type="dxa" w:w="5040"/>
            <w:vAlign w:val="top"/>
            <w:tcMar>
              <w:top w:w="100" w:type="dxa"/>
              <w:start w:w="110" w:type="dxa"/>
              <w:bottom w:w="100" w:type="dxa"/>
              <w:end w:w="110" w:type="dxa"/>
            </w:tcMar>
            <w:shd w:fill="F8FAFC"/>
          </w:tcPr>
          <w:p>
            <w:pPr>
              <w:spacing w:after="0"/>
            </w:pPr>
            <w:r>
              <w:rPr>
                <w:sz w:val="16"/>
              </w:rPr>
              <w:t>Published and forthcoming professional projects</w:t>
            </w:r>
          </w:p>
        </w:tc>
        <w:tc>
          <w:tcPr>
            <w:tcW w:type="dxa" w:w="2664"/>
            <w:vAlign w:val="top"/>
            <w:tcMar>
              <w:top w:w="100" w:type="dxa"/>
              <w:start w:w="110" w:type="dxa"/>
              <w:bottom w:w="100" w:type="dxa"/>
              <w:end w:w="110" w:type="dxa"/>
            </w:tcMar>
            <w:shd w:fill="F8FAFC"/>
          </w:tcPr>
          <w:p>
            <w:pPr>
              <w:spacing w:after="0"/>
            </w:pPr>
            <w:r>
              <w:rPr>
                <w:sz w:val="16"/>
              </w:rPr>
              <w:t>Required</w:t>
            </w:r>
          </w:p>
        </w:tc>
      </w:tr>
      <w:tr>
        <w:tc>
          <w:tcPr>
            <w:tcW w:type="dxa" w:w="1872"/>
            <w:vAlign w:val="top"/>
            <w:tcMar>
              <w:top w:w="100" w:type="dxa"/>
              <w:start w:w="110" w:type="dxa"/>
              <w:bottom w:w="100" w:type="dxa"/>
              <w:end w:w="110" w:type="dxa"/>
            </w:tcMar>
          </w:tcPr>
          <w:p>
            <w:pPr>
              <w:spacing w:after="0"/>
            </w:pPr>
            <w:r>
              <w:rPr>
                <w:sz w:val="16"/>
              </w:rPr>
              <w:t>Work / TEDx RSU</w:t>
            </w:r>
          </w:p>
        </w:tc>
        <w:tc>
          <w:tcPr>
            <w:tcW w:type="dxa" w:w="5040"/>
            <w:vAlign w:val="top"/>
            <w:tcMar>
              <w:top w:w="100" w:type="dxa"/>
              <w:start w:w="110" w:type="dxa"/>
              <w:bottom w:w="100" w:type="dxa"/>
              <w:end w:w="110" w:type="dxa"/>
            </w:tcMar>
          </w:tcPr>
          <w:p>
            <w:pPr>
              <w:spacing w:after="0"/>
            </w:pPr>
            <w:r>
              <w:rPr>
                <w:sz w:val="16"/>
              </w:rPr>
              <w:t>Flagship end-to-end case study</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Explorations</w:t>
            </w:r>
          </w:p>
        </w:tc>
        <w:tc>
          <w:tcPr>
            <w:tcW w:type="dxa" w:w="5040"/>
            <w:vAlign w:val="top"/>
            <w:tcMar>
              <w:top w:w="100" w:type="dxa"/>
              <w:start w:w="110" w:type="dxa"/>
              <w:bottom w:w="100" w:type="dxa"/>
              <w:end w:w="110" w:type="dxa"/>
            </w:tcMar>
            <w:shd w:fill="F8FAFC"/>
          </w:tcPr>
          <w:p>
            <w:pPr>
              <w:spacing w:after="0"/>
            </w:pPr>
            <w:r>
              <w:rPr>
                <w:sz w:val="16"/>
              </w:rPr>
              <w:t>Self-initiated, experimental or process-led work</w:t>
            </w:r>
          </w:p>
        </w:tc>
        <w:tc>
          <w:tcPr>
            <w:tcW w:type="dxa" w:w="2664"/>
            <w:vAlign w:val="top"/>
            <w:tcMar>
              <w:top w:w="100" w:type="dxa"/>
              <w:start w:w="110" w:type="dxa"/>
              <w:bottom w:w="100" w:type="dxa"/>
              <w:end w:w="110" w:type="dxa"/>
            </w:tcMar>
            <w:shd w:fill="F8FAFC"/>
          </w:tcPr>
          <w:p>
            <w:pPr>
              <w:spacing w:after="0"/>
            </w:pPr>
            <w:r>
              <w:rPr>
                <w:sz w:val="16"/>
              </w:rPr>
              <w:t>Required; truthful empty state allowed</w:t>
            </w:r>
          </w:p>
        </w:tc>
      </w:tr>
      <w:tr>
        <w:tc>
          <w:tcPr>
            <w:tcW w:type="dxa" w:w="1872"/>
            <w:vAlign w:val="top"/>
            <w:tcMar>
              <w:top w:w="100" w:type="dxa"/>
              <w:start w:w="110" w:type="dxa"/>
              <w:bottom w:w="100" w:type="dxa"/>
              <w:end w:w="110" w:type="dxa"/>
            </w:tcMar>
          </w:tcPr>
          <w:p>
            <w:pPr>
              <w:spacing w:after="0"/>
            </w:pPr>
            <w:r>
              <w:rPr>
                <w:sz w:val="16"/>
              </w:rPr>
              <w:t>Community</w:t>
            </w:r>
          </w:p>
        </w:tc>
        <w:tc>
          <w:tcPr>
            <w:tcW w:type="dxa" w:w="5040"/>
            <w:vAlign w:val="top"/>
            <w:tcMar>
              <w:top w:w="100" w:type="dxa"/>
              <w:start w:w="110" w:type="dxa"/>
              <w:bottom w:w="100" w:type="dxa"/>
              <w:end w:w="110" w:type="dxa"/>
            </w:tcMar>
          </w:tcPr>
          <w:p>
            <w:pPr>
              <w:spacing w:after="0"/>
            </w:pPr>
            <w:r>
              <w:rPr>
                <w:sz w:val="16"/>
              </w:rPr>
              <w:t>Community activity, contribution and convening</w:t>
            </w:r>
          </w:p>
        </w:tc>
        <w:tc>
          <w:tcPr>
            <w:tcW w:type="dxa" w:w="2664"/>
            <w:vAlign w:val="top"/>
            <w:tcMar>
              <w:top w:w="100" w:type="dxa"/>
              <w:start w:w="110" w:type="dxa"/>
              <w:bottom w:w="100" w:type="dxa"/>
              <w:end w:w="110" w:type="dxa"/>
            </w:tcMar>
          </w:tcPr>
          <w:p>
            <w:pPr>
              <w:spacing w:after="0"/>
            </w:pPr>
            <w:r>
              <w:rPr>
                <w:sz w:val="16"/>
              </w:rPr>
              <w:t>Required; truthful empty state allowed</w:t>
            </w:r>
          </w:p>
        </w:tc>
      </w:tr>
      <w:tr>
        <w:tc>
          <w:tcPr>
            <w:tcW w:type="dxa" w:w="1872"/>
            <w:vAlign w:val="top"/>
            <w:tcMar>
              <w:top w:w="100" w:type="dxa"/>
              <w:start w:w="110" w:type="dxa"/>
              <w:bottom w:w="100" w:type="dxa"/>
              <w:end w:w="110" w:type="dxa"/>
            </w:tcMar>
            <w:shd w:fill="F8FAFC"/>
          </w:tcPr>
          <w:p>
            <w:pPr>
              <w:spacing w:after="0"/>
            </w:pPr>
            <w:r>
              <w:rPr>
                <w:sz w:val="16"/>
              </w:rPr>
              <w:t>About</w:t>
            </w:r>
          </w:p>
        </w:tc>
        <w:tc>
          <w:tcPr>
            <w:tcW w:type="dxa" w:w="5040"/>
            <w:vAlign w:val="top"/>
            <w:tcMar>
              <w:top w:w="100" w:type="dxa"/>
              <w:start w:w="110" w:type="dxa"/>
              <w:bottom w:w="100" w:type="dxa"/>
              <w:end w:w="110" w:type="dxa"/>
            </w:tcMar>
            <w:shd w:fill="F8FAFC"/>
          </w:tcPr>
          <w:p>
            <w:pPr>
              <w:spacing w:after="0"/>
            </w:pPr>
            <w:r>
              <w:rPr>
                <w:sz w:val="16"/>
              </w:rPr>
              <w:t>Biography, experience, capabilities and CV access</w:t>
            </w:r>
          </w:p>
        </w:tc>
        <w:tc>
          <w:tcPr>
            <w:tcW w:type="dxa" w:w="2664"/>
            <w:vAlign w:val="top"/>
            <w:tcMar>
              <w:top w:w="100" w:type="dxa"/>
              <w:start w:w="110" w:type="dxa"/>
              <w:bottom w:w="100" w:type="dxa"/>
              <w:end w:w="110" w:type="dxa"/>
            </w:tcMar>
            <w:shd w:fill="F8FAFC"/>
          </w:tcPr>
          <w:p>
            <w:pPr>
              <w:spacing w:after="0"/>
            </w:pPr>
            <w:r>
              <w:rPr>
                <w:sz w:val="16"/>
              </w:rPr>
              <w:t>Required</w:t>
            </w:r>
          </w:p>
        </w:tc>
      </w:tr>
      <w:tr>
        <w:tc>
          <w:tcPr>
            <w:tcW w:type="dxa" w:w="1872"/>
            <w:vAlign w:val="top"/>
            <w:tcMar>
              <w:top w:w="100" w:type="dxa"/>
              <w:start w:w="110" w:type="dxa"/>
              <w:bottom w:w="100" w:type="dxa"/>
              <w:end w:w="110" w:type="dxa"/>
            </w:tcMar>
          </w:tcPr>
          <w:p>
            <w:pPr>
              <w:spacing w:after="0"/>
            </w:pPr>
            <w:r>
              <w:rPr>
                <w:sz w:val="16"/>
              </w:rPr>
              <w:t>Services</w:t>
            </w:r>
          </w:p>
        </w:tc>
        <w:tc>
          <w:tcPr>
            <w:tcW w:type="dxa" w:w="5040"/>
            <w:vAlign w:val="top"/>
            <w:tcMar>
              <w:top w:w="100" w:type="dxa"/>
              <w:start w:w="110" w:type="dxa"/>
              <w:bottom w:w="100" w:type="dxa"/>
              <w:end w:w="110" w:type="dxa"/>
            </w:tcMar>
          </w:tcPr>
          <w:p>
            <w:pPr>
              <w:spacing w:after="0"/>
            </w:pPr>
            <w:r>
              <w:rPr>
                <w:sz w:val="16"/>
              </w:rPr>
              <w:t>Five clear service offers and engagement fit</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Writing</w:t>
            </w:r>
          </w:p>
        </w:tc>
        <w:tc>
          <w:tcPr>
            <w:tcW w:type="dxa" w:w="5040"/>
            <w:vAlign w:val="top"/>
            <w:tcMar>
              <w:top w:w="100" w:type="dxa"/>
              <w:start w:w="110" w:type="dxa"/>
              <w:bottom w:w="100" w:type="dxa"/>
              <w:end w:w="110" w:type="dxa"/>
            </w:tcMar>
            <w:shd w:fill="F8FAFC"/>
          </w:tcPr>
          <w:p>
            <w:pPr>
              <w:spacing w:after="0"/>
            </w:pPr>
            <w:r>
              <w:rPr>
                <w:sz w:val="16"/>
              </w:rPr>
              <w:t>Existing essays and future authored thinking</w:t>
            </w:r>
          </w:p>
        </w:tc>
        <w:tc>
          <w:tcPr>
            <w:tcW w:type="dxa" w:w="2664"/>
            <w:vAlign w:val="top"/>
            <w:tcMar>
              <w:top w:w="100" w:type="dxa"/>
              <w:start w:w="110" w:type="dxa"/>
              <w:bottom w:w="100" w:type="dxa"/>
              <w:end w:w="110" w:type="dxa"/>
            </w:tcMar>
            <w:shd w:fill="F8FAFC"/>
          </w:tcPr>
          <w:p>
            <w:pPr>
              <w:spacing w:after="0"/>
            </w:pPr>
            <w:r>
              <w:rPr>
                <w:sz w:val="16"/>
              </w:rPr>
              <w:t>Retain</w:t>
            </w:r>
          </w:p>
        </w:tc>
      </w:tr>
      <w:tr>
        <w:tc>
          <w:tcPr>
            <w:tcW w:type="dxa" w:w="1872"/>
            <w:vAlign w:val="top"/>
            <w:tcMar>
              <w:top w:w="100" w:type="dxa"/>
              <w:start w:w="110" w:type="dxa"/>
              <w:bottom w:w="100" w:type="dxa"/>
              <w:end w:w="110" w:type="dxa"/>
            </w:tcMar>
          </w:tcPr>
          <w:p>
            <w:pPr>
              <w:spacing w:after="0"/>
            </w:pPr>
            <w:r>
              <w:rPr>
                <w:sz w:val="16"/>
              </w:rPr>
              <w:t>Contact</w:t>
            </w:r>
          </w:p>
        </w:tc>
        <w:tc>
          <w:tcPr>
            <w:tcW w:type="dxa" w:w="5040"/>
            <w:vAlign w:val="top"/>
            <w:tcMar>
              <w:top w:w="100" w:type="dxa"/>
              <w:start w:w="110" w:type="dxa"/>
              <w:bottom w:w="100" w:type="dxa"/>
              <w:end w:w="110" w:type="dxa"/>
            </w:tcMar>
          </w:tcPr>
          <w:p>
            <w:pPr>
              <w:spacing w:after="0"/>
            </w:pPr>
            <w:r>
              <w:rPr>
                <w:sz w:val="16"/>
              </w:rPr>
              <w:t>Direct email and reliable form submission</w:t>
            </w:r>
          </w:p>
        </w:tc>
        <w:tc>
          <w:tcPr>
            <w:tcW w:type="dxa" w:w="2664"/>
            <w:vAlign w:val="top"/>
            <w:tcMar>
              <w:top w:w="100" w:type="dxa"/>
              <w:start w:w="110" w:type="dxa"/>
              <w:bottom w:w="100" w:type="dxa"/>
              <w:end w:w="110" w:type="dxa"/>
            </w:tcMar>
          </w:tcPr>
          <w:p>
            <w:pPr>
              <w:spacing w:after="0"/>
            </w:pPr>
            <w:r>
              <w:rPr>
                <w:sz w:val="16"/>
              </w:rPr>
              <w:t>Required</w:t>
            </w:r>
          </w:p>
        </w:tc>
      </w:tr>
      <w:tr>
        <w:tc>
          <w:tcPr>
            <w:tcW w:type="dxa" w:w="1872"/>
            <w:vAlign w:val="top"/>
            <w:tcMar>
              <w:top w:w="100" w:type="dxa"/>
              <w:start w:w="110" w:type="dxa"/>
              <w:bottom w:w="100" w:type="dxa"/>
              <w:end w:w="110" w:type="dxa"/>
            </w:tcMar>
            <w:shd w:fill="F8FAFC"/>
          </w:tcPr>
          <w:p>
            <w:pPr>
              <w:spacing w:after="0"/>
            </w:pPr>
            <w:r>
              <w:rPr>
                <w:sz w:val="16"/>
              </w:rPr>
              <w:t>Privacy</w:t>
            </w:r>
          </w:p>
        </w:tc>
        <w:tc>
          <w:tcPr>
            <w:tcW w:type="dxa" w:w="5040"/>
            <w:vAlign w:val="top"/>
            <w:tcMar>
              <w:top w:w="100" w:type="dxa"/>
              <w:start w:w="110" w:type="dxa"/>
              <w:bottom w:w="100" w:type="dxa"/>
              <w:end w:w="110" w:type="dxa"/>
            </w:tcMar>
            <w:shd w:fill="F8FAFC"/>
          </w:tcPr>
          <w:p>
            <w:pPr>
              <w:spacing w:after="0"/>
            </w:pPr>
            <w:r>
              <w:rPr>
                <w:sz w:val="16"/>
              </w:rPr>
              <w:t>Contact-data and site-privacy disclosure</w:t>
            </w:r>
          </w:p>
        </w:tc>
        <w:tc>
          <w:tcPr>
            <w:tcW w:type="dxa" w:w="2664"/>
            <w:vAlign w:val="top"/>
            <w:tcMar>
              <w:top w:w="100" w:type="dxa"/>
              <w:start w:w="110" w:type="dxa"/>
              <w:bottom w:w="100" w:type="dxa"/>
              <w:end w:w="110" w:type="dxa"/>
            </w:tcMar>
            <w:shd w:fill="F8FAFC"/>
          </w:tcPr>
          <w:p>
            <w:pPr>
              <w:spacing w:after="0"/>
            </w:pPr>
            <w:r>
              <w:rPr>
                <w:sz w:val="16"/>
              </w:rPr>
              <w:t>Footer only</w:t>
            </w:r>
          </w:p>
        </w:tc>
      </w:tr>
    </w:tbl>
    <w:p>
      <w:pPr>
        <w:spacing w:after="0"/>
      </w:pPr>
    </w:p>
    <w:p>
      <w:pPr>
        <w:pStyle w:val="Heading2"/>
      </w:pPr>
      <w:r>
        <w:t>8.1 Navigation model</w:t>
      </w:r>
    </w:p>
    <w:p>
      <w:pPr>
        <w:pStyle w:val="ListBullet"/>
        <w:spacing w:after="44"/>
      </w:pPr>
      <w:r>
        <w:t>Keep the desktop navigation persistent and visually quiet.</w:t>
      </w:r>
    </w:p>
    <w:p>
      <w:pPr>
        <w:pStyle w:val="ListBullet"/>
        <w:spacing w:after="44"/>
      </w:pPr>
      <w:r>
        <w:t>Use the Index as the comprehensive navigation layer; it must include every route, contact details, CV and theme/motion preferences.</w:t>
      </w:r>
    </w:p>
    <w:p>
      <w:pPr>
        <w:pStyle w:val="ListBullet"/>
        <w:spacing w:after="44"/>
      </w:pPr>
      <w:r>
        <w:t>Do not introduce a bottom navigation bar unless testing demonstrates a clear benefit without compromising the visual character.</w:t>
      </w:r>
    </w:p>
    <w:p>
      <w:pPr>
        <w:pStyle w:val="Heading1"/>
      </w:pPr>
      <w:r>
        <w:t>9. Functional requirements by surface</w:t>
      </w:r>
    </w:p>
    <w:p>
      <w:pPr>
        <w:pStyle w:val="Heading2"/>
      </w:pPr>
      <w:r>
        <w:t>9.1 Homepage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101828"/>
            <w:vAlign w:val="center"/>
            <w:tcMar>
              <w:top w:w="100" w:type="dxa"/>
              <w:start w:w="110" w:type="dxa"/>
              <w:bottom w:w="100" w:type="dxa"/>
              <w:end w:w="110" w:type="dxa"/>
            </w:tcMar>
          </w:tcPr>
          <w:p>
            <w:r>
              <w:rPr>
                <w:b/>
                <w:color w:val="FFFFFF"/>
                <w:sz w:val="14"/>
              </w:rPr>
              <w:t>ORDER</w:t>
            </w:r>
          </w:p>
        </w:tc>
        <w:tc>
          <w:tcPr>
            <w:tcW w:type="dxa" w:w="2088"/>
            <w:shd w:fill="101828"/>
            <w:vAlign w:val="center"/>
            <w:tcMar>
              <w:top w:w="100" w:type="dxa"/>
              <w:start w:w="110" w:type="dxa"/>
              <w:bottom w:w="100" w:type="dxa"/>
              <w:end w:w="110" w:type="dxa"/>
            </w:tcMar>
          </w:tcPr>
          <w:p>
            <w:r>
              <w:rPr>
                <w:b/>
                <w:color w:val="FFFFFF"/>
                <w:sz w:val="14"/>
              </w:rPr>
              <w:t>MODULE</w:t>
            </w:r>
          </w:p>
        </w:tc>
        <w:tc>
          <w:tcPr>
            <w:tcW w:type="dxa" w:w="6840"/>
            <w:shd w:fill="101828"/>
            <w:vAlign w:val="center"/>
            <w:tcMar>
              <w:top w:w="100" w:type="dxa"/>
              <w:start w:w="110" w:type="dxa"/>
              <w:bottom w:w="100" w:type="dxa"/>
              <w:end w:w="110" w:type="dxa"/>
            </w:tcMar>
          </w:tcPr>
          <w:p>
            <w:r>
              <w:rPr>
                <w:b/>
                <w:color w:val="FFFFFF"/>
                <w:sz w:val="14"/>
              </w:rPr>
              <w:t>REQUIREMENT</w:t>
            </w:r>
          </w:p>
        </w:tc>
      </w:tr>
      <w:tr>
        <w:tc>
          <w:tcPr>
            <w:tcW w:type="dxa" w:w="648"/>
            <w:vAlign w:val="top"/>
            <w:tcMar>
              <w:top w:w="100" w:type="dxa"/>
              <w:start w:w="110" w:type="dxa"/>
              <w:bottom w:w="100" w:type="dxa"/>
              <w:end w:w="110" w:type="dxa"/>
            </w:tcMar>
          </w:tcPr>
          <w:p>
            <w:pPr>
              <w:spacing w:after="0"/>
            </w:pPr>
            <w:r>
              <w:rPr>
                <w:sz w:val="16"/>
              </w:rPr>
              <w:t>1</w:t>
            </w:r>
          </w:p>
        </w:tc>
        <w:tc>
          <w:tcPr>
            <w:tcW w:type="dxa" w:w="2088"/>
            <w:vAlign w:val="top"/>
            <w:tcMar>
              <w:top w:w="100" w:type="dxa"/>
              <w:start w:w="110" w:type="dxa"/>
              <w:bottom w:w="100" w:type="dxa"/>
              <w:end w:w="110" w:type="dxa"/>
            </w:tcMar>
          </w:tcPr>
          <w:p>
            <w:pPr>
              <w:spacing w:after="0"/>
            </w:pPr>
            <w:r>
              <w:rPr>
                <w:sz w:val="16"/>
              </w:rPr>
              <w:t>Hero</w:t>
            </w:r>
          </w:p>
        </w:tc>
        <w:tc>
          <w:tcPr>
            <w:tcW w:type="dxa" w:w="6840"/>
            <w:vAlign w:val="top"/>
            <w:tcMar>
              <w:top w:w="100" w:type="dxa"/>
              <w:start w:w="110" w:type="dxa"/>
              <w:bottom w:w="100" w:type="dxa"/>
              <w:end w:w="110" w:type="dxa"/>
            </w:tcMar>
          </w:tcPr>
          <w:p>
            <w:pPr>
              <w:spacing w:after="0"/>
            </w:pPr>
            <w:r>
              <w:rPr>
                <w:sz w:val="16"/>
              </w:rPr>
              <w:t>Retain the restored composition and positioning. Add a support line only if it does not weaken the hierarchy.</w:t>
            </w:r>
          </w:p>
        </w:tc>
      </w:tr>
      <w:tr>
        <w:tc>
          <w:tcPr>
            <w:tcW w:type="dxa" w:w="648"/>
            <w:vAlign w:val="top"/>
            <w:tcMar>
              <w:top w:w="100" w:type="dxa"/>
              <w:start w:w="110" w:type="dxa"/>
              <w:bottom w:w="100" w:type="dxa"/>
              <w:end w:w="110" w:type="dxa"/>
            </w:tcMar>
            <w:shd w:fill="F8FAFC"/>
          </w:tcPr>
          <w:p>
            <w:pPr>
              <w:spacing w:after="0"/>
            </w:pPr>
            <w:r>
              <w:rPr>
                <w:sz w:val="16"/>
              </w:rPr>
              <w:t>2</w:t>
            </w:r>
          </w:p>
        </w:tc>
        <w:tc>
          <w:tcPr>
            <w:tcW w:type="dxa" w:w="2088"/>
            <w:vAlign w:val="top"/>
            <w:tcMar>
              <w:top w:w="100" w:type="dxa"/>
              <w:start w:w="110" w:type="dxa"/>
              <w:bottom w:w="100" w:type="dxa"/>
              <w:end w:w="110" w:type="dxa"/>
            </w:tcMar>
            <w:shd w:fill="F8FAFC"/>
          </w:tcPr>
          <w:p>
            <w:pPr>
              <w:spacing w:after="0"/>
            </w:pPr>
            <w:r>
              <w:rPr>
                <w:sz w:val="16"/>
              </w:rPr>
              <w:t>Selected work</w:t>
            </w:r>
          </w:p>
        </w:tc>
        <w:tc>
          <w:tcPr>
            <w:tcW w:type="dxa" w:w="6840"/>
            <w:vAlign w:val="top"/>
            <w:tcMar>
              <w:top w:w="100" w:type="dxa"/>
              <w:start w:w="110" w:type="dxa"/>
              <w:bottom w:w="100" w:type="dxa"/>
              <w:end w:w="110" w:type="dxa"/>
            </w:tcMar>
            <w:shd w:fill="F8FAFC"/>
          </w:tcPr>
          <w:p>
            <w:pPr>
              <w:spacing w:after="0"/>
            </w:pPr>
            <w:r>
              <w:rPr>
                <w:sz w:val="16"/>
              </w:rPr>
              <w:t>Show published work first. Cards/links must disclose publication state and be keyboard-operable.</w:t>
            </w:r>
          </w:p>
        </w:tc>
      </w:tr>
      <w:tr>
        <w:tc>
          <w:tcPr>
            <w:tcW w:type="dxa" w:w="648"/>
            <w:vAlign w:val="top"/>
            <w:tcMar>
              <w:top w:w="100" w:type="dxa"/>
              <w:start w:w="110" w:type="dxa"/>
              <w:bottom w:w="100" w:type="dxa"/>
              <w:end w:w="110" w:type="dxa"/>
            </w:tcMar>
          </w:tcPr>
          <w:p>
            <w:pPr>
              <w:spacing w:after="0"/>
            </w:pPr>
            <w:r>
              <w:rPr>
                <w:sz w:val="16"/>
              </w:rPr>
              <w:t>3</w:t>
            </w:r>
          </w:p>
        </w:tc>
        <w:tc>
          <w:tcPr>
            <w:tcW w:type="dxa" w:w="2088"/>
            <w:vAlign w:val="top"/>
            <w:tcMar>
              <w:top w:w="100" w:type="dxa"/>
              <w:start w:w="110" w:type="dxa"/>
              <w:bottom w:w="100" w:type="dxa"/>
              <w:end w:w="110" w:type="dxa"/>
            </w:tcMar>
          </w:tcPr>
          <w:p>
            <w:pPr>
              <w:spacing w:after="0"/>
            </w:pPr>
            <w:r>
              <w:rPr>
                <w:sz w:val="16"/>
              </w:rPr>
              <w:t>Profile / portrait</w:t>
            </w:r>
          </w:p>
        </w:tc>
        <w:tc>
          <w:tcPr>
            <w:tcW w:type="dxa" w:w="6840"/>
            <w:vAlign w:val="top"/>
            <w:tcMar>
              <w:top w:w="100" w:type="dxa"/>
              <w:start w:w="110" w:type="dxa"/>
              <w:bottom w:w="100" w:type="dxa"/>
              <w:end w:w="110" w:type="dxa"/>
            </w:tcMar>
          </w:tcPr>
          <w:p>
            <w:pPr>
              <w:spacing w:after="0"/>
            </w:pPr>
            <w:r>
              <w:rPr>
                <w:sz w:val="16"/>
              </w:rPr>
              <w:t>Retain the quiet photographic treatment; do not restore the retired halftone portrait.</w:t>
            </w:r>
          </w:p>
        </w:tc>
      </w:tr>
      <w:tr>
        <w:tc>
          <w:tcPr>
            <w:tcW w:type="dxa" w:w="648"/>
            <w:vAlign w:val="top"/>
            <w:tcMar>
              <w:top w:w="100" w:type="dxa"/>
              <w:start w:w="110" w:type="dxa"/>
              <w:bottom w:w="100" w:type="dxa"/>
              <w:end w:w="110" w:type="dxa"/>
            </w:tcMar>
            <w:shd w:fill="F8FAFC"/>
          </w:tcPr>
          <w:p>
            <w:pPr>
              <w:spacing w:after="0"/>
            </w:pPr>
            <w:r>
              <w:rPr>
                <w:sz w:val="16"/>
              </w:rPr>
              <w:t>4</w:t>
            </w:r>
          </w:p>
        </w:tc>
        <w:tc>
          <w:tcPr>
            <w:tcW w:type="dxa" w:w="2088"/>
            <w:vAlign w:val="top"/>
            <w:tcMar>
              <w:top w:w="100" w:type="dxa"/>
              <w:start w:w="110" w:type="dxa"/>
              <w:bottom w:w="100" w:type="dxa"/>
              <w:end w:w="110" w:type="dxa"/>
            </w:tcMar>
            <w:shd w:fill="F8FAFC"/>
          </w:tcPr>
          <w:p>
            <w:pPr>
              <w:spacing w:after="0"/>
            </w:pPr>
            <w:r>
              <w:rPr>
                <w:sz w:val="16"/>
              </w:rPr>
              <w:t>Services</w:t>
            </w:r>
          </w:p>
        </w:tc>
        <w:tc>
          <w:tcPr>
            <w:tcW w:type="dxa" w:w="6840"/>
            <w:vAlign w:val="top"/>
            <w:tcMar>
              <w:top w:w="100" w:type="dxa"/>
              <w:start w:w="110" w:type="dxa"/>
              <w:bottom w:w="100" w:type="dxa"/>
              <w:end w:w="110" w:type="dxa"/>
            </w:tcMar>
            <w:shd w:fill="F8FAFC"/>
          </w:tcPr>
          <w:p>
            <w:pPr>
              <w:spacing w:after="0"/>
            </w:pPr>
            <w:r>
              <w:rPr>
                <w:sz w:val="16"/>
              </w:rPr>
              <w:t>Show five offers through the swatch mechanism, with all content available without motion.</w:t>
            </w:r>
          </w:p>
        </w:tc>
      </w:tr>
      <w:tr>
        <w:tc>
          <w:tcPr>
            <w:tcW w:type="dxa" w:w="648"/>
            <w:vAlign w:val="top"/>
            <w:tcMar>
              <w:top w:w="100" w:type="dxa"/>
              <w:start w:w="110" w:type="dxa"/>
              <w:bottom w:w="100" w:type="dxa"/>
              <w:end w:w="110" w:type="dxa"/>
            </w:tcMar>
          </w:tcPr>
          <w:p>
            <w:pPr>
              <w:spacing w:after="0"/>
            </w:pPr>
            <w:r>
              <w:rPr>
                <w:sz w:val="16"/>
              </w:rPr>
              <w:t>5</w:t>
            </w:r>
          </w:p>
        </w:tc>
        <w:tc>
          <w:tcPr>
            <w:tcW w:type="dxa" w:w="2088"/>
            <w:vAlign w:val="top"/>
            <w:tcMar>
              <w:top w:w="100" w:type="dxa"/>
              <w:start w:w="110" w:type="dxa"/>
              <w:bottom w:w="100" w:type="dxa"/>
              <w:end w:w="110" w:type="dxa"/>
            </w:tcMar>
          </w:tcPr>
          <w:p>
            <w:pPr>
              <w:spacing w:after="0"/>
            </w:pPr>
            <w:r>
              <w:rPr>
                <w:sz w:val="16"/>
              </w:rPr>
              <w:t>Client proof</w:t>
            </w:r>
          </w:p>
        </w:tc>
        <w:tc>
          <w:tcPr>
            <w:tcW w:type="dxa" w:w="6840"/>
            <w:vAlign w:val="top"/>
            <w:tcMar>
              <w:top w:w="100" w:type="dxa"/>
              <w:start w:w="110" w:type="dxa"/>
              <w:bottom w:w="100" w:type="dxa"/>
              <w:end w:w="110" w:type="dxa"/>
            </w:tcMar>
          </w:tcPr>
          <w:p>
            <w:pPr>
              <w:spacing w:after="0"/>
            </w:pPr>
            <w:r>
              <w:rPr>
                <w:sz w:val="16"/>
              </w:rPr>
              <w:t>Use factual client marks/names; the loop must have visible pause/play and become static under reduced motion.</w:t>
            </w:r>
          </w:p>
        </w:tc>
      </w:tr>
      <w:tr>
        <w:tc>
          <w:tcPr>
            <w:tcW w:type="dxa" w:w="648"/>
            <w:vAlign w:val="top"/>
            <w:tcMar>
              <w:top w:w="100" w:type="dxa"/>
              <w:start w:w="110" w:type="dxa"/>
              <w:bottom w:w="100" w:type="dxa"/>
              <w:end w:w="110" w:type="dxa"/>
            </w:tcMar>
            <w:shd w:fill="F8FAFC"/>
          </w:tcPr>
          <w:p>
            <w:pPr>
              <w:spacing w:after="0"/>
            </w:pPr>
            <w:r>
              <w:rPr>
                <w:sz w:val="16"/>
              </w:rPr>
              <w:t>6</w:t>
            </w:r>
          </w:p>
        </w:tc>
        <w:tc>
          <w:tcPr>
            <w:tcW w:type="dxa" w:w="2088"/>
            <w:vAlign w:val="top"/>
            <w:tcMar>
              <w:top w:w="100" w:type="dxa"/>
              <w:start w:w="110" w:type="dxa"/>
              <w:bottom w:w="100" w:type="dxa"/>
              <w:end w:w="110" w:type="dxa"/>
            </w:tcMar>
            <w:shd w:fill="F8FAFC"/>
          </w:tcPr>
          <w:p>
            <w:pPr>
              <w:spacing w:after="0"/>
            </w:pPr>
            <w:r>
              <w:rPr>
                <w:sz w:val="16"/>
              </w:rPr>
              <w:t>Working principles</w:t>
            </w:r>
          </w:p>
        </w:tc>
        <w:tc>
          <w:tcPr>
            <w:tcW w:type="dxa" w:w="6840"/>
            <w:vAlign w:val="top"/>
            <w:tcMar>
              <w:top w:w="100" w:type="dxa"/>
              <w:start w:w="110" w:type="dxa"/>
              <w:bottom w:w="100" w:type="dxa"/>
              <w:end w:w="110" w:type="dxa"/>
            </w:tcMar>
            <w:shd w:fill="F8FAFC"/>
          </w:tcPr>
          <w:p>
            <w:pPr>
              <w:spacing w:after="0"/>
            </w:pPr>
            <w:r>
              <w:rPr>
                <w:sz w:val="16"/>
              </w:rPr>
              <w:t>Include only after owner-supplied copy is approved; omit rather than invent.</w:t>
            </w:r>
          </w:p>
        </w:tc>
      </w:tr>
      <w:tr>
        <w:tc>
          <w:tcPr>
            <w:tcW w:type="dxa" w:w="648"/>
            <w:vAlign w:val="top"/>
            <w:tcMar>
              <w:top w:w="100" w:type="dxa"/>
              <w:start w:w="110" w:type="dxa"/>
              <w:bottom w:w="100" w:type="dxa"/>
              <w:end w:w="110" w:type="dxa"/>
            </w:tcMar>
          </w:tcPr>
          <w:p>
            <w:pPr>
              <w:spacing w:after="0"/>
            </w:pPr>
            <w:r>
              <w:rPr>
                <w:sz w:val="16"/>
              </w:rPr>
              <w:t>7</w:t>
            </w:r>
          </w:p>
        </w:tc>
        <w:tc>
          <w:tcPr>
            <w:tcW w:type="dxa" w:w="2088"/>
            <w:vAlign w:val="top"/>
            <w:tcMar>
              <w:top w:w="100" w:type="dxa"/>
              <w:start w:w="110" w:type="dxa"/>
              <w:bottom w:w="100" w:type="dxa"/>
              <w:end w:w="110" w:type="dxa"/>
            </w:tcMar>
          </w:tcPr>
          <w:p>
            <w:pPr>
              <w:spacing w:after="0"/>
            </w:pPr>
            <w:r>
              <w:rPr>
                <w:sz w:val="16"/>
              </w:rPr>
              <w:t>Contact</w:t>
            </w:r>
          </w:p>
        </w:tc>
        <w:tc>
          <w:tcPr>
            <w:tcW w:type="dxa" w:w="6840"/>
            <w:vAlign w:val="top"/>
            <w:tcMar>
              <w:top w:w="100" w:type="dxa"/>
              <w:start w:w="110" w:type="dxa"/>
              <w:bottom w:w="100" w:type="dxa"/>
              <w:end w:w="110" w:type="dxa"/>
            </w:tcMar>
          </w:tcPr>
          <w:p>
            <w:pPr>
              <w:spacing w:after="0"/>
            </w:pPr>
            <w:r>
              <w:rPr>
                <w:sz w:val="16"/>
              </w:rPr>
              <w:t>Provide direct email plus the server-backed form and clear response states.</w:t>
            </w:r>
          </w:p>
        </w:tc>
      </w:tr>
      <w:tr>
        <w:tc>
          <w:tcPr>
            <w:tcW w:type="dxa" w:w="648"/>
            <w:vAlign w:val="top"/>
            <w:tcMar>
              <w:top w:w="100" w:type="dxa"/>
              <w:start w:w="110" w:type="dxa"/>
              <w:bottom w:w="100" w:type="dxa"/>
              <w:end w:w="110" w:type="dxa"/>
            </w:tcMar>
            <w:shd w:fill="F8FAFC"/>
          </w:tcPr>
          <w:p>
            <w:pPr>
              <w:spacing w:after="0"/>
            </w:pPr>
            <w:r>
              <w:rPr>
                <w:sz w:val="16"/>
              </w:rPr>
              <w:t>8</w:t>
            </w:r>
          </w:p>
        </w:tc>
        <w:tc>
          <w:tcPr>
            <w:tcW w:type="dxa" w:w="2088"/>
            <w:vAlign w:val="top"/>
            <w:tcMar>
              <w:top w:w="100" w:type="dxa"/>
              <w:start w:w="110" w:type="dxa"/>
              <w:bottom w:w="100" w:type="dxa"/>
              <w:end w:w="110" w:type="dxa"/>
            </w:tcMar>
            <w:shd w:fill="F8FAFC"/>
          </w:tcPr>
          <w:p>
            <w:pPr>
              <w:spacing w:after="0"/>
            </w:pPr>
            <w:r>
              <w:rPr>
                <w:sz w:val="16"/>
              </w:rPr>
              <w:t>Signature/footer</w:t>
            </w:r>
          </w:p>
        </w:tc>
        <w:tc>
          <w:tcPr>
            <w:tcW w:type="dxa" w:w="6840"/>
            <w:vAlign w:val="top"/>
            <w:tcMar>
              <w:top w:w="100" w:type="dxa"/>
              <w:start w:w="110" w:type="dxa"/>
              <w:bottom w:w="100" w:type="dxa"/>
              <w:end w:w="110" w:type="dxa"/>
            </w:tcMar>
            <w:shd w:fill="F8FAFC"/>
          </w:tcPr>
          <w:p>
            <w:pPr>
              <w:spacing w:after="0"/>
            </w:pPr>
            <w:r>
              <w:rPr>
                <w:sz w:val="16"/>
              </w:rPr>
              <w:t>Preserve the restored signature and footer character.</w:t>
            </w:r>
          </w:p>
        </w:tc>
      </w:tr>
    </w:tbl>
    <w:p>
      <w:pPr>
        <w:spacing w:after="0"/>
      </w:pPr>
    </w:p>
    <w:p>
      <w:pPr>
        <w:pStyle w:val="Heading2"/>
      </w:pPr>
      <w:r>
        <w:t>9.2 Work index</w:t>
      </w:r>
    </w:p>
    <w:p>
      <w:pPr>
        <w:pStyle w:val="ListBullet"/>
        <w:spacing w:after="44"/>
      </w:pPr>
      <w:r>
        <w:t>Support published, coming-soon and private/archive states through explicit metadata.</w:t>
      </w:r>
    </w:p>
    <w:p>
      <w:pPr>
        <w:pStyle w:val="ListBullet"/>
        <w:spacing w:after="44"/>
      </w:pPr>
      <w:r>
        <w:t>Published projects open directly. Coming-soon projects remain visible only when their presence adds useful context and their state is unambiguous.</w:t>
      </w:r>
    </w:p>
    <w:p>
      <w:pPr>
        <w:pStyle w:val="ListBullet"/>
        <w:spacing w:after="44"/>
      </w:pPr>
      <w:r>
        <w:t>Do not lock every project. A visitor must always have a complete published case study to evaluate.</w:t>
      </w:r>
    </w:p>
    <w:p>
      <w:pPr>
        <w:pStyle w:val="Heading2"/>
      </w:pPr>
      <w:r>
        <w:t>9.3 Flagship case study: TEDx RSU</w:t>
      </w:r>
    </w:p>
    <w:p>
      <w:pPr>
        <w:pStyle w:val="ListBullet"/>
        <w:spacing w:after="44"/>
      </w:pPr>
      <w:r>
        <w:t>Open with a concise proposition and a strong hero asset.</w:t>
      </w:r>
    </w:p>
    <w:p>
      <w:pPr>
        <w:pStyle w:val="ListBullet"/>
        <w:spacing w:after="44"/>
      </w:pPr>
      <w:r>
        <w:t>State role, collaborators, year and deliverables close to the opening.</w:t>
      </w:r>
    </w:p>
    <w:p>
      <w:pPr>
        <w:pStyle w:val="ListBullet"/>
        <w:spacing w:after="44"/>
      </w:pPr>
      <w:r>
        <w:t>Tell the sequence: context → problem → relevant process → strategic decision → system → applications → production/handoff → verified outcomes → reflection → next project.</w:t>
      </w:r>
    </w:p>
    <w:p>
      <w:pPr>
        <w:pStyle w:val="ListBullet"/>
        <w:spacing w:after="44"/>
      </w:pPr>
      <w:r>
        <w:t>Show only process that survived into or materially informed the final direction; do not pad the page with rejected routes.</w:t>
      </w:r>
    </w:p>
    <w:p>
      <w:pPr>
        <w:pStyle w:val="ListBullet"/>
        <w:spacing w:after="44"/>
      </w:pPr>
      <w:r>
        <w:t>Use proof-sheet mechanisms selectively: PLATE numbering, factual captions, a restrained chapter/folio system and production details.</w:t>
      </w:r>
    </w:p>
    <w:p>
      <w:pPr>
        <w:pStyle w:val="ListBullet"/>
        <w:spacing w:after="44"/>
      </w:pPr>
      <w:r>
        <w:t>Omit metrics or outcomes that cannot be evidenced. Clearly distinguish individual contribution from team contribution.</w:t>
      </w:r>
    </w:p>
    <w:p>
      <w:pPr>
        <w:pStyle w:val="Heading2"/>
      </w:pPr>
      <w:r>
        <w:t>9.4 Explorations and Community</w:t>
      </w:r>
    </w:p>
    <w:p>
      <w:pPr>
        <w:pStyle w:val="ListBullet"/>
        <w:spacing w:after="44"/>
      </w:pPr>
      <w:r>
        <w:t>Each route must exist at launch and explain its purpose in plain language.</w:t>
      </w:r>
    </w:p>
    <w:p>
      <w:pPr>
        <w:pStyle w:val="ListBullet"/>
        <w:spacing w:after="44"/>
      </w:pPr>
      <w:r>
        <w:t>If approved entries are unavailable, show an intentional empty state with no fabricated dates, scale, partners or outcomes.</w:t>
      </w:r>
    </w:p>
    <w:p>
      <w:pPr>
        <w:pStyle w:val="ListBullet"/>
        <w:spacing w:after="44"/>
      </w:pPr>
      <w:r>
        <w:t>Empty-state pages must still include global navigation, Index access and a relevant next action.</w:t>
      </w:r>
    </w:p>
    <w:p>
      <w:pPr>
        <w:pStyle w:val="Heading2"/>
      </w:pPr>
      <w:r>
        <w:t>9.5 About, CV and experience</w:t>
      </w:r>
    </w:p>
    <w:p>
      <w:pPr>
        <w:pStyle w:val="ListBullet"/>
        <w:spacing w:after="44"/>
      </w:pPr>
      <w:r>
        <w:t>Present biography, capabilities and experience without duplicating the homepage word-for-word.</w:t>
      </w:r>
    </w:p>
    <w:p>
      <w:pPr>
        <w:pStyle w:val="ListBullet"/>
        <w:spacing w:after="44"/>
      </w:pPr>
      <w:r>
        <w:t>Use an experience ledger for role, organisation, period and concise contribution; treat it as evidence, not decoration.</w:t>
      </w:r>
    </w:p>
    <w:p>
      <w:pPr>
        <w:pStyle w:val="ListBullet"/>
        <w:spacing w:after="44"/>
      </w:pPr>
      <w:r>
        <w:t>Offer an approved, accessible PDF CV from About and Index. The CV is not a primary top-level route.</w:t>
      </w:r>
    </w:p>
    <w:p>
      <w:pPr>
        <w:pStyle w:val="Heading2"/>
      </w:pPr>
      <w:r>
        <w:t>9.6 Services</w:t>
      </w:r>
    </w:p>
    <w:p>
      <w:pPr>
        <w:pStyle w:val="ListBullet"/>
        <w:spacing w:after="44"/>
      </w:pPr>
      <w:r>
        <w:t>Present five discrete offers with clear problems solved, typical outputs and engagement fit.</w:t>
      </w:r>
    </w:p>
    <w:p>
      <w:pPr>
        <w:pStyle w:val="ListBullet"/>
        <w:spacing w:after="44"/>
      </w:pPr>
      <w:r>
        <w:t>Desktop may use a layered swatch fan; mobile must use an accessible horizontal or stacked presentation with no hidden content.</w:t>
      </w:r>
    </w:p>
    <w:p>
      <w:pPr>
        <w:pStyle w:val="ListBullet"/>
        <w:spacing w:after="44"/>
      </w:pPr>
      <w:r>
        <w:t>Selection, focus and expanded state must be perceivable without relying on colour or hover alone.</w:t>
      </w:r>
    </w:p>
    <w:p>
      <w:pPr>
        <w:pStyle w:val="Heading2"/>
      </w:pPr>
      <w:r>
        <w:t>9.7 Contact</w:t>
      </w:r>
    </w:p>
    <w:p>
      <w:pPr>
        <w:pStyle w:val="ListBullet"/>
        <w:spacing w:after="44"/>
      </w:pPr>
      <w:r>
        <w:t>Require name, valid email and message; apply documented field and request limits.</w:t>
      </w:r>
    </w:p>
    <w:p>
      <w:pPr>
        <w:pStyle w:val="ListBullet"/>
        <w:spacing w:after="44"/>
      </w:pPr>
      <w:r>
        <w:t>Show idle, focused, validating, submitting, success, rate-limited, unavailable and recoverable-error states.</w:t>
      </w:r>
    </w:p>
    <w:p>
      <w:pPr>
        <w:pStyle w:val="ListBullet"/>
        <w:spacing w:after="44"/>
      </w:pPr>
      <w:r>
        <w:t>Preserve entered values when submission fails. Never clear the form before confirmed success.</w:t>
      </w:r>
    </w:p>
    <w:p>
      <w:pPr>
        <w:pStyle w:val="ListBullet"/>
        <w:spacing w:after="44"/>
      </w:pPr>
      <w:r>
        <w:t>Always show a copyable email address and a truthful no-JavaScript fallback.</w:t>
      </w:r>
    </w:p>
    <w:p>
      <w:pPr>
        <w:pStyle w:val="Heading1"/>
      </w:pPr>
      <w:r>
        <w:t>10. Content and evidence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1828"/>
            <w:vAlign w:val="center"/>
            <w:tcMar>
              <w:top w:w="100" w:type="dxa"/>
              <w:start w:w="110" w:type="dxa"/>
              <w:bottom w:w="100" w:type="dxa"/>
              <w:end w:w="110" w:type="dxa"/>
            </w:tcMar>
          </w:tcPr>
          <w:p>
            <w:r>
              <w:rPr>
                <w:b/>
                <w:color w:val="FFFFFF"/>
                <w:sz w:val="14"/>
              </w:rPr>
              <w:t>CONTENT TYPE</w:t>
            </w:r>
          </w:p>
        </w:tc>
        <w:tc>
          <w:tcPr>
            <w:tcW w:type="dxa" w:w="4752"/>
            <w:shd w:fill="101828"/>
            <w:vAlign w:val="center"/>
            <w:tcMar>
              <w:top w:w="100" w:type="dxa"/>
              <w:start w:w="110" w:type="dxa"/>
              <w:bottom w:w="100" w:type="dxa"/>
              <w:end w:w="110" w:type="dxa"/>
            </w:tcMar>
          </w:tcPr>
          <w:p>
            <w:r>
              <w:rPr>
                <w:b/>
                <w:color w:val="FFFFFF"/>
                <w:sz w:val="14"/>
              </w:rPr>
              <w:t>RULE</w:t>
            </w:r>
          </w:p>
        </w:tc>
        <w:tc>
          <w:tcPr>
            <w:tcW w:type="dxa" w:w="2952"/>
            <w:shd w:fill="101828"/>
            <w:vAlign w:val="center"/>
            <w:tcMar>
              <w:top w:w="100" w:type="dxa"/>
              <w:start w:w="110" w:type="dxa"/>
              <w:bottom w:w="100" w:type="dxa"/>
              <w:end w:w="110" w:type="dxa"/>
            </w:tcMar>
          </w:tcPr>
          <w:p>
            <w:r>
              <w:rPr>
                <w:b/>
                <w:color w:val="FFFFFF"/>
                <w:sz w:val="14"/>
              </w:rPr>
              <w:t>OWNER DEPENDENCY</w:t>
            </w:r>
          </w:p>
        </w:tc>
      </w:tr>
      <w:tr>
        <w:tc>
          <w:tcPr>
            <w:tcW w:type="dxa" w:w="1944"/>
            <w:vAlign w:val="top"/>
            <w:tcMar>
              <w:top w:w="100" w:type="dxa"/>
              <w:start w:w="110" w:type="dxa"/>
              <w:bottom w:w="100" w:type="dxa"/>
              <w:end w:w="110" w:type="dxa"/>
            </w:tcMar>
          </w:tcPr>
          <w:p>
            <w:pPr>
              <w:spacing w:after="0"/>
            </w:pPr>
            <w:r>
              <w:rPr>
                <w:sz w:val="16"/>
              </w:rPr>
              <w:t>Project claims</w:t>
            </w:r>
          </w:p>
        </w:tc>
        <w:tc>
          <w:tcPr>
            <w:tcW w:type="dxa" w:w="4752"/>
            <w:vAlign w:val="top"/>
            <w:tcMar>
              <w:top w:w="100" w:type="dxa"/>
              <w:start w:w="110" w:type="dxa"/>
              <w:bottom w:w="100" w:type="dxa"/>
              <w:end w:w="110" w:type="dxa"/>
            </w:tcMar>
          </w:tcPr>
          <w:p>
            <w:pPr>
              <w:spacing w:after="0"/>
            </w:pPr>
            <w:r>
              <w:rPr>
                <w:sz w:val="16"/>
              </w:rPr>
              <w:t>Publish only verified outcomes, dates, roles and collaborators.</w:t>
            </w:r>
          </w:p>
        </w:tc>
        <w:tc>
          <w:tcPr>
            <w:tcW w:type="dxa" w:w="2952"/>
            <w:vAlign w:val="top"/>
            <w:tcMar>
              <w:top w:w="100" w:type="dxa"/>
              <w:start w:w="110" w:type="dxa"/>
              <w:bottom w:w="100" w:type="dxa"/>
              <w:end w:w="110" w:type="dxa"/>
            </w:tcMar>
          </w:tcPr>
          <w:p>
            <w:pPr>
              <w:spacing w:after="0"/>
            </w:pPr>
            <w:r>
              <w:rPr>
                <w:sz w:val="16"/>
              </w:rPr>
              <w:t>Approved facts and sources</w:t>
            </w:r>
          </w:p>
        </w:tc>
      </w:tr>
      <w:tr>
        <w:tc>
          <w:tcPr>
            <w:tcW w:type="dxa" w:w="1944"/>
            <w:vAlign w:val="top"/>
            <w:tcMar>
              <w:top w:w="100" w:type="dxa"/>
              <w:start w:w="110" w:type="dxa"/>
              <w:bottom w:w="100" w:type="dxa"/>
              <w:end w:w="110" w:type="dxa"/>
            </w:tcMar>
            <w:shd w:fill="F8FAFC"/>
          </w:tcPr>
          <w:p>
            <w:pPr>
              <w:spacing w:after="0"/>
            </w:pPr>
            <w:r>
              <w:rPr>
                <w:sz w:val="16"/>
              </w:rPr>
              <w:t>Project media</w:t>
            </w:r>
          </w:p>
        </w:tc>
        <w:tc>
          <w:tcPr>
            <w:tcW w:type="dxa" w:w="4752"/>
            <w:vAlign w:val="top"/>
            <w:tcMar>
              <w:top w:w="100" w:type="dxa"/>
              <w:start w:w="110" w:type="dxa"/>
              <w:bottom w:w="100" w:type="dxa"/>
              <w:end w:w="110" w:type="dxa"/>
            </w:tcMar>
            <w:shd w:fill="F8FAFC"/>
          </w:tcPr>
          <w:p>
            <w:pPr>
              <w:spacing w:after="0"/>
            </w:pPr>
            <w:r>
              <w:rPr>
                <w:sz w:val="16"/>
              </w:rPr>
              <w:t>Provide final, rights-cleared assets with dimensions, alt intent and captions.</w:t>
            </w:r>
          </w:p>
        </w:tc>
        <w:tc>
          <w:tcPr>
            <w:tcW w:type="dxa" w:w="2952"/>
            <w:vAlign w:val="top"/>
            <w:tcMar>
              <w:top w:w="100" w:type="dxa"/>
              <w:start w:w="110" w:type="dxa"/>
              <w:bottom w:w="100" w:type="dxa"/>
              <w:end w:w="110" w:type="dxa"/>
            </w:tcMar>
            <w:shd w:fill="F8FAFC"/>
          </w:tcPr>
          <w:p>
            <w:pPr>
              <w:spacing w:after="0"/>
            </w:pPr>
            <w:r>
              <w:rPr>
                <w:sz w:val="16"/>
              </w:rPr>
              <w:t>TEDx RSU media package</w:t>
            </w:r>
          </w:p>
        </w:tc>
      </w:tr>
      <w:tr>
        <w:tc>
          <w:tcPr>
            <w:tcW w:type="dxa" w:w="1944"/>
            <w:vAlign w:val="top"/>
            <w:tcMar>
              <w:top w:w="100" w:type="dxa"/>
              <w:start w:w="110" w:type="dxa"/>
              <w:bottom w:w="100" w:type="dxa"/>
              <w:end w:w="110" w:type="dxa"/>
            </w:tcMar>
          </w:tcPr>
          <w:p>
            <w:pPr>
              <w:spacing w:after="0"/>
            </w:pPr>
            <w:r>
              <w:rPr>
                <w:sz w:val="16"/>
              </w:rPr>
              <w:t>Explorations</w:t>
            </w:r>
          </w:p>
        </w:tc>
        <w:tc>
          <w:tcPr>
            <w:tcW w:type="dxa" w:w="4752"/>
            <w:vAlign w:val="top"/>
            <w:tcMar>
              <w:top w:w="100" w:type="dxa"/>
              <w:start w:w="110" w:type="dxa"/>
              <w:bottom w:w="100" w:type="dxa"/>
              <w:end w:w="110" w:type="dxa"/>
            </w:tcMar>
          </w:tcPr>
          <w:p>
            <w:pPr>
              <w:spacing w:after="0"/>
            </w:pPr>
            <w:r>
              <w:rPr>
                <w:sz w:val="16"/>
              </w:rPr>
              <w:t>Use real self-initiated work or a truthful empty state.</w:t>
            </w:r>
          </w:p>
        </w:tc>
        <w:tc>
          <w:tcPr>
            <w:tcW w:type="dxa" w:w="2952"/>
            <w:vAlign w:val="top"/>
            <w:tcMar>
              <w:top w:w="100" w:type="dxa"/>
              <w:start w:w="110" w:type="dxa"/>
              <w:bottom w:w="100" w:type="dxa"/>
              <w:end w:w="110" w:type="dxa"/>
            </w:tcMar>
          </w:tcPr>
          <w:p>
            <w:pPr>
              <w:spacing w:after="0"/>
            </w:pPr>
            <w:r>
              <w:rPr>
                <w:sz w:val="16"/>
              </w:rPr>
              <w:t>Approved entries</w:t>
            </w:r>
          </w:p>
        </w:tc>
      </w:tr>
      <w:tr>
        <w:tc>
          <w:tcPr>
            <w:tcW w:type="dxa" w:w="1944"/>
            <w:vAlign w:val="top"/>
            <w:tcMar>
              <w:top w:w="100" w:type="dxa"/>
              <w:start w:w="110" w:type="dxa"/>
              <w:bottom w:w="100" w:type="dxa"/>
              <w:end w:w="110" w:type="dxa"/>
            </w:tcMar>
            <w:shd w:fill="F8FAFC"/>
          </w:tcPr>
          <w:p>
            <w:pPr>
              <w:spacing w:after="0"/>
            </w:pPr>
            <w:r>
              <w:rPr>
                <w:sz w:val="16"/>
              </w:rPr>
              <w:t>Community</w:t>
            </w:r>
          </w:p>
        </w:tc>
        <w:tc>
          <w:tcPr>
            <w:tcW w:type="dxa" w:w="4752"/>
            <w:vAlign w:val="top"/>
            <w:tcMar>
              <w:top w:w="100" w:type="dxa"/>
              <w:start w:w="110" w:type="dxa"/>
              <w:bottom w:w="100" w:type="dxa"/>
              <w:end w:w="110" w:type="dxa"/>
            </w:tcMar>
            <w:shd w:fill="F8FAFC"/>
          </w:tcPr>
          <w:p>
            <w:pPr>
              <w:spacing w:after="0"/>
            </w:pPr>
            <w:r>
              <w:rPr>
                <w:sz w:val="16"/>
              </w:rPr>
              <w:t>Use documented participation/contribution or a truthful empty state.</w:t>
            </w:r>
          </w:p>
        </w:tc>
        <w:tc>
          <w:tcPr>
            <w:tcW w:type="dxa" w:w="2952"/>
            <w:vAlign w:val="top"/>
            <w:tcMar>
              <w:top w:w="100" w:type="dxa"/>
              <w:start w:w="110" w:type="dxa"/>
              <w:bottom w:w="100" w:type="dxa"/>
              <w:end w:w="110" w:type="dxa"/>
            </w:tcMar>
            <w:shd w:fill="F8FAFC"/>
          </w:tcPr>
          <w:p>
            <w:pPr>
              <w:spacing w:after="0"/>
            </w:pPr>
            <w:r>
              <w:rPr>
                <w:sz w:val="16"/>
              </w:rPr>
              <w:t>Approved entries</w:t>
            </w:r>
          </w:p>
        </w:tc>
      </w:tr>
      <w:tr>
        <w:tc>
          <w:tcPr>
            <w:tcW w:type="dxa" w:w="1944"/>
            <w:vAlign w:val="top"/>
            <w:tcMar>
              <w:top w:w="100" w:type="dxa"/>
              <w:start w:w="110" w:type="dxa"/>
              <w:bottom w:w="100" w:type="dxa"/>
              <w:end w:w="110" w:type="dxa"/>
            </w:tcMar>
          </w:tcPr>
          <w:p>
            <w:pPr>
              <w:spacing w:after="0"/>
            </w:pPr>
            <w:r>
              <w:rPr>
                <w:sz w:val="16"/>
              </w:rPr>
              <w:t>Working principles</w:t>
            </w:r>
          </w:p>
        </w:tc>
        <w:tc>
          <w:tcPr>
            <w:tcW w:type="dxa" w:w="4752"/>
            <w:vAlign w:val="top"/>
            <w:tcMar>
              <w:top w:w="100" w:type="dxa"/>
              <w:start w:w="110" w:type="dxa"/>
              <w:bottom w:w="100" w:type="dxa"/>
              <w:end w:w="110" w:type="dxa"/>
            </w:tcMar>
          </w:tcPr>
          <w:p>
            <w:pPr>
              <w:spacing w:after="0"/>
            </w:pPr>
            <w:r>
              <w:rPr>
                <w:sz w:val="16"/>
              </w:rPr>
              <w:t>Do not infer principles from tone or prior copy.</w:t>
            </w:r>
          </w:p>
        </w:tc>
        <w:tc>
          <w:tcPr>
            <w:tcW w:type="dxa" w:w="2952"/>
            <w:vAlign w:val="top"/>
            <w:tcMar>
              <w:top w:w="100" w:type="dxa"/>
              <w:start w:w="110" w:type="dxa"/>
              <w:bottom w:w="100" w:type="dxa"/>
              <w:end w:w="110" w:type="dxa"/>
            </w:tcMar>
          </w:tcPr>
          <w:p>
            <w:pPr>
              <w:spacing w:after="0"/>
            </w:pPr>
            <w:r>
              <w:rPr>
                <w:sz w:val="16"/>
              </w:rPr>
              <w:t>Owner-written/approved copy</w:t>
            </w:r>
          </w:p>
        </w:tc>
      </w:tr>
      <w:tr>
        <w:tc>
          <w:tcPr>
            <w:tcW w:type="dxa" w:w="1944"/>
            <w:vAlign w:val="top"/>
            <w:tcMar>
              <w:top w:w="100" w:type="dxa"/>
              <w:start w:w="110" w:type="dxa"/>
              <w:bottom w:w="100" w:type="dxa"/>
              <w:end w:w="110" w:type="dxa"/>
            </w:tcMar>
            <w:shd w:fill="F8FAFC"/>
          </w:tcPr>
          <w:p>
            <w:pPr>
              <w:spacing w:after="0"/>
            </w:pPr>
            <w:r>
              <w:rPr>
                <w:sz w:val="16"/>
              </w:rPr>
              <w:t>CV</w:t>
            </w:r>
          </w:p>
        </w:tc>
        <w:tc>
          <w:tcPr>
            <w:tcW w:type="dxa" w:w="4752"/>
            <w:vAlign w:val="top"/>
            <w:tcMar>
              <w:top w:w="100" w:type="dxa"/>
              <w:start w:w="110" w:type="dxa"/>
              <w:bottom w:w="100" w:type="dxa"/>
              <w:end w:w="110" w:type="dxa"/>
            </w:tcMar>
            <w:shd w:fill="F8FAFC"/>
          </w:tcPr>
          <w:p>
            <w:pPr>
              <w:spacing w:after="0"/>
            </w:pPr>
            <w:r>
              <w:rPr>
                <w:sz w:val="16"/>
              </w:rPr>
              <w:t>Use a current, approved and accessible PDF.</w:t>
            </w:r>
          </w:p>
        </w:tc>
        <w:tc>
          <w:tcPr>
            <w:tcW w:type="dxa" w:w="2952"/>
            <w:vAlign w:val="top"/>
            <w:tcMar>
              <w:top w:w="100" w:type="dxa"/>
              <w:start w:w="110" w:type="dxa"/>
              <w:bottom w:w="100" w:type="dxa"/>
              <w:end w:w="110" w:type="dxa"/>
            </w:tcMar>
            <w:shd w:fill="F8FAFC"/>
          </w:tcPr>
          <w:p>
            <w:pPr>
              <w:spacing w:after="0"/>
            </w:pPr>
            <w:r>
              <w:rPr>
                <w:sz w:val="16"/>
              </w:rPr>
              <w:t>Final resume file</w:t>
            </w:r>
          </w:p>
        </w:tc>
      </w:tr>
      <w:tr>
        <w:tc>
          <w:tcPr>
            <w:tcW w:type="dxa" w:w="1944"/>
            <w:vAlign w:val="top"/>
            <w:tcMar>
              <w:top w:w="100" w:type="dxa"/>
              <w:start w:w="110" w:type="dxa"/>
              <w:bottom w:w="100" w:type="dxa"/>
              <w:end w:w="110" w:type="dxa"/>
            </w:tcMar>
          </w:tcPr>
          <w:p>
            <w:pPr>
              <w:spacing w:after="0"/>
            </w:pPr>
            <w:r>
              <w:rPr>
                <w:sz w:val="16"/>
              </w:rPr>
              <w:t>Client proof</w:t>
            </w:r>
          </w:p>
        </w:tc>
        <w:tc>
          <w:tcPr>
            <w:tcW w:type="dxa" w:w="4752"/>
            <w:vAlign w:val="top"/>
            <w:tcMar>
              <w:top w:w="100" w:type="dxa"/>
              <w:start w:w="110" w:type="dxa"/>
              <w:bottom w:w="100" w:type="dxa"/>
              <w:end w:w="110" w:type="dxa"/>
            </w:tcMar>
          </w:tcPr>
          <w:p>
            <w:pPr>
              <w:spacing w:after="0"/>
            </w:pPr>
            <w:r>
              <w:rPr>
                <w:sz w:val="16"/>
              </w:rPr>
              <w:t>Use authorised names/marks; do not imply unverified endorsement.</w:t>
            </w:r>
          </w:p>
        </w:tc>
        <w:tc>
          <w:tcPr>
            <w:tcW w:type="dxa" w:w="2952"/>
            <w:vAlign w:val="top"/>
            <w:tcMar>
              <w:top w:w="100" w:type="dxa"/>
              <w:start w:w="110" w:type="dxa"/>
              <w:bottom w:w="100" w:type="dxa"/>
              <w:end w:w="110" w:type="dxa"/>
            </w:tcMar>
          </w:tcPr>
          <w:p>
            <w:pPr>
              <w:spacing w:after="0"/>
            </w:pPr>
            <w:r>
              <w:rPr>
                <w:sz w:val="16"/>
              </w:rPr>
              <w:t>Approved client list/assets</w:t>
            </w:r>
          </w:p>
        </w:tc>
      </w:tr>
    </w:tbl>
    <w:p>
      <w:pPr>
        <w:spacing w:after="0"/>
      </w:pPr>
    </w:p>
    <w:p>
      <w:pPr>
        <w:pStyle w:val="Heading2"/>
      </w:pPr>
      <w:r>
        <w:t>10.1 Content governance</w:t>
      </w:r>
    </w:p>
    <w:p>
      <w:pPr>
        <w:pStyle w:val="ListBullet"/>
        <w:spacing w:after="44"/>
      </w:pPr>
      <w:r>
        <w:t>Every project record must have a unique slug, publication state, route owner, required metadata and valid next-project reference.</w:t>
      </w:r>
    </w:p>
    <w:p>
      <w:pPr>
        <w:pStyle w:val="ListBullet"/>
        <w:spacing w:after="44"/>
      </w:pPr>
      <w:r>
        <w:t>Every media item must declare dimensions, purpose, accessible alternative and loading priority.</w:t>
      </w:r>
    </w:p>
    <w:p>
      <w:pPr>
        <w:pStyle w:val="ListBullet"/>
        <w:spacing w:after="44"/>
      </w:pPr>
      <w:r>
        <w:t>A build-time validator must fail on duplicate slugs, invalid routes, contradictory publication states, missing required metadata and broken project relationships.</w:t>
      </w:r>
    </w:p>
    <w:p>
      <w:pPr>
        <w:pStyle w:val="ListBullet"/>
        <w:spacing w:after="44"/>
      </w:pPr>
      <w:r>
        <w:t>Editorial language must remain warm, precise and direct. Avoid inflated strategic language, generic design clichés and unsupported numerical claims.</w:t>
      </w:r>
    </w:p>
    <w:p>
      <w:pPr>
        <w:pStyle w:val="Heading1"/>
      </w:pPr>
      <w:r>
        <w:t>11. Interaction, motion and preferences</w:t>
      </w:r>
    </w:p>
    <w:p>
      <w:pPr>
        <w:pStyle w:val="ListBullet"/>
        <w:spacing w:after="44"/>
      </w:pPr>
      <w:r>
        <w:t>Motion must explain hierarchy, continuity, state or production logic; decorative motion without a communicative job is out of scope.</w:t>
      </w:r>
    </w:p>
    <w:p>
      <w:pPr>
        <w:pStyle w:val="ListBullet"/>
        <w:spacing w:after="44"/>
      </w:pPr>
      <w:r>
        <w:t>The Index, service swatches and project transitions must remain fully usable by keyboard and touch.</w:t>
      </w:r>
    </w:p>
    <w:p>
      <w:pPr>
        <w:pStyle w:val="ListBullet"/>
        <w:spacing w:after="44"/>
      </w:pPr>
      <w:r>
        <w:t>Reduced-motion behavior must be designed per component: replace loops and large transforms with static or low-motion alternatives rather than applying a blanket 1ms override.</w:t>
      </w:r>
    </w:p>
    <w:p>
      <w:pPr>
        <w:pStyle w:val="ListBullet"/>
        <w:spacing w:after="44"/>
      </w:pPr>
      <w:r>
        <w:t>Theme and motion preferences must persist without blocking first render or exposing a flash that materially changes the intended composition.</w:t>
      </w:r>
    </w:p>
    <w:p>
      <w:pPr>
        <w:pStyle w:val="ListBullet"/>
        <w:spacing w:after="44"/>
      </w:pPr>
      <w:r>
        <w:t>Avoid mandatory GSAP, Lenis, ScrollTrigger or SplitText dependencies. Add a library only after the native implementation proves insufficient and the budget still passes.</w:t>
      </w:r>
    </w:p>
    <w:p>
      <w:pPr>
        <w:pStyle w:val="ListBullet"/>
        <w:spacing w:after="44"/>
      </w:pPr>
      <w:r>
        <w:t>Do not use a custom cursor, hover-only instructions, cloned semantic text or live decorative feeds that fail silently.</w:t>
      </w:r>
    </w:p>
    <w:p>
      <w:pPr>
        <w:pStyle w:val="Heading1"/>
      </w:pPr>
      <w:r>
        <w:t>12. Accessibility requirements</w:t>
      </w:r>
    </w:p>
    <w:p>
      <w:r>
        <w:t>WCAG 2.2 AA is the release floor. The product should retain stronger contrast where it already exists, but must not impose a universal 7:1 target when that would damage the approved visual character without meaningful benefit.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01828"/>
            <w:vAlign w:val="center"/>
            <w:tcMar>
              <w:top w:w="100" w:type="dxa"/>
              <w:start w:w="110" w:type="dxa"/>
              <w:bottom w:w="100" w:type="dxa"/>
              <w:end w:w="110" w:type="dxa"/>
            </w:tcMar>
          </w:tcPr>
          <w:p>
            <w:r>
              <w:rPr>
                <w:b/>
                <w:color w:val="FFFFFF"/>
                <w:sz w:val="14"/>
              </w:rPr>
              <w:t>AREA</w:t>
            </w:r>
          </w:p>
        </w:tc>
        <w:tc>
          <w:tcPr>
            <w:tcW w:type="dxa" w:w="7848"/>
            <w:shd w:fill="101828"/>
            <w:vAlign w:val="center"/>
            <w:tcMar>
              <w:top w:w="100" w:type="dxa"/>
              <w:start w:w="110" w:type="dxa"/>
              <w:bottom w:w="100" w:type="dxa"/>
              <w:end w:w="110" w:type="dxa"/>
            </w:tcMar>
          </w:tcPr>
          <w:p>
            <w:r>
              <w:rPr>
                <w:b/>
                <w:color w:val="FFFFFF"/>
                <w:sz w:val="14"/>
              </w:rPr>
              <w:t>REQUIREMENT</w:t>
            </w:r>
          </w:p>
        </w:tc>
      </w:tr>
      <w:tr>
        <w:tc>
          <w:tcPr>
            <w:tcW w:type="dxa" w:w="1800"/>
            <w:vAlign w:val="top"/>
            <w:tcMar>
              <w:top w:w="100" w:type="dxa"/>
              <w:start w:w="110" w:type="dxa"/>
              <w:bottom w:w="100" w:type="dxa"/>
              <w:end w:w="110" w:type="dxa"/>
            </w:tcMar>
          </w:tcPr>
          <w:p>
            <w:pPr>
              <w:spacing w:after="0"/>
            </w:pPr>
            <w:r>
              <w:rPr>
                <w:sz w:val="16"/>
              </w:rPr>
              <w:t>Keyboard</w:t>
            </w:r>
          </w:p>
        </w:tc>
        <w:tc>
          <w:tcPr>
            <w:tcW w:type="dxa" w:w="7848"/>
            <w:vAlign w:val="top"/>
            <w:tcMar>
              <w:top w:w="100" w:type="dxa"/>
              <w:start w:w="110" w:type="dxa"/>
              <w:bottom w:w="100" w:type="dxa"/>
              <w:end w:w="110" w:type="dxa"/>
            </w:tcMar>
          </w:tcPr>
          <w:p>
            <w:pPr>
              <w:spacing w:after="0"/>
            </w:pPr>
            <w:r>
              <w:rPr>
                <w:sz w:val="16"/>
              </w:rPr>
              <w:t>All routes, controls, overlays, swatches, project links and form states are reachable, visible and operable.</w:t>
            </w:r>
          </w:p>
        </w:tc>
      </w:tr>
      <w:tr>
        <w:tc>
          <w:tcPr>
            <w:tcW w:type="dxa" w:w="1800"/>
            <w:vAlign w:val="top"/>
            <w:tcMar>
              <w:top w:w="100" w:type="dxa"/>
              <w:start w:w="110" w:type="dxa"/>
              <w:bottom w:w="100" w:type="dxa"/>
              <w:end w:w="110" w:type="dxa"/>
            </w:tcMar>
            <w:shd w:fill="F8FAFC"/>
          </w:tcPr>
          <w:p>
            <w:pPr>
              <w:spacing w:after="0"/>
            </w:pPr>
            <w:r>
              <w:rPr>
                <w:sz w:val="16"/>
              </w:rPr>
              <w:t>Focus</w:t>
            </w:r>
          </w:p>
        </w:tc>
        <w:tc>
          <w:tcPr>
            <w:tcW w:type="dxa" w:w="7848"/>
            <w:vAlign w:val="top"/>
            <w:tcMar>
              <w:top w:w="100" w:type="dxa"/>
              <w:start w:w="110" w:type="dxa"/>
              <w:bottom w:w="100" w:type="dxa"/>
              <w:end w:w="110" w:type="dxa"/>
            </w:tcMar>
            <w:shd w:fill="F8FAFC"/>
          </w:tcPr>
          <w:p>
            <w:pPr>
              <w:spacing w:after="0"/>
            </w:pPr>
            <w:r>
              <w:rPr>
                <w:sz w:val="16"/>
              </w:rPr>
              <w:t>Focus treatment is obvious against every theme and project colour; focus is managed when Index/overlays open and close.</w:t>
            </w:r>
          </w:p>
        </w:tc>
      </w:tr>
      <w:tr>
        <w:tc>
          <w:tcPr>
            <w:tcW w:type="dxa" w:w="1800"/>
            <w:vAlign w:val="top"/>
            <w:tcMar>
              <w:top w:w="100" w:type="dxa"/>
              <w:start w:w="110" w:type="dxa"/>
              <w:bottom w:w="100" w:type="dxa"/>
              <w:end w:w="110" w:type="dxa"/>
            </w:tcMar>
          </w:tcPr>
          <w:p>
            <w:pPr>
              <w:spacing w:after="0"/>
            </w:pPr>
            <w:r>
              <w:rPr>
                <w:sz w:val="16"/>
              </w:rPr>
              <w:t>Touch</w:t>
            </w:r>
          </w:p>
        </w:tc>
        <w:tc>
          <w:tcPr>
            <w:tcW w:type="dxa" w:w="7848"/>
            <w:vAlign w:val="top"/>
            <w:tcMar>
              <w:top w:w="100" w:type="dxa"/>
              <w:start w:w="110" w:type="dxa"/>
              <w:bottom w:w="100" w:type="dxa"/>
              <w:end w:w="110" w:type="dxa"/>
            </w:tcMar>
          </w:tcPr>
          <w:p>
            <w:pPr>
              <w:spacing w:after="0"/>
            </w:pPr>
            <w:r>
              <w:rPr>
                <w:sz w:val="16"/>
              </w:rPr>
              <w:t>Interactive hit regions target approximately 44×44 CSS pixels where practical.</w:t>
            </w:r>
          </w:p>
        </w:tc>
      </w:tr>
      <w:tr>
        <w:tc>
          <w:tcPr>
            <w:tcW w:type="dxa" w:w="1800"/>
            <w:vAlign w:val="top"/>
            <w:tcMar>
              <w:top w:w="100" w:type="dxa"/>
              <w:start w:w="110" w:type="dxa"/>
              <w:bottom w:w="100" w:type="dxa"/>
              <w:end w:w="110" w:type="dxa"/>
            </w:tcMar>
            <w:shd w:fill="F8FAFC"/>
          </w:tcPr>
          <w:p>
            <w:pPr>
              <w:spacing w:after="0"/>
            </w:pPr>
            <w:r>
              <w:rPr>
                <w:sz w:val="16"/>
              </w:rPr>
              <w:t>Motion</w:t>
            </w:r>
          </w:p>
        </w:tc>
        <w:tc>
          <w:tcPr>
            <w:tcW w:type="dxa" w:w="7848"/>
            <w:vAlign w:val="top"/>
            <w:tcMar>
              <w:top w:w="100" w:type="dxa"/>
              <w:start w:w="110" w:type="dxa"/>
              <w:bottom w:w="100" w:type="dxa"/>
              <w:end w:w="110" w:type="dxa"/>
            </w:tcMar>
            <w:shd w:fill="F8FAFC"/>
          </w:tcPr>
          <w:p>
            <w:pPr>
              <w:spacing w:after="0"/>
            </w:pPr>
            <w:r>
              <w:rPr>
                <w:sz w:val="16"/>
              </w:rPr>
              <w:t>Pause is available for moving content; reduced-motion alternatives are component-specific and meaningful.</w:t>
            </w:r>
          </w:p>
        </w:tc>
      </w:tr>
      <w:tr>
        <w:tc>
          <w:tcPr>
            <w:tcW w:type="dxa" w:w="1800"/>
            <w:vAlign w:val="top"/>
            <w:tcMar>
              <w:top w:w="100" w:type="dxa"/>
              <w:start w:w="110" w:type="dxa"/>
              <w:bottom w:w="100" w:type="dxa"/>
              <w:end w:w="110" w:type="dxa"/>
            </w:tcMar>
          </w:tcPr>
          <w:p>
            <w:pPr>
              <w:spacing w:after="0"/>
            </w:pPr>
            <w:r>
              <w:rPr>
                <w:sz w:val="16"/>
              </w:rPr>
              <w:t>Forms</w:t>
            </w:r>
          </w:p>
        </w:tc>
        <w:tc>
          <w:tcPr>
            <w:tcW w:type="dxa" w:w="7848"/>
            <w:vAlign w:val="top"/>
            <w:tcMar>
              <w:top w:w="100" w:type="dxa"/>
              <w:start w:w="110" w:type="dxa"/>
              <w:bottom w:w="100" w:type="dxa"/>
              <w:end w:w="110" w:type="dxa"/>
            </w:tcMar>
          </w:tcPr>
          <w:p>
            <w:pPr>
              <w:spacing w:after="0"/>
            </w:pPr>
            <w:r>
              <w:rPr>
                <w:sz w:val="16"/>
              </w:rPr>
              <w:t>Labels, descriptions, required state and errors are programmatically associated and announced.</w:t>
            </w:r>
          </w:p>
        </w:tc>
      </w:tr>
      <w:tr>
        <w:tc>
          <w:tcPr>
            <w:tcW w:type="dxa" w:w="1800"/>
            <w:vAlign w:val="top"/>
            <w:tcMar>
              <w:top w:w="100" w:type="dxa"/>
              <w:start w:w="110" w:type="dxa"/>
              <w:bottom w:w="100" w:type="dxa"/>
              <w:end w:w="110" w:type="dxa"/>
            </w:tcMar>
            <w:shd w:fill="F8FAFC"/>
          </w:tcPr>
          <w:p>
            <w:pPr>
              <w:spacing w:after="0"/>
            </w:pPr>
            <w:r>
              <w:rPr>
                <w:sz w:val="16"/>
              </w:rPr>
              <w:t>Structure</w:t>
            </w:r>
          </w:p>
        </w:tc>
        <w:tc>
          <w:tcPr>
            <w:tcW w:type="dxa" w:w="7848"/>
            <w:vAlign w:val="top"/>
            <w:tcMar>
              <w:top w:w="100" w:type="dxa"/>
              <w:start w:w="110" w:type="dxa"/>
              <w:bottom w:w="100" w:type="dxa"/>
              <w:end w:w="110" w:type="dxa"/>
            </w:tcMar>
            <w:shd w:fill="F8FAFC"/>
          </w:tcPr>
          <w:p>
            <w:pPr>
              <w:spacing w:after="0"/>
            </w:pPr>
            <w:r>
              <w:rPr>
                <w:sz w:val="16"/>
              </w:rPr>
              <w:t>Landmarks, heading order, link purpose and current-page state remain coherent across routes.</w:t>
            </w:r>
          </w:p>
        </w:tc>
      </w:tr>
      <w:tr>
        <w:tc>
          <w:tcPr>
            <w:tcW w:type="dxa" w:w="1800"/>
            <w:vAlign w:val="top"/>
            <w:tcMar>
              <w:top w:w="100" w:type="dxa"/>
              <w:start w:w="110" w:type="dxa"/>
              <w:bottom w:w="100" w:type="dxa"/>
              <w:end w:w="110" w:type="dxa"/>
            </w:tcMar>
          </w:tcPr>
          <w:p>
            <w:pPr>
              <w:spacing w:after="0"/>
            </w:pPr>
            <w:r>
              <w:rPr>
                <w:sz w:val="16"/>
              </w:rPr>
              <w:t>Resilience</w:t>
            </w:r>
          </w:p>
        </w:tc>
        <w:tc>
          <w:tcPr>
            <w:tcW w:type="dxa" w:w="7848"/>
            <w:vAlign w:val="top"/>
            <w:tcMar>
              <w:top w:w="100" w:type="dxa"/>
              <w:start w:w="110" w:type="dxa"/>
              <w:bottom w:w="100" w:type="dxa"/>
              <w:end w:w="110" w:type="dxa"/>
            </w:tcMar>
          </w:tcPr>
          <w:p>
            <w:pPr>
              <w:spacing w:after="0"/>
            </w:pPr>
            <w:r>
              <w:rPr>
                <w:sz w:val="16"/>
              </w:rPr>
              <w:t>Core content and navigation work without JavaScript; verify forced colours, 200% zoom, increased text spacing and 320px width.</w:t>
            </w:r>
          </w:p>
        </w:tc>
      </w:tr>
      <w:tr>
        <w:tc>
          <w:tcPr>
            <w:tcW w:type="dxa" w:w="1800"/>
            <w:vAlign w:val="top"/>
            <w:tcMar>
              <w:top w:w="100" w:type="dxa"/>
              <w:start w:w="110" w:type="dxa"/>
              <w:bottom w:w="100" w:type="dxa"/>
              <w:end w:w="110" w:type="dxa"/>
            </w:tcMar>
            <w:shd w:fill="F8FAFC"/>
          </w:tcPr>
          <w:p>
            <w:pPr>
              <w:spacing w:after="0"/>
            </w:pPr>
            <w:r>
              <w:rPr>
                <w:sz w:val="16"/>
              </w:rPr>
              <w:t>Media</w:t>
            </w:r>
          </w:p>
        </w:tc>
        <w:tc>
          <w:tcPr>
            <w:tcW w:type="dxa" w:w="7848"/>
            <w:vAlign w:val="top"/>
            <w:tcMar>
              <w:top w:w="100" w:type="dxa"/>
              <w:start w:w="110" w:type="dxa"/>
              <w:bottom w:w="100" w:type="dxa"/>
              <w:end w:w="110" w:type="dxa"/>
            </w:tcMar>
            <w:shd w:fill="F8FAFC"/>
          </w:tcPr>
          <w:p>
            <w:pPr>
              <w:spacing w:after="0"/>
            </w:pPr>
            <w:r>
              <w:rPr>
                <w:sz w:val="16"/>
              </w:rPr>
              <w:t>Alt text communicates purpose; decorative assets are ignored; captions carry factual context rather than repeating the image.</w:t>
            </w:r>
          </w:p>
        </w:tc>
      </w:tr>
    </w:tbl>
    <w:p>
      <w:pPr>
        <w:spacing w:after="0"/>
      </w:pPr>
    </w:p>
    <w:p>
      <w:pPr>
        <w:pStyle w:val="Heading1"/>
      </w:pPr>
      <w:r>
        <w:t>13. Performance and compatibility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101828"/>
            <w:vAlign w:val="center"/>
            <w:tcMar>
              <w:top w:w="100" w:type="dxa"/>
              <w:start w:w="110" w:type="dxa"/>
              <w:bottom w:w="100" w:type="dxa"/>
              <w:end w:w="110" w:type="dxa"/>
            </w:tcMar>
          </w:tcPr>
          <w:p>
            <w:r>
              <w:rPr>
                <w:b/>
                <w:color w:val="FFFFFF"/>
                <w:sz w:val="14"/>
              </w:rPr>
              <w:t>METRIC</w:t>
            </w:r>
          </w:p>
        </w:tc>
        <w:tc>
          <w:tcPr>
            <w:tcW w:type="dxa" w:w="2664"/>
            <w:shd w:fill="101828"/>
            <w:vAlign w:val="center"/>
            <w:tcMar>
              <w:top w:w="100" w:type="dxa"/>
              <w:start w:w="110" w:type="dxa"/>
              <w:bottom w:w="100" w:type="dxa"/>
              <w:end w:w="110" w:type="dxa"/>
            </w:tcMar>
          </w:tcPr>
          <w:p>
            <w:r>
              <w:rPr>
                <w:b/>
                <w:color w:val="FFFFFF"/>
                <w:sz w:val="14"/>
              </w:rPr>
              <w:t>TARGET</w:t>
            </w:r>
          </w:p>
        </w:tc>
        <w:tc>
          <w:tcPr>
            <w:tcW w:type="dxa" w:w="3528"/>
            <w:shd w:fill="101828"/>
            <w:vAlign w:val="center"/>
            <w:tcMar>
              <w:top w:w="100" w:type="dxa"/>
              <w:start w:w="110" w:type="dxa"/>
              <w:bottom w:w="100" w:type="dxa"/>
              <w:end w:w="110" w:type="dxa"/>
            </w:tcMar>
          </w:tcPr>
          <w:p>
            <w:r>
              <w:rPr>
                <w:b/>
                <w:color w:val="FFFFFF"/>
                <w:sz w:val="14"/>
              </w:rPr>
              <w:t>HARD GATE</w:t>
            </w:r>
          </w:p>
        </w:tc>
      </w:tr>
      <w:tr>
        <w:tc>
          <w:tcPr>
            <w:tcW w:type="dxa" w:w="3456"/>
            <w:vAlign w:val="top"/>
            <w:tcMar>
              <w:top w:w="100" w:type="dxa"/>
              <w:start w:w="110" w:type="dxa"/>
              <w:bottom w:w="100" w:type="dxa"/>
              <w:end w:w="110" w:type="dxa"/>
            </w:tcMar>
          </w:tcPr>
          <w:p>
            <w:pPr>
              <w:spacing w:after="0"/>
            </w:pPr>
            <w:r>
              <w:rPr>
                <w:sz w:val="16"/>
              </w:rPr>
              <w:t>Largest Contentful Paint</w:t>
            </w:r>
          </w:p>
        </w:tc>
        <w:tc>
          <w:tcPr>
            <w:tcW w:type="dxa" w:w="2664"/>
            <w:vAlign w:val="top"/>
            <w:tcMar>
              <w:top w:w="100" w:type="dxa"/>
              <w:start w:w="110" w:type="dxa"/>
              <w:bottom w:w="100" w:type="dxa"/>
              <w:end w:w="110" w:type="dxa"/>
            </w:tcMar>
          </w:tcPr>
          <w:p>
            <w:pPr>
              <w:spacing w:after="0"/>
            </w:pPr>
            <w:r>
              <w:rPr>
                <w:sz w:val="16"/>
              </w:rPr>
              <w:t>≤ 2.0 s</w:t>
            </w:r>
          </w:p>
        </w:tc>
        <w:tc>
          <w:tcPr>
            <w:tcW w:type="dxa" w:w="3528"/>
            <w:vAlign w:val="top"/>
            <w:tcMar>
              <w:top w:w="100" w:type="dxa"/>
              <w:start w:w="110" w:type="dxa"/>
              <w:bottom w:w="100" w:type="dxa"/>
              <w:end w:w="110" w:type="dxa"/>
            </w:tcMar>
          </w:tcPr>
          <w:p>
            <w:pPr>
              <w:spacing w:after="0"/>
            </w:pPr>
            <w:r>
              <w:rPr>
                <w:sz w:val="16"/>
              </w:rPr>
              <w:t>≤ 2.5 s</w:t>
            </w:r>
          </w:p>
        </w:tc>
      </w:tr>
      <w:tr>
        <w:tc>
          <w:tcPr>
            <w:tcW w:type="dxa" w:w="3456"/>
            <w:vAlign w:val="top"/>
            <w:tcMar>
              <w:top w:w="100" w:type="dxa"/>
              <w:start w:w="110" w:type="dxa"/>
              <w:bottom w:w="100" w:type="dxa"/>
              <w:end w:w="110" w:type="dxa"/>
            </w:tcMar>
            <w:shd w:fill="F8FAFC"/>
          </w:tcPr>
          <w:p>
            <w:pPr>
              <w:spacing w:after="0"/>
            </w:pPr>
            <w:r>
              <w:rPr>
                <w:sz w:val="16"/>
              </w:rPr>
              <w:t>Interaction to Next Paint</w:t>
            </w:r>
          </w:p>
        </w:tc>
        <w:tc>
          <w:tcPr>
            <w:tcW w:type="dxa" w:w="2664"/>
            <w:vAlign w:val="top"/>
            <w:tcMar>
              <w:top w:w="100" w:type="dxa"/>
              <w:start w:w="110" w:type="dxa"/>
              <w:bottom w:w="100" w:type="dxa"/>
              <w:end w:w="110" w:type="dxa"/>
            </w:tcMar>
            <w:shd w:fill="F8FAFC"/>
          </w:tcPr>
          <w:p>
            <w:pPr>
              <w:spacing w:after="0"/>
            </w:pPr>
            <w:r>
              <w:rPr>
                <w:sz w:val="16"/>
              </w:rPr>
              <w:t>≤ 150 ms</w:t>
            </w:r>
          </w:p>
        </w:tc>
        <w:tc>
          <w:tcPr>
            <w:tcW w:type="dxa" w:w="3528"/>
            <w:vAlign w:val="top"/>
            <w:tcMar>
              <w:top w:w="100" w:type="dxa"/>
              <w:start w:w="110" w:type="dxa"/>
              <w:bottom w:w="100" w:type="dxa"/>
              <w:end w:w="110" w:type="dxa"/>
            </w:tcMar>
            <w:shd w:fill="F8FAFC"/>
          </w:tcPr>
          <w:p>
            <w:pPr>
              <w:spacing w:after="0"/>
            </w:pPr>
            <w:r>
              <w:rPr>
                <w:sz w:val="16"/>
              </w:rPr>
              <w:t>≤ 200 ms</w:t>
            </w:r>
          </w:p>
        </w:tc>
      </w:tr>
      <w:tr>
        <w:tc>
          <w:tcPr>
            <w:tcW w:type="dxa" w:w="3456"/>
            <w:vAlign w:val="top"/>
            <w:tcMar>
              <w:top w:w="100" w:type="dxa"/>
              <w:start w:w="110" w:type="dxa"/>
              <w:bottom w:w="100" w:type="dxa"/>
              <w:end w:w="110" w:type="dxa"/>
            </w:tcMar>
          </w:tcPr>
          <w:p>
            <w:pPr>
              <w:spacing w:after="0"/>
            </w:pPr>
            <w:r>
              <w:rPr>
                <w:sz w:val="16"/>
              </w:rPr>
              <w:t>Cumulative Layout Shift</w:t>
            </w:r>
          </w:p>
        </w:tc>
        <w:tc>
          <w:tcPr>
            <w:tcW w:type="dxa" w:w="2664"/>
            <w:vAlign w:val="top"/>
            <w:tcMar>
              <w:top w:w="100" w:type="dxa"/>
              <w:start w:w="110" w:type="dxa"/>
              <w:bottom w:w="100" w:type="dxa"/>
              <w:end w:w="110" w:type="dxa"/>
            </w:tcMar>
          </w:tcPr>
          <w:p>
            <w:pPr>
              <w:spacing w:after="0"/>
            </w:pPr>
            <w:r>
              <w:rPr>
                <w:sz w:val="16"/>
              </w:rPr>
              <w:t>≤ 0.05</w:t>
            </w:r>
          </w:p>
        </w:tc>
        <w:tc>
          <w:tcPr>
            <w:tcW w:type="dxa" w:w="3528"/>
            <w:vAlign w:val="top"/>
            <w:tcMar>
              <w:top w:w="100" w:type="dxa"/>
              <w:start w:w="110" w:type="dxa"/>
              <w:bottom w:w="100" w:type="dxa"/>
              <w:end w:w="110" w:type="dxa"/>
            </w:tcMar>
          </w:tcPr>
          <w:p>
            <w:pPr>
              <w:spacing w:after="0"/>
            </w:pPr>
            <w:r>
              <w:rPr>
                <w:sz w:val="16"/>
              </w:rPr>
              <w:t>≤ 0.05</w:t>
            </w:r>
          </w:p>
        </w:tc>
      </w:tr>
      <w:tr>
        <w:tc>
          <w:tcPr>
            <w:tcW w:type="dxa" w:w="3456"/>
            <w:vAlign w:val="top"/>
            <w:tcMar>
              <w:top w:w="100" w:type="dxa"/>
              <w:start w:w="110" w:type="dxa"/>
              <w:bottom w:w="100" w:type="dxa"/>
              <w:end w:w="110" w:type="dxa"/>
            </w:tcMar>
            <w:shd w:fill="F8FAFC"/>
          </w:tcPr>
          <w:p>
            <w:pPr>
              <w:spacing w:after="0"/>
            </w:pPr>
            <w:r>
              <w:rPr>
                <w:sz w:val="16"/>
              </w:rPr>
              <w:t>Initial compressed JavaScript</w:t>
            </w:r>
          </w:p>
        </w:tc>
        <w:tc>
          <w:tcPr>
            <w:tcW w:type="dxa" w:w="2664"/>
            <w:vAlign w:val="top"/>
            <w:tcMar>
              <w:top w:w="100" w:type="dxa"/>
              <w:start w:w="110" w:type="dxa"/>
              <w:bottom w:w="100" w:type="dxa"/>
              <w:end w:w="110" w:type="dxa"/>
            </w:tcMar>
            <w:shd w:fill="F8FAFC"/>
          </w:tcPr>
          <w:p>
            <w:pPr>
              <w:spacing w:after="0"/>
            </w:pPr>
            <w:r>
              <w:rPr>
                <w:sz w:val="16"/>
              </w:rPr>
              <w:t>≤ 60 KB</w:t>
            </w:r>
          </w:p>
        </w:tc>
        <w:tc>
          <w:tcPr>
            <w:tcW w:type="dxa" w:w="3528"/>
            <w:vAlign w:val="top"/>
            <w:tcMar>
              <w:top w:w="100" w:type="dxa"/>
              <w:start w:w="110" w:type="dxa"/>
              <w:bottom w:w="100" w:type="dxa"/>
              <w:end w:w="110" w:type="dxa"/>
            </w:tcMar>
            <w:shd w:fill="F8FAFC"/>
          </w:tcPr>
          <w:p>
            <w:pPr>
              <w:spacing w:after="0"/>
            </w:pPr>
            <w:r>
              <w:rPr>
                <w:sz w:val="16"/>
              </w:rPr>
              <w:t>≤ 75 KB</w:t>
            </w:r>
          </w:p>
        </w:tc>
      </w:tr>
      <w:tr>
        <w:tc>
          <w:tcPr>
            <w:tcW w:type="dxa" w:w="3456"/>
            <w:vAlign w:val="top"/>
            <w:tcMar>
              <w:top w:w="100" w:type="dxa"/>
              <w:start w:w="110" w:type="dxa"/>
              <w:bottom w:w="100" w:type="dxa"/>
              <w:end w:w="110" w:type="dxa"/>
            </w:tcMar>
          </w:tcPr>
          <w:p>
            <w:pPr>
              <w:spacing w:after="0"/>
            </w:pPr>
            <w:r>
              <w:rPr>
                <w:sz w:val="16"/>
              </w:rPr>
              <w:t>Initial compressed CSS</w:t>
            </w:r>
          </w:p>
        </w:tc>
        <w:tc>
          <w:tcPr>
            <w:tcW w:type="dxa" w:w="2664"/>
            <w:vAlign w:val="top"/>
            <w:tcMar>
              <w:top w:w="100" w:type="dxa"/>
              <w:start w:w="110" w:type="dxa"/>
              <w:bottom w:w="100" w:type="dxa"/>
              <w:end w:w="110" w:type="dxa"/>
            </w:tcMar>
          </w:tcPr>
          <w:p>
            <w:pPr>
              <w:spacing w:after="0"/>
            </w:pPr>
            <w:r>
              <w:rPr>
                <w:sz w:val="16"/>
              </w:rPr>
              <w:t>≤ 35 KB</w:t>
            </w:r>
          </w:p>
        </w:tc>
        <w:tc>
          <w:tcPr>
            <w:tcW w:type="dxa" w:w="3528"/>
            <w:vAlign w:val="top"/>
            <w:tcMar>
              <w:top w:w="100" w:type="dxa"/>
              <w:start w:w="110" w:type="dxa"/>
              <w:bottom w:w="100" w:type="dxa"/>
              <w:end w:w="110" w:type="dxa"/>
            </w:tcMar>
          </w:tcPr>
          <w:p>
            <w:pPr>
              <w:spacing w:after="0"/>
            </w:pPr>
            <w:r>
              <w:rPr>
                <w:sz w:val="16"/>
              </w:rPr>
              <w:t>≤ 45 KB</w:t>
            </w:r>
          </w:p>
        </w:tc>
      </w:tr>
      <w:tr>
        <w:tc>
          <w:tcPr>
            <w:tcW w:type="dxa" w:w="3456"/>
            <w:vAlign w:val="top"/>
            <w:tcMar>
              <w:top w:w="100" w:type="dxa"/>
              <w:start w:w="110" w:type="dxa"/>
              <w:bottom w:w="100" w:type="dxa"/>
              <w:end w:w="110" w:type="dxa"/>
            </w:tcMar>
            <w:shd w:fill="F8FAFC"/>
          </w:tcPr>
          <w:p>
            <w:pPr>
              <w:spacing w:after="0"/>
            </w:pPr>
            <w:r>
              <w:rPr>
                <w:sz w:val="16"/>
              </w:rPr>
              <w:t>Homepage media before interaction</w:t>
            </w:r>
          </w:p>
        </w:tc>
        <w:tc>
          <w:tcPr>
            <w:tcW w:type="dxa" w:w="2664"/>
            <w:vAlign w:val="top"/>
            <w:tcMar>
              <w:top w:w="100" w:type="dxa"/>
              <w:start w:w="110" w:type="dxa"/>
              <w:bottom w:w="100" w:type="dxa"/>
              <w:end w:w="110" w:type="dxa"/>
            </w:tcMar>
            <w:shd w:fill="F8FAFC"/>
          </w:tcPr>
          <w:p>
            <w:pPr>
              <w:spacing w:after="0"/>
            </w:pPr>
            <w:r>
              <w:rPr>
                <w:sz w:val="16"/>
              </w:rPr>
              <w:t>≤ 1.2 MB</w:t>
            </w:r>
          </w:p>
        </w:tc>
        <w:tc>
          <w:tcPr>
            <w:tcW w:type="dxa" w:w="3528"/>
            <w:vAlign w:val="top"/>
            <w:tcMar>
              <w:top w:w="100" w:type="dxa"/>
              <w:start w:w="110" w:type="dxa"/>
              <w:bottom w:w="100" w:type="dxa"/>
              <w:end w:w="110" w:type="dxa"/>
            </w:tcMar>
            <w:shd w:fill="F8FAFC"/>
          </w:tcPr>
          <w:p>
            <w:pPr>
              <w:spacing w:after="0"/>
            </w:pPr>
            <w:r>
              <w:rPr>
                <w:sz w:val="16"/>
              </w:rPr>
              <w:t>≤ 1.5 MB</w:t>
            </w:r>
          </w:p>
        </w:tc>
      </w:tr>
      <w:tr>
        <w:tc>
          <w:tcPr>
            <w:tcW w:type="dxa" w:w="3456"/>
            <w:vAlign w:val="top"/>
            <w:tcMar>
              <w:top w:w="100" w:type="dxa"/>
              <w:start w:w="110" w:type="dxa"/>
              <w:bottom w:w="100" w:type="dxa"/>
              <w:end w:w="110" w:type="dxa"/>
            </w:tcMar>
          </w:tcPr>
          <w:p>
            <w:pPr>
              <w:spacing w:after="0"/>
            </w:pPr>
            <w:r>
              <w:rPr>
                <w:sz w:val="16"/>
              </w:rPr>
              <w:t>Navigation long task</w:t>
            </w:r>
          </w:p>
        </w:tc>
        <w:tc>
          <w:tcPr>
            <w:tcW w:type="dxa" w:w="2664"/>
            <w:vAlign w:val="top"/>
            <w:tcMar>
              <w:top w:w="100" w:type="dxa"/>
              <w:start w:w="110" w:type="dxa"/>
              <w:bottom w:w="100" w:type="dxa"/>
              <w:end w:w="110" w:type="dxa"/>
            </w:tcMar>
          </w:tcPr>
          <w:p>
            <w:pPr>
              <w:spacing w:after="0"/>
            </w:pPr>
            <w:r>
              <w:rPr>
                <w:sz w:val="16"/>
              </w:rPr>
              <w:t>None over 100 ms</w:t>
            </w:r>
          </w:p>
        </w:tc>
        <w:tc>
          <w:tcPr>
            <w:tcW w:type="dxa" w:w="3528"/>
            <w:vAlign w:val="top"/>
            <w:tcMar>
              <w:top w:w="100" w:type="dxa"/>
              <w:start w:w="110" w:type="dxa"/>
              <w:bottom w:w="100" w:type="dxa"/>
              <w:end w:w="110" w:type="dxa"/>
            </w:tcMar>
          </w:tcPr>
          <w:p>
            <w:pPr>
              <w:spacing w:after="0"/>
            </w:pPr>
            <w:r>
              <w:rPr>
                <w:sz w:val="16"/>
              </w:rPr>
              <w:t>None over 200 ms</w:t>
            </w:r>
          </w:p>
        </w:tc>
      </w:tr>
    </w:tbl>
    <w:p>
      <w:pPr>
        <w:spacing w:after="0"/>
      </w:pPr>
    </w:p>
    <w:p>
      <w:pPr>
        <w:pStyle w:val="ListBullet"/>
        <w:spacing w:after="44"/>
      </w:pPr>
      <w:r>
        <w:t>Prerender essential copy, navigation and project metadata. Defer non-essential media and enhancements.</w:t>
      </w:r>
    </w:p>
    <w:p>
      <w:pPr>
        <w:pStyle w:val="ListBullet"/>
        <w:spacing w:after="44"/>
      </w:pPr>
      <w:r>
        <w:t>Use responsive images, explicit dimensions and appropriate modern formats while preserving authored crops.</w:t>
      </w:r>
    </w:p>
    <w:p>
      <w:pPr>
        <w:pStyle w:val="ListBullet"/>
        <w:spacing w:after="44"/>
      </w:pPr>
      <w:r>
        <w:t>Apply immutable caching only to content-hashed assets. Do not cache mutable HTML as immutable.</w:t>
      </w:r>
    </w:p>
    <w:p>
      <w:pPr>
        <w:pStyle w:val="ListBullet"/>
        <w:spacing w:after="44"/>
      </w:pPr>
      <w:r>
        <w:t>Respect Save-Data and reduced-motion preferences with quieter media and fewer background requests.</w:t>
      </w:r>
    </w:p>
    <w:p>
      <w:pPr>
        <w:pStyle w:val="ListBullet"/>
        <w:spacing w:after="44"/>
      </w:pPr>
      <w:r>
        <w:t>Support the latest two stable versions of Chrome, Safari, Firefox and Edge, plus current iOS Safari and Android Chrome.</w:t>
      </w:r>
    </w:p>
    <w:p>
      <w:pPr>
        <w:pStyle w:val="Heading1"/>
      </w:pPr>
      <w:r>
        <w:t>14. Technical architecture</w:t>
      </w:r>
    </w:p>
    <w:p>
      <w:pPr>
        <w:pStyle w:val="Heading2"/>
      </w:pPr>
      <w:r>
        <w:t>14.1 Content model</w:t>
      </w:r>
    </w:p>
    <w:p>
      <w:r>
        <w:t>Split the current monolithic site data into explicit domains: site configuration, navigation, projects, case studies, services, writing and clients. Keep rendered content as the canonical accessible layer; JavaScript manages enhancement and state rather than becoming the only source of content.</w:t>
      </w:r>
    </w:p>
    <w:p>
      <w:pPr>
        <w:pStyle w:val="Heading2"/>
      </w:pPr>
      <w:r>
        <w:t>14.2 Frontend boundaries</w:t>
      </w:r>
    </w:p>
    <w:p>
      <w:pPr>
        <w:pStyle w:val="ListBullet"/>
        <w:spacing w:after="44"/>
      </w:pPr>
      <w:r>
        <w:t>Create stable modules for navigation/Index, theme, motion preferences, project states, service interaction, marquee control and form state.</w:t>
      </w:r>
    </w:p>
    <w:p>
      <w:pPr>
        <w:pStyle w:val="ListBullet"/>
        <w:spacing w:after="44"/>
      </w:pPr>
      <w:r>
        <w:t>Consolidate duplicated CSS into tokens and component-level rules while preserving measured geometry and visual output.</w:t>
      </w:r>
    </w:p>
    <w:p>
      <w:pPr>
        <w:pStyle w:val="ListBullet"/>
        <w:spacing w:after="44"/>
      </w:pPr>
      <w:r>
        <w:t>Keep route metadata, canonical URLs, social cards and structured data aligned with publication state.</w:t>
      </w:r>
    </w:p>
    <w:p>
      <w:pPr>
        <w:pStyle w:val="ListBullet"/>
        <w:spacing w:after="44"/>
      </w:pPr>
      <w:r>
        <w:t>Treat existing tests as evidence, not authority. Rewrite assertions that encode obsolete locked-project or contact behavior.</w:t>
      </w:r>
    </w:p>
    <w:p>
      <w:pPr>
        <w:pStyle w:val="Heading2"/>
      </w:pPr>
      <w:r>
        <w:t>14.3 Contact service</w:t>
      </w:r>
    </w:p>
    <w:p>
      <w:r>
        <w:t>Required flow: HTTP handler → request validator → abuse guard → mail-service interface → Resend adapter → structured response and privacy-safe logger.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01828"/>
            <w:vAlign w:val="center"/>
            <w:tcMar>
              <w:top w:w="100" w:type="dxa"/>
              <w:start w:w="110" w:type="dxa"/>
              <w:bottom w:w="100" w:type="dxa"/>
              <w:end w:w="110" w:type="dxa"/>
            </w:tcMar>
          </w:tcPr>
          <w:p>
            <w:r>
              <w:rPr>
                <w:b/>
                <w:color w:val="FFFFFF"/>
                <w:sz w:val="14"/>
              </w:rPr>
              <w:t>LAYER</w:t>
            </w:r>
          </w:p>
        </w:tc>
        <w:tc>
          <w:tcPr>
            <w:tcW w:type="dxa" w:w="7704"/>
            <w:shd w:fill="101828"/>
            <w:vAlign w:val="center"/>
            <w:tcMar>
              <w:top w:w="100" w:type="dxa"/>
              <w:start w:w="110" w:type="dxa"/>
              <w:bottom w:w="100" w:type="dxa"/>
              <w:end w:w="110" w:type="dxa"/>
            </w:tcMar>
          </w:tcPr>
          <w:p>
            <w:r>
              <w:rPr>
                <w:b/>
                <w:color w:val="FFFFFF"/>
                <w:sz w:val="14"/>
              </w:rPr>
              <w:t>REQUIREMENT</w:t>
            </w:r>
          </w:p>
        </w:tc>
      </w:tr>
      <w:tr>
        <w:tc>
          <w:tcPr>
            <w:tcW w:type="dxa" w:w="1944"/>
            <w:vAlign w:val="top"/>
            <w:tcMar>
              <w:top w:w="100" w:type="dxa"/>
              <w:start w:w="110" w:type="dxa"/>
              <w:bottom w:w="100" w:type="dxa"/>
              <w:end w:w="110" w:type="dxa"/>
            </w:tcMar>
          </w:tcPr>
          <w:p>
            <w:pPr>
              <w:spacing w:after="0"/>
            </w:pPr>
            <w:r>
              <w:rPr>
                <w:sz w:val="16"/>
              </w:rPr>
              <w:t>Request</w:t>
            </w:r>
          </w:p>
        </w:tc>
        <w:tc>
          <w:tcPr>
            <w:tcW w:type="dxa" w:w="7704"/>
            <w:vAlign w:val="top"/>
            <w:tcMar>
              <w:top w:w="100" w:type="dxa"/>
              <w:start w:w="110" w:type="dxa"/>
              <w:bottom w:w="100" w:type="dxa"/>
              <w:end w:w="110" w:type="dxa"/>
            </w:tcMar>
          </w:tcPr>
          <w:p>
            <w:pPr>
              <w:spacing w:after="0"/>
            </w:pPr>
            <w:r>
              <w:rPr>
                <w:sz w:val="16"/>
              </w:rPr>
              <w:t>Same-origin JSON POST; require name/email/message; enforce field/body limits; reject unknown/malformed input.</w:t>
            </w:r>
          </w:p>
        </w:tc>
      </w:tr>
      <w:tr>
        <w:tc>
          <w:tcPr>
            <w:tcW w:type="dxa" w:w="1944"/>
            <w:vAlign w:val="top"/>
            <w:tcMar>
              <w:top w:w="100" w:type="dxa"/>
              <w:start w:w="110" w:type="dxa"/>
              <w:bottom w:w="100" w:type="dxa"/>
              <w:end w:w="110" w:type="dxa"/>
            </w:tcMar>
            <w:shd w:fill="F8FAFC"/>
          </w:tcPr>
          <w:p>
            <w:pPr>
              <w:spacing w:after="0"/>
            </w:pPr>
            <w:r>
              <w:rPr>
                <w:sz w:val="16"/>
              </w:rPr>
              <w:t>Abuse controls</w:t>
            </w:r>
          </w:p>
        </w:tc>
        <w:tc>
          <w:tcPr>
            <w:tcW w:type="dxa" w:w="7704"/>
            <w:vAlign w:val="top"/>
            <w:tcMar>
              <w:top w:w="100" w:type="dxa"/>
              <w:start w:w="110" w:type="dxa"/>
              <w:bottom w:w="100" w:type="dxa"/>
              <w:end w:w="110" w:type="dxa"/>
            </w:tcMar>
            <w:shd w:fill="F8FAFC"/>
          </w:tcPr>
          <w:p>
            <w:pPr>
              <w:spacing w:after="0"/>
            </w:pPr>
            <w:r>
              <w:rPr>
                <w:sz w:val="16"/>
              </w:rPr>
              <w:t>Honeypot, minimum-fill-time check and shared infrastructure-backed rate limiting—not process memory.</w:t>
            </w:r>
          </w:p>
        </w:tc>
      </w:tr>
      <w:tr>
        <w:tc>
          <w:tcPr>
            <w:tcW w:type="dxa" w:w="1944"/>
            <w:vAlign w:val="top"/>
            <w:tcMar>
              <w:top w:w="100" w:type="dxa"/>
              <w:start w:w="110" w:type="dxa"/>
              <w:bottom w:w="100" w:type="dxa"/>
              <w:end w:w="110" w:type="dxa"/>
            </w:tcMar>
          </w:tcPr>
          <w:p>
            <w:pPr>
              <w:spacing w:after="0"/>
            </w:pPr>
            <w:r>
              <w:rPr>
                <w:sz w:val="16"/>
              </w:rPr>
              <w:t>Provider</w:t>
            </w:r>
          </w:p>
        </w:tc>
        <w:tc>
          <w:tcPr>
            <w:tcW w:type="dxa" w:w="7704"/>
            <w:vAlign w:val="top"/>
            <w:tcMar>
              <w:top w:w="100" w:type="dxa"/>
              <w:start w:w="110" w:type="dxa"/>
              <w:bottom w:w="100" w:type="dxa"/>
              <w:end w:w="110" w:type="dxa"/>
            </w:tcMar>
          </w:tcPr>
          <w:p>
            <w:pPr>
              <w:spacing w:after="0"/>
            </w:pPr>
            <w:r>
              <w:rPr>
                <w:sz w:val="16"/>
              </w:rPr>
              <w:t>Resend behind a replaceable interface with an 8-second timeout and mapped provider errors.</w:t>
            </w:r>
          </w:p>
        </w:tc>
      </w:tr>
      <w:tr>
        <w:tc>
          <w:tcPr>
            <w:tcW w:type="dxa" w:w="1944"/>
            <w:vAlign w:val="top"/>
            <w:tcMar>
              <w:top w:w="100" w:type="dxa"/>
              <w:start w:w="110" w:type="dxa"/>
              <w:bottom w:w="100" w:type="dxa"/>
              <w:end w:w="110" w:type="dxa"/>
            </w:tcMar>
            <w:shd w:fill="F8FAFC"/>
          </w:tcPr>
          <w:p>
            <w:pPr>
              <w:spacing w:after="0"/>
            </w:pPr>
            <w:r>
              <w:rPr>
                <w:sz w:val="16"/>
              </w:rPr>
              <w:t>Responses</w:t>
            </w:r>
          </w:p>
        </w:tc>
        <w:tc>
          <w:tcPr>
            <w:tcW w:type="dxa" w:w="7704"/>
            <w:vAlign w:val="top"/>
            <w:tcMar>
              <w:top w:w="100" w:type="dxa"/>
              <w:start w:w="110" w:type="dxa"/>
              <w:bottom w:w="100" w:type="dxa"/>
              <w:end w:w="110" w:type="dxa"/>
            </w:tcMar>
            <w:shd w:fill="F8FAFC"/>
          </w:tcPr>
          <w:p>
            <w:pPr>
              <w:spacing w:after="0"/>
            </w:pPr>
            <w:r>
              <w:rPr>
                <w:sz w:val="16"/>
              </w:rPr>
              <w:t>200/202 success; 400/422 validation; 429 with Retry-After; 503 provider unavailable; 500 unexpected.</w:t>
            </w:r>
          </w:p>
        </w:tc>
      </w:tr>
      <w:tr>
        <w:tc>
          <w:tcPr>
            <w:tcW w:type="dxa" w:w="1944"/>
            <w:vAlign w:val="top"/>
            <w:tcMar>
              <w:top w:w="100" w:type="dxa"/>
              <w:start w:w="110" w:type="dxa"/>
              <w:bottom w:w="100" w:type="dxa"/>
              <w:end w:w="110" w:type="dxa"/>
            </w:tcMar>
          </w:tcPr>
          <w:p>
            <w:pPr>
              <w:spacing w:after="0"/>
            </w:pPr>
            <w:r>
              <w:rPr>
                <w:sz w:val="16"/>
              </w:rPr>
              <w:t>Logging</w:t>
            </w:r>
          </w:p>
        </w:tc>
        <w:tc>
          <w:tcPr>
            <w:tcW w:type="dxa" w:w="7704"/>
            <w:vAlign w:val="top"/>
            <w:tcMar>
              <w:top w:w="100" w:type="dxa"/>
              <w:start w:w="110" w:type="dxa"/>
              <w:bottom w:w="100" w:type="dxa"/>
              <w:end w:w="110" w:type="dxa"/>
            </w:tcMar>
          </w:tcPr>
          <w:p>
            <w:pPr>
              <w:spacing w:after="0"/>
            </w:pPr>
            <w:r>
              <w:rPr>
                <w:sz w:val="16"/>
              </w:rPr>
              <w:t>Record request ID, status, latency and provider error class; never log message bodies or full email addresses.</w:t>
            </w:r>
          </w:p>
        </w:tc>
      </w:tr>
      <w:tr>
        <w:tc>
          <w:tcPr>
            <w:tcW w:type="dxa" w:w="1944"/>
            <w:vAlign w:val="top"/>
            <w:tcMar>
              <w:top w:w="100" w:type="dxa"/>
              <w:start w:w="110" w:type="dxa"/>
              <w:bottom w:w="100" w:type="dxa"/>
              <w:end w:w="110" w:type="dxa"/>
            </w:tcMar>
            <w:shd w:fill="F8FAFC"/>
          </w:tcPr>
          <w:p>
            <w:pPr>
              <w:spacing w:after="0"/>
            </w:pPr>
            <w:r>
              <w:rPr>
                <w:sz w:val="16"/>
              </w:rPr>
              <w:t>Client</w:t>
            </w:r>
          </w:p>
        </w:tc>
        <w:tc>
          <w:tcPr>
            <w:tcW w:type="dxa" w:w="7704"/>
            <w:vAlign w:val="top"/>
            <w:tcMar>
              <w:top w:w="100" w:type="dxa"/>
              <w:start w:w="110" w:type="dxa"/>
              <w:bottom w:w="100" w:type="dxa"/>
              <w:end w:w="110" w:type="dxa"/>
            </w:tcMar>
            <w:shd w:fill="F8FAFC"/>
          </w:tcPr>
          <w:p>
            <w:pPr>
              <w:spacing w:after="0"/>
            </w:pPr>
            <w:r>
              <w:rPr>
                <w:sz w:val="16"/>
              </w:rPr>
              <w:t>Maintain values on failure, prevent duplicate submission and provide a direct email fallback.</w:t>
            </w:r>
          </w:p>
        </w:tc>
      </w:tr>
    </w:tbl>
    <w:p>
      <w:pPr>
        <w:spacing w:after="0"/>
      </w:pPr>
    </w:p>
    <w:p>
      <w:pPr>
        <w:pStyle w:val="Heading1"/>
      </w:pPr>
      <w:r>
        <w:t>15. Security and privacy</w:t>
      </w:r>
    </w:p>
    <w:p>
      <w:pPr>
        <w:pStyle w:val="ListBullet"/>
        <w:spacing w:after="44"/>
      </w:pPr>
      <w:r>
        <w:t>Preserve and verify existing security headers. Introduce CSP changes in report-only mode before enforcement.</w:t>
      </w:r>
    </w:p>
    <w:p>
      <w:pPr>
        <w:pStyle w:val="ListBullet"/>
        <w:spacing w:after="44"/>
      </w:pPr>
      <w:r>
        <w:t>Use Vercel as the canonical runtime and document required environment variables without committing secrets.</w:t>
      </w:r>
    </w:p>
    <w:p>
      <w:pPr>
        <w:pStyle w:val="ListBullet"/>
        <w:spacing w:after="44"/>
      </w:pPr>
      <w:r>
        <w:t>Restrict and document any public third-party key. If Last.fm remains, consider a proxy/cache and ensure the portfolio still works when the feed fails.</w:t>
      </w:r>
    </w:p>
    <w:p>
      <w:pPr>
        <w:pStyle w:val="ListBullet"/>
        <w:spacing w:after="44"/>
      </w:pPr>
      <w:r>
        <w:t>Ship production-only output: no source maps, internal drafts, private notes, test fixtures or unused raw assets.</w:t>
      </w:r>
    </w:p>
    <w:p>
      <w:pPr>
        <w:pStyle w:val="ListBullet"/>
        <w:spacing w:after="44"/>
      </w:pPr>
      <w:r>
        <w:t>Do not add advertising trackers. If measurement is introduced, minimise collection and update the privacy page before release.</w:t>
      </w:r>
    </w:p>
    <w:p>
      <w:pPr>
        <w:pStyle w:val="ListBullet"/>
        <w:spacing w:after="44"/>
      </w:pPr>
      <w:r>
        <w:t>Update privacy content to explain contact submissions, retention, processors and a clear deletion/contact route.</w:t>
      </w:r>
    </w:p>
    <w:p>
      <w:pPr>
        <w:pStyle w:val="Heading1"/>
      </w:pPr>
      <w:r>
        <w:t>16. Measurement plan</w:t>
      </w:r>
    </w:p>
    <w:p>
      <w:r>
        <w:t>V1 success is judged primarily through product completeness, quality gates and direct conversion reliability. A new analytics platform is not required for launch. If privacy-conscious analytics already exists or is later approved, measure only events needed to improve the priority journeys.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01828"/>
            <w:vAlign w:val="center"/>
            <w:tcMar>
              <w:top w:w="100" w:type="dxa"/>
              <w:start w:w="110" w:type="dxa"/>
              <w:bottom w:w="100" w:type="dxa"/>
              <w:end w:w="110" w:type="dxa"/>
            </w:tcMar>
          </w:tcPr>
          <w:p>
            <w:r>
              <w:rPr>
                <w:b/>
                <w:color w:val="FFFFFF"/>
                <w:sz w:val="14"/>
              </w:rPr>
              <w:t>SIGNAL</w:t>
            </w:r>
          </w:p>
        </w:tc>
        <w:tc>
          <w:tcPr>
            <w:tcW w:type="dxa" w:w="4536"/>
            <w:shd w:fill="101828"/>
            <w:vAlign w:val="center"/>
            <w:tcMar>
              <w:top w:w="100" w:type="dxa"/>
              <w:start w:w="110" w:type="dxa"/>
              <w:bottom w:w="100" w:type="dxa"/>
              <w:end w:w="110" w:type="dxa"/>
            </w:tcMar>
          </w:tcPr>
          <w:p>
            <w:r>
              <w:rPr>
                <w:b/>
                <w:color w:val="FFFFFF"/>
                <w:sz w:val="14"/>
              </w:rPr>
              <w:t>DEFINITION</w:t>
            </w:r>
          </w:p>
        </w:tc>
        <w:tc>
          <w:tcPr>
            <w:tcW w:type="dxa" w:w="2880"/>
            <w:shd w:fill="101828"/>
            <w:vAlign w:val="center"/>
            <w:tcMar>
              <w:top w:w="100" w:type="dxa"/>
              <w:start w:w="110" w:type="dxa"/>
              <w:bottom w:w="100" w:type="dxa"/>
              <w:end w:w="110" w:type="dxa"/>
            </w:tcMar>
          </w:tcPr>
          <w:p>
            <w:r>
              <w:rPr>
                <w:b/>
                <w:color w:val="FFFFFF"/>
                <w:sz w:val="14"/>
              </w:rPr>
              <w:t>USE</w:t>
            </w:r>
          </w:p>
        </w:tc>
      </w:tr>
      <w:tr>
        <w:tc>
          <w:tcPr>
            <w:tcW w:type="dxa" w:w="2232"/>
            <w:vAlign w:val="top"/>
            <w:tcMar>
              <w:top w:w="100" w:type="dxa"/>
              <w:start w:w="110" w:type="dxa"/>
              <w:bottom w:w="100" w:type="dxa"/>
              <w:end w:w="110" w:type="dxa"/>
            </w:tcMar>
          </w:tcPr>
          <w:p>
            <w:pPr>
              <w:spacing w:after="0"/>
            </w:pPr>
            <w:r>
              <w:rPr>
                <w:sz w:val="16"/>
              </w:rPr>
              <w:t>Case-study completion</w:t>
            </w:r>
          </w:p>
        </w:tc>
        <w:tc>
          <w:tcPr>
            <w:tcW w:type="dxa" w:w="4536"/>
            <w:vAlign w:val="top"/>
            <w:tcMar>
              <w:top w:w="100" w:type="dxa"/>
              <w:start w:w="110" w:type="dxa"/>
              <w:bottom w:w="100" w:type="dxa"/>
              <w:end w:w="110" w:type="dxa"/>
            </w:tcMar>
          </w:tcPr>
          <w:p>
            <w:pPr>
              <w:spacing w:after="0"/>
            </w:pPr>
            <w:r>
              <w:rPr>
                <w:sz w:val="16"/>
              </w:rPr>
              <w:t>Visitor reaches the next-project/reflection region of TEDx RSU</w:t>
            </w:r>
          </w:p>
        </w:tc>
        <w:tc>
          <w:tcPr>
            <w:tcW w:type="dxa" w:w="2880"/>
            <w:vAlign w:val="top"/>
            <w:tcMar>
              <w:top w:w="100" w:type="dxa"/>
              <w:start w:w="110" w:type="dxa"/>
              <w:bottom w:w="100" w:type="dxa"/>
              <w:end w:w="110" w:type="dxa"/>
            </w:tcMar>
          </w:tcPr>
          <w:p>
            <w:pPr>
              <w:spacing w:after="0"/>
            </w:pPr>
            <w:r>
              <w:rPr>
                <w:sz w:val="16"/>
              </w:rPr>
              <w:t>Assess whether proof is being consumed</w:t>
            </w:r>
          </w:p>
        </w:tc>
      </w:tr>
      <w:tr>
        <w:tc>
          <w:tcPr>
            <w:tcW w:type="dxa" w:w="2232"/>
            <w:vAlign w:val="top"/>
            <w:tcMar>
              <w:top w:w="100" w:type="dxa"/>
              <w:start w:w="110" w:type="dxa"/>
              <w:bottom w:w="100" w:type="dxa"/>
              <w:end w:w="110" w:type="dxa"/>
            </w:tcMar>
            <w:shd w:fill="F8FAFC"/>
          </w:tcPr>
          <w:p>
            <w:pPr>
              <w:spacing w:after="0"/>
            </w:pPr>
            <w:r>
              <w:rPr>
                <w:sz w:val="16"/>
              </w:rPr>
              <w:t>Contact success rate</w:t>
            </w:r>
          </w:p>
        </w:tc>
        <w:tc>
          <w:tcPr>
            <w:tcW w:type="dxa" w:w="4536"/>
            <w:vAlign w:val="top"/>
            <w:tcMar>
              <w:top w:w="100" w:type="dxa"/>
              <w:start w:w="110" w:type="dxa"/>
              <w:bottom w:w="100" w:type="dxa"/>
              <w:end w:w="110" w:type="dxa"/>
            </w:tcMar>
            <w:shd w:fill="F8FAFC"/>
          </w:tcPr>
          <w:p>
            <w:pPr>
              <w:spacing w:after="0"/>
            </w:pPr>
            <w:r>
              <w:rPr>
                <w:sz w:val="16"/>
              </w:rPr>
              <w:t>Accepted submissions divided by valid attempts</w:t>
            </w:r>
          </w:p>
        </w:tc>
        <w:tc>
          <w:tcPr>
            <w:tcW w:type="dxa" w:w="2880"/>
            <w:vAlign w:val="top"/>
            <w:tcMar>
              <w:top w:w="100" w:type="dxa"/>
              <w:start w:w="110" w:type="dxa"/>
              <w:bottom w:w="100" w:type="dxa"/>
              <w:end w:w="110" w:type="dxa"/>
            </w:tcMar>
            <w:shd w:fill="F8FAFC"/>
          </w:tcPr>
          <w:p>
            <w:pPr>
              <w:spacing w:after="0"/>
            </w:pPr>
            <w:r>
              <w:rPr>
                <w:sz w:val="16"/>
              </w:rPr>
              <w:t>Monitor conversion reliability</w:t>
            </w:r>
          </w:p>
        </w:tc>
      </w:tr>
      <w:tr>
        <w:tc>
          <w:tcPr>
            <w:tcW w:type="dxa" w:w="2232"/>
            <w:vAlign w:val="top"/>
            <w:tcMar>
              <w:top w:w="100" w:type="dxa"/>
              <w:start w:w="110" w:type="dxa"/>
              <w:bottom w:w="100" w:type="dxa"/>
              <w:end w:w="110" w:type="dxa"/>
            </w:tcMar>
          </w:tcPr>
          <w:p>
            <w:pPr>
              <w:spacing w:after="0"/>
            </w:pPr>
            <w:r>
              <w:rPr>
                <w:sz w:val="16"/>
              </w:rPr>
              <w:t>Contact error classes</w:t>
            </w:r>
          </w:p>
        </w:tc>
        <w:tc>
          <w:tcPr>
            <w:tcW w:type="dxa" w:w="4536"/>
            <w:vAlign w:val="top"/>
            <w:tcMar>
              <w:top w:w="100" w:type="dxa"/>
              <w:start w:w="110" w:type="dxa"/>
              <w:bottom w:w="100" w:type="dxa"/>
              <w:end w:w="110" w:type="dxa"/>
            </w:tcMar>
          </w:tcPr>
          <w:p>
            <w:pPr>
              <w:spacing w:after="0"/>
            </w:pPr>
            <w:r>
              <w:rPr>
                <w:sz w:val="16"/>
              </w:rPr>
              <w:t>Validation, rate-limit, provider and unexpected failures</w:t>
            </w:r>
          </w:p>
        </w:tc>
        <w:tc>
          <w:tcPr>
            <w:tcW w:type="dxa" w:w="2880"/>
            <w:vAlign w:val="top"/>
            <w:tcMar>
              <w:top w:w="100" w:type="dxa"/>
              <w:start w:w="110" w:type="dxa"/>
              <w:bottom w:w="100" w:type="dxa"/>
              <w:end w:w="110" w:type="dxa"/>
            </w:tcMar>
          </w:tcPr>
          <w:p>
            <w:pPr>
              <w:spacing w:after="0"/>
            </w:pPr>
            <w:r>
              <w:rPr>
                <w:sz w:val="16"/>
              </w:rPr>
              <w:t>Identify operational defects without storing message content</w:t>
            </w:r>
          </w:p>
        </w:tc>
      </w:tr>
      <w:tr>
        <w:tc>
          <w:tcPr>
            <w:tcW w:type="dxa" w:w="2232"/>
            <w:vAlign w:val="top"/>
            <w:tcMar>
              <w:top w:w="100" w:type="dxa"/>
              <w:start w:w="110" w:type="dxa"/>
              <w:bottom w:w="100" w:type="dxa"/>
              <w:end w:w="110" w:type="dxa"/>
            </w:tcMar>
            <w:shd w:fill="F8FAFC"/>
          </w:tcPr>
          <w:p>
            <w:pPr>
              <w:spacing w:after="0"/>
            </w:pPr>
            <w:r>
              <w:rPr>
                <w:sz w:val="16"/>
              </w:rPr>
              <w:t>CV downloads</w:t>
            </w:r>
          </w:p>
        </w:tc>
        <w:tc>
          <w:tcPr>
            <w:tcW w:type="dxa" w:w="4536"/>
            <w:vAlign w:val="top"/>
            <w:tcMar>
              <w:top w:w="100" w:type="dxa"/>
              <w:start w:w="110" w:type="dxa"/>
              <w:bottom w:w="100" w:type="dxa"/>
              <w:end w:w="110" w:type="dxa"/>
            </w:tcMar>
            <w:shd w:fill="F8FAFC"/>
          </w:tcPr>
          <w:p>
            <w:pPr>
              <w:spacing w:after="0"/>
            </w:pPr>
            <w:r>
              <w:rPr>
                <w:sz w:val="16"/>
              </w:rPr>
              <w:t>Approved CV download action</w:t>
            </w:r>
          </w:p>
        </w:tc>
        <w:tc>
          <w:tcPr>
            <w:tcW w:type="dxa" w:w="2880"/>
            <w:vAlign w:val="top"/>
            <w:tcMar>
              <w:top w:w="100" w:type="dxa"/>
              <w:start w:w="110" w:type="dxa"/>
              <w:bottom w:w="100" w:type="dxa"/>
              <w:end w:w="110" w:type="dxa"/>
            </w:tcMar>
            <w:shd w:fill="F8FAFC"/>
          </w:tcPr>
          <w:p>
            <w:pPr>
              <w:spacing w:after="0"/>
            </w:pPr>
            <w:r>
              <w:rPr>
                <w:sz w:val="16"/>
              </w:rPr>
              <w:t>Assess professional-intent pathway</w:t>
            </w:r>
          </w:p>
        </w:tc>
      </w:tr>
      <w:tr>
        <w:tc>
          <w:tcPr>
            <w:tcW w:type="dxa" w:w="2232"/>
            <w:vAlign w:val="top"/>
            <w:tcMar>
              <w:top w:w="100" w:type="dxa"/>
              <w:start w:w="110" w:type="dxa"/>
              <w:bottom w:w="100" w:type="dxa"/>
              <w:end w:w="110" w:type="dxa"/>
            </w:tcMar>
          </w:tcPr>
          <w:p>
            <w:pPr>
              <w:spacing w:after="0"/>
            </w:pPr>
            <w:r>
              <w:rPr>
                <w:sz w:val="16"/>
              </w:rPr>
              <w:t>Index usage</w:t>
            </w:r>
          </w:p>
        </w:tc>
        <w:tc>
          <w:tcPr>
            <w:tcW w:type="dxa" w:w="4536"/>
            <w:vAlign w:val="top"/>
            <w:tcMar>
              <w:top w:w="100" w:type="dxa"/>
              <w:start w:w="110" w:type="dxa"/>
              <w:bottom w:w="100" w:type="dxa"/>
              <w:end w:w="110" w:type="dxa"/>
            </w:tcMar>
          </w:tcPr>
          <w:p>
            <w:pPr>
              <w:spacing w:after="0"/>
            </w:pPr>
            <w:r>
              <w:rPr>
                <w:sz w:val="16"/>
              </w:rPr>
              <w:t>Open and route selection</w:t>
            </w:r>
          </w:p>
        </w:tc>
        <w:tc>
          <w:tcPr>
            <w:tcW w:type="dxa" w:w="2880"/>
            <w:vAlign w:val="top"/>
            <w:tcMar>
              <w:top w:w="100" w:type="dxa"/>
              <w:start w:w="110" w:type="dxa"/>
              <w:bottom w:w="100" w:type="dxa"/>
              <w:end w:w="110" w:type="dxa"/>
            </w:tcMar>
          </w:tcPr>
          <w:p>
            <w:pPr>
              <w:spacing w:after="0"/>
            </w:pPr>
            <w:r>
              <w:rPr>
                <w:sz w:val="16"/>
              </w:rPr>
              <w:t>Assess wayfinding</w:t>
            </w:r>
          </w:p>
        </w:tc>
      </w:tr>
      <w:tr>
        <w:tc>
          <w:tcPr>
            <w:tcW w:type="dxa" w:w="2232"/>
            <w:vAlign w:val="top"/>
            <w:tcMar>
              <w:top w:w="100" w:type="dxa"/>
              <w:start w:w="110" w:type="dxa"/>
              <w:bottom w:w="100" w:type="dxa"/>
              <w:end w:w="110" w:type="dxa"/>
            </w:tcMar>
            <w:shd w:fill="F8FAFC"/>
          </w:tcPr>
          <w:p>
            <w:pPr>
              <w:spacing w:after="0"/>
            </w:pPr>
            <w:r>
              <w:rPr>
                <w:sz w:val="16"/>
              </w:rPr>
              <w:t>Core Web Vitals</w:t>
            </w:r>
          </w:p>
        </w:tc>
        <w:tc>
          <w:tcPr>
            <w:tcW w:type="dxa" w:w="4536"/>
            <w:vAlign w:val="top"/>
            <w:tcMar>
              <w:top w:w="100" w:type="dxa"/>
              <w:start w:w="110" w:type="dxa"/>
              <w:bottom w:w="100" w:type="dxa"/>
              <w:end w:w="110" w:type="dxa"/>
            </w:tcMar>
            <w:shd w:fill="F8FAFC"/>
          </w:tcPr>
          <w:p>
            <w:pPr>
              <w:spacing w:after="0"/>
            </w:pPr>
            <w:r>
              <w:rPr>
                <w:sz w:val="16"/>
              </w:rPr>
              <w:t>Field and controlled-test LCP/INP/CLS</w:t>
            </w:r>
          </w:p>
        </w:tc>
        <w:tc>
          <w:tcPr>
            <w:tcW w:type="dxa" w:w="2880"/>
            <w:vAlign w:val="top"/>
            <w:tcMar>
              <w:top w:w="100" w:type="dxa"/>
              <w:start w:w="110" w:type="dxa"/>
              <w:bottom w:w="100" w:type="dxa"/>
              <w:end w:w="110" w:type="dxa"/>
            </w:tcMar>
            <w:shd w:fill="F8FAFC"/>
          </w:tcPr>
          <w:p>
            <w:pPr>
              <w:spacing w:after="0"/>
            </w:pPr>
            <w:r>
              <w:rPr>
                <w:sz w:val="16"/>
              </w:rPr>
              <w:t>Protect perceived quality</w:t>
            </w:r>
          </w:p>
        </w:tc>
      </w:tr>
    </w:tbl>
    <w:p>
      <w:pPr>
        <w:spacing w:after="0"/>
      </w:pPr>
    </w:p>
    <w:p>
      <w:pPr>
        <w:pStyle w:val="Heading1"/>
      </w:pPr>
      <w:r>
        <w:t>17. Dependencies and owner-supplied inputs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01828"/>
            <w:vAlign w:val="center"/>
            <w:tcMar>
              <w:top w:w="100" w:type="dxa"/>
              <w:start w:w="110" w:type="dxa"/>
              <w:bottom w:w="100" w:type="dxa"/>
              <w:end w:w="110" w:type="dxa"/>
            </w:tcMar>
          </w:tcPr>
          <w:p>
            <w:r>
              <w:rPr>
                <w:b/>
                <w:color w:val="FFFFFF"/>
                <w:sz w:val="14"/>
              </w:rPr>
              <w:t>DEPENDENCY</w:t>
            </w:r>
          </w:p>
        </w:tc>
        <w:tc>
          <w:tcPr>
            <w:tcW w:type="dxa" w:w="3960"/>
            <w:shd w:fill="101828"/>
            <w:vAlign w:val="center"/>
            <w:tcMar>
              <w:top w:w="100" w:type="dxa"/>
              <w:start w:w="110" w:type="dxa"/>
              <w:bottom w:w="100" w:type="dxa"/>
              <w:end w:w="110" w:type="dxa"/>
            </w:tcMar>
          </w:tcPr>
          <w:p>
            <w:r>
              <w:rPr>
                <w:b/>
                <w:color w:val="FFFFFF"/>
                <w:sz w:val="14"/>
              </w:rPr>
              <w:t>NEEDED FOR</w:t>
            </w:r>
          </w:p>
        </w:tc>
        <w:tc>
          <w:tcPr>
            <w:tcW w:type="dxa" w:w="2808"/>
            <w:shd w:fill="101828"/>
            <w:vAlign w:val="center"/>
            <w:tcMar>
              <w:top w:w="100" w:type="dxa"/>
              <w:start w:w="110" w:type="dxa"/>
              <w:bottom w:w="100" w:type="dxa"/>
              <w:end w:w="110" w:type="dxa"/>
            </w:tcMar>
          </w:tcPr>
          <w:p>
            <w:r>
              <w:rPr>
                <w:b/>
                <w:color w:val="FFFFFF"/>
                <w:sz w:val="14"/>
              </w:rPr>
              <w:t>FALLBACK</w:t>
            </w:r>
          </w:p>
        </w:tc>
      </w:tr>
      <w:tr>
        <w:tc>
          <w:tcPr>
            <w:tcW w:type="dxa" w:w="2880"/>
            <w:vAlign w:val="top"/>
            <w:tcMar>
              <w:top w:w="100" w:type="dxa"/>
              <w:start w:w="110" w:type="dxa"/>
              <w:bottom w:w="100" w:type="dxa"/>
              <w:end w:w="110" w:type="dxa"/>
            </w:tcMar>
          </w:tcPr>
          <w:p>
            <w:pPr>
              <w:spacing w:after="0"/>
            </w:pPr>
            <w:r>
              <w:rPr>
                <w:sz w:val="16"/>
              </w:rPr>
              <w:t>TEDx RSU assets and verified facts</w:t>
            </w:r>
          </w:p>
        </w:tc>
        <w:tc>
          <w:tcPr>
            <w:tcW w:type="dxa" w:w="3960"/>
            <w:vAlign w:val="top"/>
            <w:tcMar>
              <w:top w:w="100" w:type="dxa"/>
              <w:start w:w="110" w:type="dxa"/>
              <w:bottom w:w="100" w:type="dxa"/>
              <w:end w:w="110" w:type="dxa"/>
            </w:tcMar>
          </w:tcPr>
          <w:p>
            <w:pPr>
              <w:spacing w:after="0"/>
            </w:pPr>
            <w:r>
              <w:rPr>
                <w:sz w:val="16"/>
              </w:rPr>
              <w:t>Flagship case study</w:t>
            </w:r>
          </w:p>
        </w:tc>
        <w:tc>
          <w:tcPr>
            <w:tcW w:type="dxa" w:w="2808"/>
            <w:vAlign w:val="top"/>
            <w:tcMar>
              <w:top w:w="100" w:type="dxa"/>
              <w:start w:w="110" w:type="dxa"/>
              <w:bottom w:w="100" w:type="dxa"/>
              <w:end w:w="110" w:type="dxa"/>
            </w:tcMar>
          </w:tcPr>
          <w:p>
            <w:pPr>
              <w:spacing w:after="0"/>
            </w:pPr>
            <w:r>
              <w:rPr>
                <w:sz w:val="16"/>
              </w:rPr>
              <w:t>Do not publish incomplete or speculative content</w:t>
            </w:r>
          </w:p>
        </w:tc>
      </w:tr>
      <w:tr>
        <w:tc>
          <w:tcPr>
            <w:tcW w:type="dxa" w:w="2880"/>
            <w:vAlign w:val="top"/>
            <w:tcMar>
              <w:top w:w="100" w:type="dxa"/>
              <w:start w:w="110" w:type="dxa"/>
              <w:bottom w:w="100" w:type="dxa"/>
              <w:end w:w="110" w:type="dxa"/>
            </w:tcMar>
            <w:shd w:fill="F8FAFC"/>
          </w:tcPr>
          <w:p>
            <w:pPr>
              <w:spacing w:after="0"/>
            </w:pPr>
            <w:r>
              <w:rPr>
                <w:sz w:val="16"/>
              </w:rPr>
              <w:t>Explorations entries</w:t>
            </w:r>
          </w:p>
        </w:tc>
        <w:tc>
          <w:tcPr>
            <w:tcW w:type="dxa" w:w="3960"/>
            <w:vAlign w:val="top"/>
            <w:tcMar>
              <w:top w:w="100" w:type="dxa"/>
              <w:start w:w="110" w:type="dxa"/>
              <w:bottom w:w="100" w:type="dxa"/>
              <w:end w:w="110" w:type="dxa"/>
            </w:tcMar>
            <w:shd w:fill="F8FAFC"/>
          </w:tcPr>
          <w:p>
            <w:pPr>
              <w:spacing w:after="0"/>
            </w:pPr>
            <w:r>
              <w:rPr>
                <w:sz w:val="16"/>
              </w:rPr>
              <w:t>Explorations route</w:t>
            </w:r>
          </w:p>
        </w:tc>
        <w:tc>
          <w:tcPr>
            <w:tcW w:type="dxa" w:w="2808"/>
            <w:vAlign w:val="top"/>
            <w:tcMar>
              <w:top w:w="100" w:type="dxa"/>
              <w:start w:w="110" w:type="dxa"/>
              <w:bottom w:w="100" w:type="dxa"/>
              <w:end w:w="110" w:type="dxa"/>
            </w:tcMar>
            <w:shd w:fill="F8FAFC"/>
          </w:tcPr>
          <w:p>
            <w:pPr>
              <w:spacing w:after="0"/>
            </w:pPr>
            <w:r>
              <w:rPr>
                <w:sz w:val="16"/>
              </w:rPr>
              <w:t>Approved truthful empty state</w:t>
            </w:r>
          </w:p>
        </w:tc>
      </w:tr>
      <w:tr>
        <w:tc>
          <w:tcPr>
            <w:tcW w:type="dxa" w:w="2880"/>
            <w:vAlign w:val="top"/>
            <w:tcMar>
              <w:top w:w="100" w:type="dxa"/>
              <w:start w:w="110" w:type="dxa"/>
              <w:bottom w:w="100" w:type="dxa"/>
              <w:end w:w="110" w:type="dxa"/>
            </w:tcMar>
          </w:tcPr>
          <w:p>
            <w:pPr>
              <w:spacing w:after="0"/>
            </w:pPr>
            <w:r>
              <w:rPr>
                <w:sz w:val="16"/>
              </w:rPr>
              <w:t>Community entries</w:t>
            </w:r>
          </w:p>
        </w:tc>
        <w:tc>
          <w:tcPr>
            <w:tcW w:type="dxa" w:w="3960"/>
            <w:vAlign w:val="top"/>
            <w:tcMar>
              <w:top w:w="100" w:type="dxa"/>
              <w:start w:w="110" w:type="dxa"/>
              <w:bottom w:w="100" w:type="dxa"/>
              <w:end w:w="110" w:type="dxa"/>
            </w:tcMar>
          </w:tcPr>
          <w:p>
            <w:pPr>
              <w:spacing w:after="0"/>
            </w:pPr>
            <w:r>
              <w:rPr>
                <w:sz w:val="16"/>
              </w:rPr>
              <w:t>Community route</w:t>
            </w:r>
          </w:p>
        </w:tc>
        <w:tc>
          <w:tcPr>
            <w:tcW w:type="dxa" w:w="2808"/>
            <w:vAlign w:val="top"/>
            <w:tcMar>
              <w:top w:w="100" w:type="dxa"/>
              <w:start w:w="110" w:type="dxa"/>
              <w:bottom w:w="100" w:type="dxa"/>
              <w:end w:w="110" w:type="dxa"/>
            </w:tcMar>
          </w:tcPr>
          <w:p>
            <w:pPr>
              <w:spacing w:after="0"/>
            </w:pPr>
            <w:r>
              <w:rPr>
                <w:sz w:val="16"/>
              </w:rPr>
              <w:t>Approved truthful empty state</w:t>
            </w:r>
          </w:p>
        </w:tc>
      </w:tr>
      <w:tr>
        <w:tc>
          <w:tcPr>
            <w:tcW w:type="dxa" w:w="2880"/>
            <w:vAlign w:val="top"/>
            <w:tcMar>
              <w:top w:w="100" w:type="dxa"/>
              <w:start w:w="110" w:type="dxa"/>
              <w:bottom w:w="100" w:type="dxa"/>
              <w:end w:w="110" w:type="dxa"/>
            </w:tcMar>
            <w:shd w:fill="F8FAFC"/>
          </w:tcPr>
          <w:p>
            <w:pPr>
              <w:spacing w:after="0"/>
            </w:pPr>
            <w:r>
              <w:rPr>
                <w:sz w:val="16"/>
              </w:rPr>
              <w:t>Current accessible CV PDF</w:t>
            </w:r>
          </w:p>
        </w:tc>
        <w:tc>
          <w:tcPr>
            <w:tcW w:type="dxa" w:w="3960"/>
            <w:vAlign w:val="top"/>
            <w:tcMar>
              <w:top w:w="100" w:type="dxa"/>
              <w:start w:w="110" w:type="dxa"/>
              <w:bottom w:w="100" w:type="dxa"/>
              <w:end w:w="110" w:type="dxa"/>
            </w:tcMar>
            <w:shd w:fill="F8FAFC"/>
          </w:tcPr>
          <w:p>
            <w:pPr>
              <w:spacing w:after="0"/>
            </w:pPr>
            <w:r>
              <w:rPr>
                <w:sz w:val="16"/>
              </w:rPr>
              <w:t>About and Index</w:t>
            </w:r>
          </w:p>
        </w:tc>
        <w:tc>
          <w:tcPr>
            <w:tcW w:type="dxa" w:w="2808"/>
            <w:vAlign w:val="top"/>
            <w:tcMar>
              <w:top w:w="100" w:type="dxa"/>
              <w:start w:w="110" w:type="dxa"/>
              <w:bottom w:w="100" w:type="dxa"/>
              <w:end w:w="110" w:type="dxa"/>
            </w:tcMar>
            <w:shd w:fill="F8FAFC"/>
          </w:tcPr>
          <w:p>
            <w:pPr>
              <w:spacing w:after="0"/>
            </w:pPr>
            <w:r>
              <w:rPr>
                <w:sz w:val="16"/>
              </w:rPr>
              <w:t>Hide download action until supplied</w:t>
            </w:r>
          </w:p>
        </w:tc>
      </w:tr>
      <w:tr>
        <w:tc>
          <w:tcPr>
            <w:tcW w:type="dxa" w:w="2880"/>
            <w:vAlign w:val="top"/>
            <w:tcMar>
              <w:top w:w="100" w:type="dxa"/>
              <w:start w:w="110" w:type="dxa"/>
              <w:bottom w:w="100" w:type="dxa"/>
              <w:end w:w="110" w:type="dxa"/>
            </w:tcMar>
          </w:tcPr>
          <w:p>
            <w:pPr>
              <w:spacing w:after="0"/>
            </w:pPr>
            <w:r>
              <w:rPr>
                <w:sz w:val="16"/>
              </w:rPr>
              <w:t>Verified metrics/collaborators</w:t>
            </w:r>
          </w:p>
        </w:tc>
        <w:tc>
          <w:tcPr>
            <w:tcW w:type="dxa" w:w="3960"/>
            <w:vAlign w:val="top"/>
            <w:tcMar>
              <w:top w:w="100" w:type="dxa"/>
              <w:start w:w="110" w:type="dxa"/>
              <w:bottom w:w="100" w:type="dxa"/>
              <w:end w:w="110" w:type="dxa"/>
            </w:tcMar>
          </w:tcPr>
          <w:p>
            <w:pPr>
              <w:spacing w:after="0"/>
            </w:pPr>
            <w:r>
              <w:rPr>
                <w:sz w:val="16"/>
              </w:rPr>
              <w:t>Project evidence</w:t>
            </w:r>
          </w:p>
        </w:tc>
        <w:tc>
          <w:tcPr>
            <w:tcW w:type="dxa" w:w="2808"/>
            <w:vAlign w:val="top"/>
            <w:tcMar>
              <w:top w:w="100" w:type="dxa"/>
              <w:start w:w="110" w:type="dxa"/>
              <w:bottom w:w="100" w:type="dxa"/>
              <w:end w:w="110" w:type="dxa"/>
            </w:tcMar>
          </w:tcPr>
          <w:p>
            <w:pPr>
              <w:spacing w:after="0"/>
            </w:pPr>
            <w:r>
              <w:rPr>
                <w:sz w:val="16"/>
              </w:rPr>
              <w:t>Omit the claim or collaborator</w:t>
            </w:r>
          </w:p>
        </w:tc>
      </w:tr>
      <w:tr>
        <w:tc>
          <w:tcPr>
            <w:tcW w:type="dxa" w:w="2880"/>
            <w:vAlign w:val="top"/>
            <w:tcMar>
              <w:top w:w="100" w:type="dxa"/>
              <w:start w:w="110" w:type="dxa"/>
              <w:bottom w:w="100" w:type="dxa"/>
              <w:end w:w="110" w:type="dxa"/>
            </w:tcMar>
            <w:shd w:fill="F8FAFC"/>
          </w:tcPr>
          <w:p>
            <w:pPr>
              <w:spacing w:after="0"/>
            </w:pPr>
            <w:r>
              <w:rPr>
                <w:sz w:val="16"/>
              </w:rPr>
              <w:t>Working-principles copy</w:t>
            </w:r>
          </w:p>
        </w:tc>
        <w:tc>
          <w:tcPr>
            <w:tcW w:type="dxa" w:w="3960"/>
            <w:vAlign w:val="top"/>
            <w:tcMar>
              <w:top w:w="100" w:type="dxa"/>
              <w:start w:w="110" w:type="dxa"/>
              <w:bottom w:w="100" w:type="dxa"/>
              <w:end w:w="110" w:type="dxa"/>
            </w:tcMar>
            <w:shd w:fill="F8FAFC"/>
          </w:tcPr>
          <w:p>
            <w:pPr>
              <w:spacing w:after="0"/>
            </w:pPr>
            <w:r>
              <w:rPr>
                <w:sz w:val="16"/>
              </w:rPr>
              <w:t>Optional homepage module</w:t>
            </w:r>
          </w:p>
        </w:tc>
        <w:tc>
          <w:tcPr>
            <w:tcW w:type="dxa" w:w="2808"/>
            <w:vAlign w:val="top"/>
            <w:tcMar>
              <w:top w:w="100" w:type="dxa"/>
              <w:start w:w="110" w:type="dxa"/>
              <w:bottom w:w="100" w:type="dxa"/>
              <w:end w:w="110" w:type="dxa"/>
            </w:tcMar>
            <w:shd w:fill="F8FAFC"/>
          </w:tcPr>
          <w:p>
            <w:pPr>
              <w:spacing w:after="0"/>
            </w:pPr>
            <w:r>
              <w:rPr>
                <w:sz w:val="16"/>
              </w:rPr>
              <w:t>Omit the module</w:t>
            </w:r>
          </w:p>
        </w:tc>
      </w:tr>
      <w:tr>
        <w:tc>
          <w:tcPr>
            <w:tcW w:type="dxa" w:w="2880"/>
            <w:vAlign w:val="top"/>
            <w:tcMar>
              <w:top w:w="100" w:type="dxa"/>
              <w:start w:w="110" w:type="dxa"/>
              <w:bottom w:w="100" w:type="dxa"/>
              <w:end w:w="110" w:type="dxa"/>
            </w:tcMar>
          </w:tcPr>
          <w:p>
            <w:pPr>
              <w:spacing w:after="0"/>
            </w:pPr>
            <w:r>
              <w:rPr>
                <w:sz w:val="16"/>
              </w:rPr>
              <w:t>Vercel and Resend configuration</w:t>
            </w:r>
          </w:p>
        </w:tc>
        <w:tc>
          <w:tcPr>
            <w:tcW w:type="dxa" w:w="3960"/>
            <w:vAlign w:val="top"/>
            <w:tcMar>
              <w:top w:w="100" w:type="dxa"/>
              <w:start w:w="110" w:type="dxa"/>
              <w:bottom w:w="100" w:type="dxa"/>
              <w:end w:w="110" w:type="dxa"/>
            </w:tcMar>
          </w:tcPr>
          <w:p>
            <w:pPr>
              <w:spacing w:after="0"/>
            </w:pPr>
            <w:r>
              <w:rPr>
                <w:sz w:val="16"/>
              </w:rPr>
              <w:t>Contact delivery</w:t>
            </w:r>
          </w:p>
        </w:tc>
        <w:tc>
          <w:tcPr>
            <w:tcW w:type="dxa" w:w="2808"/>
            <w:vAlign w:val="top"/>
            <w:tcMar>
              <w:top w:w="100" w:type="dxa"/>
              <w:start w:w="110" w:type="dxa"/>
              <w:bottom w:w="100" w:type="dxa"/>
              <w:end w:w="110" w:type="dxa"/>
            </w:tcMar>
          </w:tcPr>
          <w:p>
            <w:pPr>
              <w:spacing w:after="0"/>
            </w:pPr>
            <w:r>
              <w:rPr>
                <w:sz w:val="16"/>
              </w:rPr>
              <w:t>Direct email remains visible; form cannot ship as complete</w:t>
            </w:r>
          </w:p>
        </w:tc>
      </w:tr>
      <w:tr>
        <w:tc>
          <w:tcPr>
            <w:tcW w:type="dxa" w:w="2880"/>
            <w:vAlign w:val="top"/>
            <w:tcMar>
              <w:top w:w="100" w:type="dxa"/>
              <w:start w:w="110" w:type="dxa"/>
              <w:bottom w:w="100" w:type="dxa"/>
              <w:end w:w="110" w:type="dxa"/>
            </w:tcMar>
            <w:shd w:fill="F8FAFC"/>
          </w:tcPr>
          <w:p>
            <w:pPr>
              <w:spacing w:after="0"/>
            </w:pPr>
            <w:r>
              <w:rPr>
                <w:sz w:val="16"/>
              </w:rPr>
              <w:t>Shared rate-limit provider</w:t>
            </w:r>
          </w:p>
        </w:tc>
        <w:tc>
          <w:tcPr>
            <w:tcW w:type="dxa" w:w="3960"/>
            <w:vAlign w:val="top"/>
            <w:tcMar>
              <w:top w:w="100" w:type="dxa"/>
              <w:start w:w="110" w:type="dxa"/>
              <w:bottom w:w="100" w:type="dxa"/>
              <w:end w:w="110" w:type="dxa"/>
            </w:tcMar>
            <w:shd w:fill="F8FAFC"/>
          </w:tcPr>
          <w:p>
            <w:pPr>
              <w:spacing w:after="0"/>
            </w:pPr>
            <w:r>
              <w:rPr>
                <w:sz w:val="16"/>
              </w:rPr>
              <w:t>Abuse prevention</w:t>
            </w:r>
          </w:p>
        </w:tc>
        <w:tc>
          <w:tcPr>
            <w:tcW w:type="dxa" w:w="2808"/>
            <w:vAlign w:val="top"/>
            <w:tcMar>
              <w:top w:w="100" w:type="dxa"/>
              <w:start w:w="110" w:type="dxa"/>
              <w:bottom w:w="100" w:type="dxa"/>
              <w:end w:w="110" w:type="dxa"/>
            </w:tcMar>
            <w:shd w:fill="F8FAFC"/>
          </w:tcPr>
          <w:p>
            <w:pPr>
              <w:spacing w:after="0"/>
            </w:pPr>
            <w:r>
              <w:rPr>
                <w:sz w:val="16"/>
              </w:rPr>
              <w:t>Do not substitute in-memory production limits</w:t>
            </w:r>
          </w:p>
        </w:tc>
      </w:tr>
      <w:tr>
        <w:tc>
          <w:tcPr>
            <w:tcW w:type="dxa" w:w="2880"/>
            <w:vAlign w:val="top"/>
            <w:tcMar>
              <w:top w:w="100" w:type="dxa"/>
              <w:start w:w="110" w:type="dxa"/>
              <w:bottom w:w="100" w:type="dxa"/>
              <w:end w:w="110" w:type="dxa"/>
            </w:tcMar>
          </w:tcPr>
          <w:p>
            <w:pPr>
              <w:spacing w:after="0"/>
            </w:pPr>
            <w:r>
              <w:rPr>
                <w:sz w:val="16"/>
              </w:rPr>
              <w:t>Owner preview approval</w:t>
            </w:r>
          </w:p>
        </w:tc>
        <w:tc>
          <w:tcPr>
            <w:tcW w:type="dxa" w:w="3960"/>
            <w:vAlign w:val="top"/>
            <w:tcMar>
              <w:top w:w="100" w:type="dxa"/>
              <w:start w:w="110" w:type="dxa"/>
              <w:bottom w:w="100" w:type="dxa"/>
              <w:end w:w="110" w:type="dxa"/>
            </w:tcMar>
          </w:tcPr>
          <w:p>
            <w:pPr>
              <w:spacing w:after="0"/>
            </w:pPr>
            <w:r>
              <w:rPr>
                <w:sz w:val="16"/>
              </w:rPr>
              <w:t>Production release</w:t>
            </w:r>
          </w:p>
        </w:tc>
        <w:tc>
          <w:tcPr>
            <w:tcW w:type="dxa" w:w="2808"/>
            <w:vAlign w:val="top"/>
            <w:tcMar>
              <w:top w:w="100" w:type="dxa"/>
              <w:start w:w="110" w:type="dxa"/>
              <w:bottom w:w="100" w:type="dxa"/>
              <w:end w:w="110" w:type="dxa"/>
            </w:tcMar>
          </w:tcPr>
          <w:p>
            <w:pPr>
              <w:spacing w:after="0"/>
            </w:pPr>
            <w:r>
              <w:rPr>
                <w:sz w:val="16"/>
              </w:rPr>
              <w:t>Hold deployment</w:t>
            </w:r>
          </w:p>
        </w:tc>
      </w:tr>
    </w:tbl>
    <w:p>
      <w:pPr>
        <w:spacing w:after="0"/>
      </w:pPr>
    </w:p>
    <w:p>
      <w:pPr>
        <w:pStyle w:val="Heading1"/>
      </w:pPr>
      <w:r>
        <w:t>18.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01828"/>
            <w:vAlign w:val="center"/>
            <w:tcMar>
              <w:top w:w="100" w:type="dxa"/>
              <w:start w:w="110" w:type="dxa"/>
              <w:bottom w:w="100" w:type="dxa"/>
              <w:end w:w="110" w:type="dxa"/>
            </w:tcMar>
          </w:tcPr>
          <w:p>
            <w:r>
              <w:rPr>
                <w:b/>
                <w:color w:val="FFFFFF"/>
                <w:sz w:val="14"/>
              </w:rPr>
              <w:t>RISK</w:t>
            </w:r>
          </w:p>
        </w:tc>
        <w:tc>
          <w:tcPr>
            <w:tcW w:type="dxa" w:w="4824"/>
            <w:shd w:fill="101828"/>
            <w:vAlign w:val="center"/>
            <w:tcMar>
              <w:top w:w="100" w:type="dxa"/>
              <w:start w:w="110" w:type="dxa"/>
              <w:bottom w:w="100" w:type="dxa"/>
              <w:end w:w="110" w:type="dxa"/>
            </w:tcMar>
          </w:tcPr>
          <w:p>
            <w:r>
              <w:rPr>
                <w:b/>
                <w:color w:val="FFFFFF"/>
                <w:sz w:val="14"/>
              </w:rPr>
              <w:t>MITIGATION</w:t>
            </w:r>
          </w:p>
        </w:tc>
        <w:tc>
          <w:tcPr>
            <w:tcW w:type="dxa" w:w="1728"/>
            <w:shd w:fill="101828"/>
            <w:vAlign w:val="center"/>
            <w:tcMar>
              <w:top w:w="100" w:type="dxa"/>
              <w:start w:w="110" w:type="dxa"/>
              <w:bottom w:w="100" w:type="dxa"/>
              <w:end w:w="110" w:type="dxa"/>
            </w:tcMar>
          </w:tcPr>
          <w:p>
            <w:r>
              <w:rPr>
                <w:b/>
                <w:color w:val="FFFFFF"/>
                <w:sz w:val="14"/>
              </w:rPr>
              <w:t>RELEASE CONSEQUENCE</w:t>
            </w:r>
          </w:p>
        </w:tc>
      </w:tr>
      <w:tr>
        <w:tc>
          <w:tcPr>
            <w:tcW w:type="dxa" w:w="3096"/>
            <w:vAlign w:val="top"/>
            <w:tcMar>
              <w:top w:w="100" w:type="dxa"/>
              <w:start w:w="110" w:type="dxa"/>
              <w:bottom w:w="100" w:type="dxa"/>
              <w:end w:w="110" w:type="dxa"/>
            </w:tcMar>
          </w:tcPr>
          <w:p>
            <w:pPr>
              <w:spacing w:after="0"/>
            </w:pPr>
            <w:r>
              <w:rPr>
                <w:sz w:val="16"/>
              </w:rPr>
              <w:t>Visual drift toward the proof sheet or rejected build</w:t>
            </w:r>
          </w:p>
        </w:tc>
        <w:tc>
          <w:tcPr>
            <w:tcW w:type="dxa" w:w="4824"/>
            <w:vAlign w:val="top"/>
            <w:tcMar>
              <w:top w:w="100" w:type="dxa"/>
              <w:start w:w="110" w:type="dxa"/>
              <w:bottom w:w="100" w:type="dxa"/>
              <w:end w:w="110" w:type="dxa"/>
            </w:tcMar>
          </w:tcPr>
          <w:p>
            <w:pPr>
              <w:spacing w:after="0"/>
            </w:pPr>
            <w:r>
              <w:rPr>
                <w:sz w:val="16"/>
              </w:rPr>
              <w:t>Compare every changed route with the restored baseline; require owner visual approval.</w:t>
            </w:r>
          </w:p>
        </w:tc>
        <w:tc>
          <w:tcPr>
            <w:tcW w:type="dxa" w:w="1728"/>
            <w:vAlign w:val="top"/>
            <w:tcMar>
              <w:top w:w="100" w:type="dxa"/>
              <w:start w:w="110" w:type="dxa"/>
              <w:bottom w:w="100" w:type="dxa"/>
              <w:end w:w="110" w:type="dxa"/>
            </w:tcMar>
          </w:tcPr>
          <w:p>
            <w:pPr>
              <w:spacing w:after="0"/>
            </w:pPr>
            <w:r>
              <w:rPr>
                <w:sz w:val="16"/>
              </w:rPr>
              <w:t>Block release</w:t>
            </w:r>
          </w:p>
        </w:tc>
      </w:tr>
      <w:tr>
        <w:tc>
          <w:tcPr>
            <w:tcW w:type="dxa" w:w="3096"/>
            <w:vAlign w:val="top"/>
            <w:tcMar>
              <w:top w:w="100" w:type="dxa"/>
              <w:start w:w="110" w:type="dxa"/>
              <w:bottom w:w="100" w:type="dxa"/>
              <w:end w:w="110" w:type="dxa"/>
            </w:tcMar>
            <w:shd w:fill="F8FAFC"/>
          </w:tcPr>
          <w:p>
            <w:pPr>
              <w:spacing w:after="0"/>
            </w:pPr>
            <w:r>
              <w:rPr>
                <w:sz w:val="16"/>
              </w:rPr>
              <w:t>Scope expands into a redesign</w:t>
            </w:r>
          </w:p>
        </w:tc>
        <w:tc>
          <w:tcPr>
            <w:tcW w:type="dxa" w:w="4824"/>
            <w:vAlign w:val="top"/>
            <w:tcMar>
              <w:top w:w="100" w:type="dxa"/>
              <w:start w:w="110" w:type="dxa"/>
              <w:bottom w:w="100" w:type="dxa"/>
              <w:end w:w="110" w:type="dxa"/>
            </w:tcMar>
            <w:shd w:fill="F8FAFC"/>
          </w:tcPr>
          <w:p>
            <w:pPr>
              <w:spacing w:after="0"/>
            </w:pPr>
            <w:r>
              <w:rPr>
                <w:sz w:val="16"/>
              </w:rPr>
              <w:t>Use the in-scope/non-goal boundary and prioritise proof, routes and reliability.</w:t>
            </w:r>
          </w:p>
        </w:tc>
        <w:tc>
          <w:tcPr>
            <w:tcW w:type="dxa" w:w="1728"/>
            <w:vAlign w:val="top"/>
            <w:tcMar>
              <w:top w:w="100" w:type="dxa"/>
              <w:start w:w="110" w:type="dxa"/>
              <w:bottom w:w="100" w:type="dxa"/>
              <w:end w:w="110" w:type="dxa"/>
            </w:tcMar>
            <w:shd w:fill="F8FAFC"/>
          </w:tcPr>
          <w:p>
            <w:pPr>
              <w:spacing w:after="0"/>
            </w:pPr>
            <w:r>
              <w:rPr>
                <w:sz w:val="16"/>
              </w:rPr>
              <w:t>Defer nonessential concepts</w:t>
            </w:r>
          </w:p>
        </w:tc>
      </w:tr>
      <w:tr>
        <w:tc>
          <w:tcPr>
            <w:tcW w:type="dxa" w:w="3096"/>
            <w:vAlign w:val="top"/>
            <w:tcMar>
              <w:top w:w="100" w:type="dxa"/>
              <w:start w:w="110" w:type="dxa"/>
              <w:bottom w:w="100" w:type="dxa"/>
              <w:end w:w="110" w:type="dxa"/>
            </w:tcMar>
          </w:tcPr>
          <w:p>
            <w:pPr>
              <w:spacing w:after="0"/>
            </w:pPr>
            <w:r>
              <w:rPr>
                <w:sz w:val="16"/>
              </w:rPr>
              <w:t>Missing content encourages invention</w:t>
            </w:r>
          </w:p>
        </w:tc>
        <w:tc>
          <w:tcPr>
            <w:tcW w:type="dxa" w:w="4824"/>
            <w:vAlign w:val="top"/>
            <w:tcMar>
              <w:top w:w="100" w:type="dxa"/>
              <w:start w:w="110" w:type="dxa"/>
              <w:bottom w:w="100" w:type="dxa"/>
              <w:end w:w="110" w:type="dxa"/>
            </w:tcMar>
          </w:tcPr>
          <w:p>
            <w:pPr>
              <w:spacing w:after="0"/>
            </w:pPr>
            <w:r>
              <w:rPr>
                <w:sz w:val="16"/>
              </w:rPr>
              <w:t>Use explicit content dependencies and truthful empty/omitted states.</w:t>
            </w:r>
          </w:p>
        </w:tc>
        <w:tc>
          <w:tcPr>
            <w:tcW w:type="dxa" w:w="1728"/>
            <w:vAlign w:val="top"/>
            <w:tcMar>
              <w:top w:w="100" w:type="dxa"/>
              <w:start w:w="110" w:type="dxa"/>
              <w:bottom w:w="100" w:type="dxa"/>
              <w:end w:w="110" w:type="dxa"/>
            </w:tcMar>
          </w:tcPr>
          <w:p>
            <w:pPr>
              <w:spacing w:after="0"/>
            </w:pPr>
            <w:r>
              <w:rPr>
                <w:sz w:val="16"/>
              </w:rPr>
              <w:t>Ship less, never fabricate</w:t>
            </w:r>
          </w:p>
        </w:tc>
      </w:tr>
      <w:tr>
        <w:tc>
          <w:tcPr>
            <w:tcW w:type="dxa" w:w="3096"/>
            <w:vAlign w:val="top"/>
            <w:tcMar>
              <w:top w:w="100" w:type="dxa"/>
              <w:start w:w="110" w:type="dxa"/>
              <w:bottom w:w="100" w:type="dxa"/>
              <w:end w:w="110" w:type="dxa"/>
            </w:tcMar>
            <w:shd w:fill="F8FAFC"/>
          </w:tcPr>
          <w:p>
            <w:pPr>
              <w:spacing w:after="0"/>
            </w:pPr>
            <w:r>
              <w:rPr>
                <w:sz w:val="16"/>
              </w:rPr>
              <w:t>Animation causes accessibility or performance regressions</w:t>
            </w:r>
          </w:p>
        </w:tc>
        <w:tc>
          <w:tcPr>
            <w:tcW w:type="dxa" w:w="4824"/>
            <w:vAlign w:val="top"/>
            <w:tcMar>
              <w:top w:w="100" w:type="dxa"/>
              <w:start w:w="110" w:type="dxa"/>
              <w:bottom w:w="100" w:type="dxa"/>
              <w:end w:w="110" w:type="dxa"/>
            </w:tcMar>
            <w:shd w:fill="F8FAFC"/>
          </w:tcPr>
          <w:p>
            <w:pPr>
              <w:spacing w:after="0"/>
            </w:pPr>
            <w:r>
              <w:rPr>
                <w:sz w:val="16"/>
              </w:rPr>
              <w:t>Progressive enhancement, per-component reduced motion and budget tests.</w:t>
            </w:r>
          </w:p>
        </w:tc>
        <w:tc>
          <w:tcPr>
            <w:tcW w:type="dxa" w:w="1728"/>
            <w:vAlign w:val="top"/>
            <w:tcMar>
              <w:top w:w="100" w:type="dxa"/>
              <w:start w:w="110" w:type="dxa"/>
              <w:bottom w:w="100" w:type="dxa"/>
              <w:end w:w="110" w:type="dxa"/>
            </w:tcMar>
            <w:shd w:fill="F8FAFC"/>
          </w:tcPr>
          <w:p>
            <w:pPr>
              <w:spacing w:after="0"/>
            </w:pPr>
            <w:r>
              <w:rPr>
                <w:sz w:val="16"/>
              </w:rPr>
              <w:t>Remove or simplify motion</w:t>
            </w:r>
          </w:p>
        </w:tc>
      </w:tr>
      <w:tr>
        <w:tc>
          <w:tcPr>
            <w:tcW w:type="dxa" w:w="3096"/>
            <w:vAlign w:val="top"/>
            <w:tcMar>
              <w:top w:w="100" w:type="dxa"/>
              <w:start w:w="110" w:type="dxa"/>
              <w:bottom w:w="100" w:type="dxa"/>
              <w:end w:w="110" w:type="dxa"/>
            </w:tcMar>
          </w:tcPr>
          <w:p>
            <w:pPr>
              <w:spacing w:after="0"/>
            </w:pPr>
            <w:r>
              <w:rPr>
                <w:sz w:val="16"/>
              </w:rPr>
              <w:t>Contact provider or abuse controls fail</w:t>
            </w:r>
          </w:p>
        </w:tc>
        <w:tc>
          <w:tcPr>
            <w:tcW w:type="dxa" w:w="4824"/>
            <w:vAlign w:val="top"/>
            <w:tcMar>
              <w:top w:w="100" w:type="dxa"/>
              <w:start w:w="110" w:type="dxa"/>
              <w:bottom w:w="100" w:type="dxa"/>
              <w:end w:w="110" w:type="dxa"/>
            </w:tcMar>
          </w:tcPr>
          <w:p>
            <w:pPr>
              <w:spacing w:after="0"/>
            </w:pPr>
            <w:r>
              <w:rPr>
                <w:sz w:val="16"/>
              </w:rPr>
              <w:t>Adapter boundary, timeout, structured errors, shared limit and fallback email.</w:t>
            </w:r>
          </w:p>
        </w:tc>
        <w:tc>
          <w:tcPr>
            <w:tcW w:type="dxa" w:w="1728"/>
            <w:vAlign w:val="top"/>
            <w:tcMar>
              <w:top w:w="100" w:type="dxa"/>
              <w:start w:w="110" w:type="dxa"/>
              <w:bottom w:w="100" w:type="dxa"/>
              <w:end w:w="110" w:type="dxa"/>
            </w:tcMar>
          </w:tcPr>
          <w:p>
            <w:pPr>
              <w:spacing w:after="0"/>
            </w:pPr>
            <w:r>
              <w:rPr>
                <w:sz w:val="16"/>
              </w:rPr>
              <w:t>Block form-complete claim</w:t>
            </w:r>
          </w:p>
        </w:tc>
      </w:tr>
      <w:tr>
        <w:tc>
          <w:tcPr>
            <w:tcW w:type="dxa" w:w="3096"/>
            <w:vAlign w:val="top"/>
            <w:tcMar>
              <w:top w:w="100" w:type="dxa"/>
              <w:start w:w="110" w:type="dxa"/>
              <w:bottom w:w="100" w:type="dxa"/>
              <w:end w:w="110" w:type="dxa"/>
            </w:tcMar>
            <w:shd w:fill="F8FAFC"/>
          </w:tcPr>
          <w:p>
            <w:pPr>
              <w:spacing w:after="0"/>
            </w:pPr>
            <w:r>
              <w:rPr>
                <w:sz w:val="16"/>
              </w:rPr>
              <w:t>Tests validate old behavior</w:t>
            </w:r>
          </w:p>
        </w:tc>
        <w:tc>
          <w:tcPr>
            <w:tcW w:type="dxa" w:w="4824"/>
            <w:vAlign w:val="top"/>
            <w:tcMar>
              <w:top w:w="100" w:type="dxa"/>
              <w:start w:w="110" w:type="dxa"/>
              <w:bottom w:w="100" w:type="dxa"/>
              <w:end w:w="110" w:type="dxa"/>
            </w:tcMar>
            <w:shd w:fill="F8FAFC"/>
          </w:tcPr>
          <w:p>
            <w:pPr>
              <w:spacing w:after="0"/>
            </w:pPr>
            <w:r>
              <w:rPr>
                <w:sz w:val="16"/>
              </w:rPr>
              <w:t>Rewrite contract tests before feature implementation; add route and state coverage.</w:t>
            </w:r>
          </w:p>
        </w:tc>
        <w:tc>
          <w:tcPr>
            <w:tcW w:type="dxa" w:w="1728"/>
            <w:vAlign w:val="top"/>
            <w:tcMar>
              <w:top w:w="100" w:type="dxa"/>
              <w:start w:w="110" w:type="dxa"/>
              <w:bottom w:w="100" w:type="dxa"/>
              <w:end w:w="110" w:type="dxa"/>
            </w:tcMar>
            <w:shd w:fill="F8FAFC"/>
          </w:tcPr>
          <w:p>
            <w:pPr>
              <w:spacing w:after="0"/>
            </w:pPr>
            <w:r>
              <w:rPr>
                <w:sz w:val="16"/>
              </w:rPr>
              <w:t>Block release</w:t>
            </w:r>
          </w:p>
        </w:tc>
      </w:tr>
      <w:tr>
        <w:tc>
          <w:tcPr>
            <w:tcW w:type="dxa" w:w="3096"/>
            <w:vAlign w:val="top"/>
            <w:tcMar>
              <w:top w:w="100" w:type="dxa"/>
              <w:start w:w="110" w:type="dxa"/>
              <w:bottom w:w="100" w:type="dxa"/>
              <w:end w:w="110" w:type="dxa"/>
            </w:tcMar>
          </w:tcPr>
          <w:p>
            <w:pPr>
              <w:spacing w:after="0"/>
            </w:pPr>
            <w:r>
              <w:rPr>
                <w:sz w:val="16"/>
              </w:rPr>
              <w:t>Heavy media undermines perceived quality</w:t>
            </w:r>
          </w:p>
        </w:tc>
        <w:tc>
          <w:tcPr>
            <w:tcW w:type="dxa" w:w="4824"/>
            <w:vAlign w:val="top"/>
            <w:tcMar>
              <w:top w:w="100" w:type="dxa"/>
              <w:start w:w="110" w:type="dxa"/>
              <w:bottom w:w="100" w:type="dxa"/>
              <w:end w:w="110" w:type="dxa"/>
            </w:tcMar>
          </w:tcPr>
          <w:p>
            <w:pPr>
              <w:spacing w:after="0"/>
            </w:pPr>
            <w:r>
              <w:rPr>
                <w:sz w:val="16"/>
              </w:rPr>
              <w:t>Responsive media pipeline, explicit dimensions, preload only the real LCP asset.</w:t>
            </w:r>
          </w:p>
        </w:tc>
        <w:tc>
          <w:tcPr>
            <w:tcW w:type="dxa" w:w="1728"/>
            <w:vAlign w:val="top"/>
            <w:tcMar>
              <w:top w:w="100" w:type="dxa"/>
              <w:start w:w="110" w:type="dxa"/>
              <w:bottom w:w="100" w:type="dxa"/>
              <w:end w:w="110" w:type="dxa"/>
            </w:tcMar>
          </w:tcPr>
          <w:p>
            <w:pPr>
              <w:spacing w:after="0"/>
            </w:pPr>
            <w:r>
              <w:rPr>
                <w:sz w:val="16"/>
              </w:rPr>
              <w:t>Optimise or defer assets</w:t>
            </w:r>
          </w:p>
        </w:tc>
      </w:tr>
    </w:tbl>
    <w:p>
      <w:pPr>
        <w:spacing w:after="0"/>
      </w:pPr>
    </w:p>
    <w:p>
      <w:pPr>
        <w:pStyle w:val="Heading1"/>
      </w:pPr>
      <w:r>
        <w:t>19. Delivery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01828"/>
            <w:vAlign w:val="center"/>
            <w:tcMar>
              <w:top w:w="100" w:type="dxa"/>
              <w:start w:w="110" w:type="dxa"/>
              <w:bottom w:w="100" w:type="dxa"/>
              <w:end w:w="110" w:type="dxa"/>
            </w:tcMar>
          </w:tcPr>
          <w:p>
            <w:r>
              <w:rPr>
                <w:b/>
                <w:color w:val="FFFFFF"/>
                <w:sz w:val="14"/>
              </w:rPr>
              <w:t>PHASE</w:t>
            </w:r>
          </w:p>
        </w:tc>
        <w:tc>
          <w:tcPr>
            <w:tcW w:type="dxa" w:w="4536"/>
            <w:shd w:fill="101828"/>
            <w:vAlign w:val="center"/>
            <w:tcMar>
              <w:top w:w="100" w:type="dxa"/>
              <w:start w:w="110" w:type="dxa"/>
              <w:bottom w:w="100" w:type="dxa"/>
              <w:end w:w="110" w:type="dxa"/>
            </w:tcMar>
          </w:tcPr>
          <w:p>
            <w:r>
              <w:rPr>
                <w:b/>
                <w:color w:val="FFFFFF"/>
                <w:sz w:val="14"/>
              </w:rPr>
              <w:t>OUTCOME</w:t>
            </w:r>
          </w:p>
        </w:tc>
        <w:tc>
          <w:tcPr>
            <w:tcW w:type="dxa" w:w="3384"/>
            <w:shd w:fill="101828"/>
            <w:vAlign w:val="center"/>
            <w:tcMar>
              <w:top w:w="100" w:type="dxa"/>
              <w:start w:w="110" w:type="dxa"/>
              <w:bottom w:w="100" w:type="dxa"/>
              <w:end w:w="110" w:type="dxa"/>
            </w:tcMar>
          </w:tcPr>
          <w:p>
            <w:r>
              <w:rPr>
                <w:b/>
                <w:color w:val="FFFFFF"/>
                <w:sz w:val="14"/>
              </w:rPr>
              <w:t>EXIT CRITERION</w:t>
            </w:r>
          </w:p>
        </w:tc>
      </w:tr>
      <w:tr>
        <w:tc>
          <w:tcPr>
            <w:tcW w:type="dxa" w:w="1728"/>
            <w:vAlign w:val="top"/>
            <w:tcMar>
              <w:top w:w="100" w:type="dxa"/>
              <w:start w:w="110" w:type="dxa"/>
              <w:bottom w:w="100" w:type="dxa"/>
              <w:end w:w="110" w:type="dxa"/>
            </w:tcMar>
          </w:tcPr>
          <w:p>
            <w:pPr>
              <w:spacing w:after="0"/>
            </w:pPr>
            <w:r>
              <w:rPr>
                <w:sz w:val="16"/>
              </w:rPr>
              <w:t>0 — Protect baseline</w:t>
            </w:r>
          </w:p>
        </w:tc>
        <w:tc>
          <w:tcPr>
            <w:tcW w:type="dxa" w:w="4536"/>
            <w:vAlign w:val="top"/>
            <w:tcMar>
              <w:top w:w="100" w:type="dxa"/>
              <w:start w:w="110" w:type="dxa"/>
              <w:bottom w:w="100" w:type="dxa"/>
              <w:end w:w="110" w:type="dxa"/>
            </w:tcMar>
          </w:tcPr>
          <w:p>
            <w:pPr>
              <w:spacing w:after="0"/>
            </w:pPr>
            <w:r>
              <w:rPr>
                <w:sz w:val="16"/>
              </w:rPr>
              <w:t>Snapshot visual/technical state; rewrite obsolete expectations</w:t>
            </w:r>
          </w:p>
        </w:tc>
        <w:tc>
          <w:tcPr>
            <w:tcW w:type="dxa" w:w="3384"/>
            <w:vAlign w:val="top"/>
            <w:tcMar>
              <w:top w:w="100" w:type="dxa"/>
              <w:start w:w="110" w:type="dxa"/>
              <w:bottom w:w="100" w:type="dxa"/>
              <w:end w:w="110" w:type="dxa"/>
            </w:tcMar>
          </w:tcPr>
          <w:p>
            <w:pPr>
              <w:spacing w:after="0"/>
            </w:pPr>
            <w:r>
              <w:rPr>
                <w:sz w:val="16"/>
              </w:rPr>
              <w:t>Baseline review set and current contract documented</w:t>
            </w:r>
          </w:p>
        </w:tc>
      </w:tr>
      <w:tr>
        <w:tc>
          <w:tcPr>
            <w:tcW w:type="dxa" w:w="1728"/>
            <w:vAlign w:val="top"/>
            <w:tcMar>
              <w:top w:w="100" w:type="dxa"/>
              <w:start w:w="110" w:type="dxa"/>
              <w:bottom w:w="100" w:type="dxa"/>
              <w:end w:w="110" w:type="dxa"/>
            </w:tcMar>
            <w:shd w:fill="F8FAFC"/>
          </w:tcPr>
          <w:p>
            <w:pPr>
              <w:spacing w:after="0"/>
            </w:pPr>
            <w:r>
              <w:rPr>
                <w:sz w:val="16"/>
              </w:rPr>
              <w:t>1 — Model and IA</w:t>
            </w:r>
          </w:p>
        </w:tc>
        <w:tc>
          <w:tcPr>
            <w:tcW w:type="dxa" w:w="4536"/>
            <w:vAlign w:val="top"/>
            <w:tcMar>
              <w:top w:w="100" w:type="dxa"/>
              <w:start w:w="110" w:type="dxa"/>
              <w:bottom w:w="100" w:type="dxa"/>
              <w:end w:w="110" w:type="dxa"/>
            </w:tcMar>
            <w:shd w:fill="F8FAFC"/>
          </w:tcPr>
          <w:p>
            <w:pPr>
              <w:spacing w:after="0"/>
            </w:pPr>
            <w:r>
              <w:rPr>
                <w:sz w:val="16"/>
              </w:rPr>
              <w:t>Split content domains; add route/publication schema and validator</w:t>
            </w:r>
          </w:p>
        </w:tc>
        <w:tc>
          <w:tcPr>
            <w:tcW w:type="dxa" w:w="3384"/>
            <w:vAlign w:val="top"/>
            <w:tcMar>
              <w:top w:w="100" w:type="dxa"/>
              <w:start w:w="110" w:type="dxa"/>
              <w:bottom w:w="100" w:type="dxa"/>
              <w:end w:w="110" w:type="dxa"/>
            </w:tcMar>
            <w:shd w:fill="F8FAFC"/>
          </w:tcPr>
          <w:p>
            <w:pPr>
              <w:spacing w:after="0"/>
            </w:pPr>
            <w:r>
              <w:rPr>
                <w:sz w:val="16"/>
              </w:rPr>
              <w:t>Build fails correctly on invalid content</w:t>
            </w:r>
          </w:p>
        </w:tc>
      </w:tr>
      <w:tr>
        <w:tc>
          <w:tcPr>
            <w:tcW w:type="dxa" w:w="1728"/>
            <w:vAlign w:val="top"/>
            <w:tcMar>
              <w:top w:w="100" w:type="dxa"/>
              <w:start w:w="110" w:type="dxa"/>
              <w:bottom w:w="100" w:type="dxa"/>
              <w:end w:w="110" w:type="dxa"/>
            </w:tcMar>
          </w:tcPr>
          <w:p>
            <w:pPr>
              <w:spacing w:after="0"/>
            </w:pPr>
            <w:r>
              <w:rPr>
                <w:sz w:val="16"/>
              </w:rPr>
              <w:t>2 — Home and navigation</w:t>
            </w:r>
          </w:p>
        </w:tc>
        <w:tc>
          <w:tcPr>
            <w:tcW w:type="dxa" w:w="4536"/>
            <w:vAlign w:val="top"/>
            <w:tcMar>
              <w:top w:w="100" w:type="dxa"/>
              <w:start w:w="110" w:type="dxa"/>
              <w:bottom w:w="100" w:type="dxa"/>
              <w:end w:w="110" w:type="dxa"/>
            </w:tcMar>
          </w:tcPr>
          <w:p>
            <w:pPr>
              <w:spacing w:after="0"/>
            </w:pPr>
            <w:r>
              <w:rPr>
                <w:sz w:val="16"/>
              </w:rPr>
              <w:t>Proof-first homepage, strengthened Index and truthful project states</w:t>
            </w:r>
          </w:p>
        </w:tc>
        <w:tc>
          <w:tcPr>
            <w:tcW w:type="dxa" w:w="3384"/>
            <w:vAlign w:val="top"/>
            <w:tcMar>
              <w:top w:w="100" w:type="dxa"/>
              <w:start w:w="110" w:type="dxa"/>
              <w:bottom w:w="100" w:type="dxa"/>
              <w:end w:w="110" w:type="dxa"/>
            </w:tcMar>
          </w:tcPr>
          <w:p>
            <w:pPr>
              <w:spacing w:after="0"/>
            </w:pPr>
            <w:r>
              <w:rPr>
                <w:sz w:val="16"/>
              </w:rPr>
              <w:t>All primary routes reachable and keyboard-operable</w:t>
            </w:r>
          </w:p>
        </w:tc>
      </w:tr>
      <w:tr>
        <w:tc>
          <w:tcPr>
            <w:tcW w:type="dxa" w:w="1728"/>
            <w:vAlign w:val="top"/>
            <w:tcMar>
              <w:top w:w="100" w:type="dxa"/>
              <w:start w:w="110" w:type="dxa"/>
              <w:bottom w:w="100" w:type="dxa"/>
              <w:end w:w="110" w:type="dxa"/>
            </w:tcMar>
            <w:shd w:fill="F8FAFC"/>
          </w:tcPr>
          <w:p>
            <w:pPr>
              <w:spacing w:after="0"/>
            </w:pPr>
            <w:r>
              <w:rPr>
                <w:sz w:val="16"/>
              </w:rPr>
              <w:t>3 — Flagship proof</w:t>
            </w:r>
          </w:p>
        </w:tc>
        <w:tc>
          <w:tcPr>
            <w:tcW w:type="dxa" w:w="4536"/>
            <w:vAlign w:val="top"/>
            <w:tcMar>
              <w:top w:w="100" w:type="dxa"/>
              <w:start w:w="110" w:type="dxa"/>
              <w:bottom w:w="100" w:type="dxa"/>
              <w:end w:w="110" w:type="dxa"/>
            </w:tcMar>
            <w:shd w:fill="F8FAFC"/>
          </w:tcPr>
          <w:p>
            <w:pPr>
              <w:spacing w:after="0"/>
            </w:pPr>
            <w:r>
              <w:rPr>
                <w:sz w:val="16"/>
              </w:rPr>
              <w:t>Complete TEDx RSU case study</w:t>
            </w:r>
          </w:p>
        </w:tc>
        <w:tc>
          <w:tcPr>
            <w:tcW w:type="dxa" w:w="3384"/>
            <w:vAlign w:val="top"/>
            <w:tcMar>
              <w:top w:w="100" w:type="dxa"/>
              <w:start w:w="110" w:type="dxa"/>
              <w:bottom w:w="100" w:type="dxa"/>
              <w:end w:w="110" w:type="dxa"/>
            </w:tcMar>
            <w:shd w:fill="F8FAFC"/>
          </w:tcPr>
          <w:p>
            <w:pPr>
              <w:spacing w:after="0"/>
            </w:pPr>
            <w:r>
              <w:rPr>
                <w:sz w:val="16"/>
              </w:rPr>
              <w:t>Content, media, captions and claims approved</w:t>
            </w:r>
          </w:p>
        </w:tc>
      </w:tr>
      <w:tr>
        <w:tc>
          <w:tcPr>
            <w:tcW w:type="dxa" w:w="1728"/>
            <w:vAlign w:val="top"/>
            <w:tcMar>
              <w:top w:w="100" w:type="dxa"/>
              <w:start w:w="110" w:type="dxa"/>
              <w:bottom w:w="100" w:type="dxa"/>
              <w:end w:w="110" w:type="dxa"/>
            </w:tcMar>
          </w:tcPr>
          <w:p>
            <w:pPr>
              <w:spacing w:after="0"/>
            </w:pPr>
            <w:r>
              <w:rPr>
                <w:sz w:val="16"/>
              </w:rPr>
              <w:t>4 — Professional evidence</w:t>
            </w:r>
          </w:p>
        </w:tc>
        <w:tc>
          <w:tcPr>
            <w:tcW w:type="dxa" w:w="4536"/>
            <w:vAlign w:val="top"/>
            <w:tcMar>
              <w:top w:w="100" w:type="dxa"/>
              <w:start w:w="110" w:type="dxa"/>
              <w:bottom w:w="100" w:type="dxa"/>
              <w:end w:w="110" w:type="dxa"/>
            </w:tcMar>
          </w:tcPr>
          <w:p>
            <w:pPr>
              <w:spacing w:after="0"/>
            </w:pPr>
            <w:r>
              <w:rPr>
                <w:sz w:val="16"/>
              </w:rPr>
              <w:t>About, experience ledger, services and CV</w:t>
            </w:r>
          </w:p>
        </w:tc>
        <w:tc>
          <w:tcPr>
            <w:tcW w:type="dxa" w:w="3384"/>
            <w:vAlign w:val="top"/>
            <w:tcMar>
              <w:top w:w="100" w:type="dxa"/>
              <w:start w:w="110" w:type="dxa"/>
              <w:bottom w:w="100" w:type="dxa"/>
              <w:end w:w="110" w:type="dxa"/>
            </w:tcMar>
          </w:tcPr>
          <w:p>
            <w:pPr>
              <w:spacing w:after="0"/>
            </w:pPr>
            <w:r>
              <w:rPr>
                <w:sz w:val="16"/>
              </w:rPr>
              <w:t>No unsupported claims; CV works</w:t>
            </w:r>
          </w:p>
        </w:tc>
      </w:tr>
      <w:tr>
        <w:tc>
          <w:tcPr>
            <w:tcW w:type="dxa" w:w="1728"/>
            <w:vAlign w:val="top"/>
            <w:tcMar>
              <w:top w:w="100" w:type="dxa"/>
              <w:start w:w="110" w:type="dxa"/>
              <w:bottom w:w="100" w:type="dxa"/>
              <w:end w:w="110" w:type="dxa"/>
            </w:tcMar>
            <w:shd w:fill="F8FAFC"/>
          </w:tcPr>
          <w:p>
            <w:pPr>
              <w:spacing w:after="0"/>
            </w:pPr>
            <w:r>
              <w:rPr>
                <w:sz w:val="16"/>
              </w:rPr>
              <w:t>5 — Contact and privacy</w:t>
            </w:r>
          </w:p>
        </w:tc>
        <w:tc>
          <w:tcPr>
            <w:tcW w:type="dxa" w:w="4536"/>
            <w:vAlign w:val="top"/>
            <w:tcMar>
              <w:top w:w="100" w:type="dxa"/>
              <w:start w:w="110" w:type="dxa"/>
              <w:bottom w:w="100" w:type="dxa"/>
              <w:end w:w="110" w:type="dxa"/>
            </w:tcMar>
            <w:shd w:fill="F8FAFC"/>
          </w:tcPr>
          <w:p>
            <w:pPr>
              <w:spacing w:after="0"/>
            </w:pPr>
            <w:r>
              <w:rPr>
                <w:sz w:val="16"/>
              </w:rPr>
              <w:t>Server contact, form states, abuse controls and privacy update</w:t>
            </w:r>
          </w:p>
        </w:tc>
        <w:tc>
          <w:tcPr>
            <w:tcW w:type="dxa" w:w="3384"/>
            <w:vAlign w:val="top"/>
            <w:tcMar>
              <w:top w:w="100" w:type="dxa"/>
              <w:start w:w="110" w:type="dxa"/>
              <w:bottom w:w="100" w:type="dxa"/>
              <w:end w:w="110" w:type="dxa"/>
            </w:tcMar>
            <w:shd w:fill="F8FAFC"/>
          </w:tcPr>
          <w:p>
            <w:pPr>
              <w:spacing w:after="0"/>
            </w:pPr>
            <w:r>
              <w:rPr>
                <w:sz w:val="16"/>
              </w:rPr>
              <w:t>End-to-end delivery and failure tests pass</w:t>
            </w:r>
          </w:p>
        </w:tc>
      </w:tr>
      <w:tr>
        <w:tc>
          <w:tcPr>
            <w:tcW w:type="dxa" w:w="1728"/>
            <w:vAlign w:val="top"/>
            <w:tcMar>
              <w:top w:w="100" w:type="dxa"/>
              <w:start w:w="110" w:type="dxa"/>
              <w:bottom w:w="100" w:type="dxa"/>
              <w:end w:w="110" w:type="dxa"/>
            </w:tcMar>
          </w:tcPr>
          <w:p>
            <w:pPr>
              <w:spacing w:after="0"/>
            </w:pPr>
            <w:r>
              <w:rPr>
                <w:sz w:val="16"/>
              </w:rPr>
              <w:t>6 — System consolidation</w:t>
            </w:r>
          </w:p>
        </w:tc>
        <w:tc>
          <w:tcPr>
            <w:tcW w:type="dxa" w:w="4536"/>
            <w:vAlign w:val="top"/>
            <w:tcMar>
              <w:top w:w="100" w:type="dxa"/>
              <w:start w:w="110" w:type="dxa"/>
              <w:bottom w:w="100" w:type="dxa"/>
              <w:end w:w="110" w:type="dxa"/>
            </w:tcMar>
          </w:tcPr>
          <w:p>
            <w:pPr>
              <w:spacing w:after="0"/>
            </w:pPr>
            <w:r>
              <w:rPr>
                <w:sz w:val="16"/>
              </w:rPr>
              <w:t>CSS/JS boundaries, motion and responsive behavior</w:t>
            </w:r>
          </w:p>
        </w:tc>
        <w:tc>
          <w:tcPr>
            <w:tcW w:type="dxa" w:w="3384"/>
            <w:vAlign w:val="top"/>
            <w:tcMar>
              <w:top w:w="100" w:type="dxa"/>
              <w:start w:w="110" w:type="dxa"/>
              <w:bottom w:w="100" w:type="dxa"/>
              <w:end w:w="110" w:type="dxa"/>
            </w:tcMar>
          </w:tcPr>
          <w:p>
            <w:pPr>
              <w:spacing w:after="0"/>
            </w:pPr>
            <w:r>
              <w:rPr>
                <w:sz w:val="16"/>
              </w:rPr>
              <w:t>No visual regression against baseline</w:t>
            </w:r>
          </w:p>
        </w:tc>
      </w:tr>
      <w:tr>
        <w:tc>
          <w:tcPr>
            <w:tcW w:type="dxa" w:w="1728"/>
            <w:vAlign w:val="top"/>
            <w:tcMar>
              <w:top w:w="100" w:type="dxa"/>
              <w:start w:w="110" w:type="dxa"/>
              <w:bottom w:w="100" w:type="dxa"/>
              <w:end w:w="110" w:type="dxa"/>
            </w:tcMar>
            <w:shd w:fill="F8FAFC"/>
          </w:tcPr>
          <w:p>
            <w:pPr>
              <w:spacing w:after="0"/>
            </w:pPr>
            <w:r>
              <w:rPr>
                <w:sz w:val="16"/>
              </w:rPr>
              <w:t>7 — Release QA</w:t>
            </w:r>
          </w:p>
        </w:tc>
        <w:tc>
          <w:tcPr>
            <w:tcW w:type="dxa" w:w="4536"/>
            <w:vAlign w:val="top"/>
            <w:tcMar>
              <w:top w:w="100" w:type="dxa"/>
              <w:start w:w="110" w:type="dxa"/>
              <w:bottom w:w="100" w:type="dxa"/>
              <w:end w:w="110" w:type="dxa"/>
            </w:tcMar>
            <w:shd w:fill="F8FAFC"/>
          </w:tcPr>
          <w:p>
            <w:pPr>
              <w:spacing w:after="0"/>
            </w:pPr>
            <w:r>
              <w:rPr>
                <w:sz w:val="16"/>
              </w:rPr>
              <w:t>Accessibility, performance, security, browser and no-JS checks</w:t>
            </w:r>
          </w:p>
        </w:tc>
        <w:tc>
          <w:tcPr>
            <w:tcW w:type="dxa" w:w="3384"/>
            <w:vAlign w:val="top"/>
            <w:tcMar>
              <w:top w:w="100" w:type="dxa"/>
              <w:start w:w="110" w:type="dxa"/>
              <w:bottom w:w="100" w:type="dxa"/>
              <w:end w:w="110" w:type="dxa"/>
            </w:tcMar>
            <w:shd w:fill="F8FAFC"/>
          </w:tcPr>
          <w:p>
            <w:pPr>
              <w:spacing w:after="0"/>
            </w:pPr>
            <w:r>
              <w:rPr>
                <w:sz w:val="16"/>
              </w:rPr>
              <w:t>All hard gates pass</w:t>
            </w:r>
          </w:p>
        </w:tc>
      </w:tr>
      <w:tr>
        <w:tc>
          <w:tcPr>
            <w:tcW w:type="dxa" w:w="1728"/>
            <w:vAlign w:val="top"/>
            <w:tcMar>
              <w:top w:w="100" w:type="dxa"/>
              <w:start w:w="110" w:type="dxa"/>
              <w:bottom w:w="100" w:type="dxa"/>
              <w:end w:w="110" w:type="dxa"/>
            </w:tcMar>
          </w:tcPr>
          <w:p>
            <w:pPr>
              <w:spacing w:after="0"/>
            </w:pPr>
            <w:r>
              <w:rPr>
                <w:sz w:val="16"/>
              </w:rPr>
              <w:t>8 — Preview and release</w:t>
            </w:r>
          </w:p>
        </w:tc>
        <w:tc>
          <w:tcPr>
            <w:tcW w:type="dxa" w:w="4536"/>
            <w:vAlign w:val="top"/>
            <w:tcMar>
              <w:top w:w="100" w:type="dxa"/>
              <w:start w:w="110" w:type="dxa"/>
              <w:bottom w:w="100" w:type="dxa"/>
              <w:end w:w="110" w:type="dxa"/>
            </w:tcMar>
          </w:tcPr>
          <w:p>
            <w:pPr>
              <w:spacing w:after="0"/>
            </w:pPr>
            <w:r>
              <w:rPr>
                <w:sz w:val="16"/>
              </w:rPr>
              <w:t>Owner-reviewed preview and production deployment</w:t>
            </w:r>
          </w:p>
        </w:tc>
        <w:tc>
          <w:tcPr>
            <w:tcW w:type="dxa" w:w="3384"/>
            <w:vAlign w:val="top"/>
            <w:tcMar>
              <w:top w:w="100" w:type="dxa"/>
              <w:start w:w="110" w:type="dxa"/>
              <w:bottom w:w="100" w:type="dxa"/>
              <w:end w:w="110" w:type="dxa"/>
            </w:tcMar>
          </w:tcPr>
          <w:p>
            <w:pPr>
              <w:spacing w:after="0"/>
            </w:pPr>
            <w:r>
              <w:rPr>
                <w:sz w:val="16"/>
              </w:rPr>
              <w:t>Explicit owner approval and post-deploy smoke test</w:t>
            </w:r>
          </w:p>
        </w:tc>
      </w:tr>
    </w:tbl>
    <w:p>
      <w:pPr>
        <w:spacing w:after="0"/>
      </w:pPr>
    </w:p>
    <w:p>
      <w:pPr>
        <w:pStyle w:val="Heading1"/>
      </w:pPr>
      <w:r>
        <w:t>20. Acceptance criteria and release gates</w:t>
      </w:r>
    </w:p>
    <w:p>
      <w:pPr>
        <w:pStyle w:val="Heading2"/>
      </w:pPr>
      <w:r>
        <w:t>20.1 Product completeness</w:t>
      </w:r>
    </w:p>
    <w:p>
      <w:pPr>
        <w:pStyle w:val="ListBullet"/>
        <w:spacing w:after="44"/>
      </w:pPr>
      <w:r>
        <w:t>TEDx RSU is public, complete and reachable from Home and Work.</w:t>
      </w:r>
    </w:p>
    <w:p>
      <w:pPr>
        <w:pStyle w:val="ListBullet"/>
        <w:spacing w:after="44"/>
      </w:pPr>
      <w:r>
        <w:t>Every project link has a truthful destination or explicit state; no false locks or dead-end cards.</w:t>
      </w:r>
    </w:p>
    <w:p>
      <w:pPr>
        <w:pStyle w:val="ListBullet"/>
        <w:spacing w:after="44"/>
      </w:pPr>
      <w:r>
        <w:t>Explorations, Community, About, Services, Writing, Contact and Privacy resolve without broken assets.</w:t>
      </w:r>
    </w:p>
    <w:p>
      <w:pPr>
        <w:pStyle w:val="ListBullet"/>
        <w:spacing w:after="44"/>
      </w:pPr>
      <w:r>
        <w:t>CV download works from About and Index when the approved file is supplied.</w:t>
      </w:r>
    </w:p>
    <w:p>
      <w:pPr>
        <w:pStyle w:val="ListBullet"/>
        <w:spacing w:after="44"/>
      </w:pPr>
      <w:r>
        <w:t>The contact form delivers through the endpoint and correctly handles validation, duplicate, rate-limit, provider and unexpected failures.</w:t>
      </w:r>
    </w:p>
    <w:p>
      <w:pPr>
        <w:pStyle w:val="Heading2"/>
      </w:pPr>
      <w:r>
        <w:t>20.2 Quality gates</w:t>
      </w:r>
    </w:p>
    <w:p>
      <w:pPr>
        <w:pStyle w:val="ListBullet"/>
        <w:spacing w:after="44"/>
      </w:pPr>
      <w:r>
        <w:t>Owner approves the preview as visually continuous with the restored production baseline.</w:t>
      </w:r>
    </w:p>
    <w:p>
      <w:pPr>
        <w:pStyle w:val="ListBullet"/>
        <w:spacing w:after="44"/>
      </w:pPr>
      <w:r>
        <w:t>No unsupported metrics, project outcomes, client relationships or collaborator credits remain.</w:t>
      </w:r>
    </w:p>
    <w:p>
      <w:pPr>
        <w:pStyle w:val="ListBullet"/>
        <w:spacing w:after="44"/>
      </w:pPr>
      <w:r>
        <w:t>Keyboard, focus, screen-reader basics, reduced motion, forced colours, 200% zoom, increased spacing and 320px tests pass.</w:t>
      </w:r>
    </w:p>
    <w:p>
      <w:pPr>
        <w:pStyle w:val="ListBullet"/>
        <w:spacing w:after="44"/>
      </w:pPr>
      <w:r>
        <w:t>Core navigation, project content and contact fallback work without JavaScript.</w:t>
      </w:r>
    </w:p>
    <w:p>
      <w:pPr>
        <w:pStyle w:val="ListBullet"/>
        <w:spacing w:after="44"/>
      </w:pPr>
      <w:r>
        <w:t>Performance budgets and hard Core Web Vitals gates pass on representative mobile and desktop profiles.</w:t>
      </w:r>
    </w:p>
    <w:p>
      <w:pPr>
        <w:pStyle w:val="ListBullet"/>
        <w:spacing w:after="44"/>
      </w:pPr>
      <w:r>
        <w:t>No console errors, broken links, accidental horizontal overflow, missing metadata or invalid structured data remain.</w:t>
      </w:r>
    </w:p>
    <w:p>
      <w:pPr>
        <w:pStyle w:val="ListBullet"/>
        <w:spacing w:after="44"/>
      </w:pPr>
      <w:r>
        <w:t>Security headers, CSP reporting, production bundle contents and privacy language are verified.</w:t>
      </w:r>
    </w:p>
    <w:p>
      <w:pPr>
        <w:pStyle w:val="ListBullet"/>
        <w:spacing w:after="44"/>
      </w:pPr>
      <w:r>
        <w:t>Latest-two desktop browser matrix and current mobile Safari/Chrome smoke tests pass.</w:t>
      </w:r>
    </w:p>
    <w:p>
      <w:pPr>
        <w:pStyle w:val="Heading2"/>
      </w:pPr>
      <w:r>
        <w:t>20.3 Release authority</w:t>
      </w:r>
    </w:p>
    <w:p>
      <w:r>
        <w:t>A technically green build is not sufficient approval. Production deployment requires an approved preview, explicit confirmation that the visual character has been preserved, and completion of all P0 requirements and hard release gates.</w:t>
      </w:r>
    </w:p>
    <w:p>
      <w:pPr>
        <w:pStyle w:val="Heading1"/>
      </w:pPr>
      <w:r>
        <w:t>21. Decision log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101828"/>
            <w:vAlign w:val="center"/>
            <w:tcMar>
              <w:top w:w="100" w:type="dxa"/>
              <w:start w:w="110" w:type="dxa"/>
              <w:bottom w:w="100" w:type="dxa"/>
              <w:end w:w="110" w:type="dxa"/>
            </w:tcMar>
          </w:tcPr>
          <w:p>
            <w:r>
              <w:rPr>
                <w:b/>
                <w:color w:val="FFFFFF"/>
                <w:sz w:val="14"/>
              </w:rPr>
              <w:t>DECISION</w:t>
            </w:r>
          </w:p>
        </w:tc>
        <w:tc>
          <w:tcPr>
            <w:tcW w:type="dxa" w:w="5112"/>
            <w:shd w:fill="101828"/>
            <w:vAlign w:val="center"/>
            <w:tcMar>
              <w:top w:w="100" w:type="dxa"/>
              <w:start w:w="110" w:type="dxa"/>
              <w:bottom w:w="100" w:type="dxa"/>
              <w:end w:w="110" w:type="dxa"/>
            </w:tcMar>
          </w:tcPr>
          <w:p>
            <w:r>
              <w:rPr>
                <w:b/>
                <w:color w:val="FFFFFF"/>
                <w:sz w:val="14"/>
              </w:rPr>
              <w:t>RATIONALE</w:t>
            </w:r>
          </w:p>
        </w:tc>
        <w:tc>
          <w:tcPr>
            <w:tcW w:type="dxa" w:w="1296"/>
            <w:shd w:fill="101828"/>
            <w:vAlign w:val="center"/>
            <w:tcMar>
              <w:top w:w="100" w:type="dxa"/>
              <w:start w:w="110" w:type="dxa"/>
              <w:bottom w:w="100" w:type="dxa"/>
              <w:end w:w="110" w:type="dxa"/>
            </w:tcMar>
          </w:tcPr>
          <w:p>
            <w:r>
              <w:rPr>
                <w:b/>
                <w:color w:val="FFFFFF"/>
                <w:sz w:val="14"/>
              </w:rPr>
              <w:t>STATUS</w:t>
            </w:r>
          </w:p>
        </w:tc>
      </w:tr>
      <w:tr>
        <w:tc>
          <w:tcPr>
            <w:tcW w:type="dxa" w:w="3240"/>
            <w:vAlign w:val="top"/>
            <w:tcMar>
              <w:top w:w="100" w:type="dxa"/>
              <w:start w:w="110" w:type="dxa"/>
              <w:bottom w:w="100" w:type="dxa"/>
              <w:end w:w="110" w:type="dxa"/>
            </w:tcMar>
          </w:tcPr>
          <w:p>
            <w:pPr>
              <w:spacing w:after="0"/>
            </w:pPr>
            <w:r>
              <w:rPr>
                <w:sz w:val="16"/>
              </w:rPr>
              <w:t>Restored production site is visual authority</w:t>
            </w:r>
          </w:p>
        </w:tc>
        <w:tc>
          <w:tcPr>
            <w:tcW w:type="dxa" w:w="5112"/>
            <w:vAlign w:val="top"/>
            <w:tcMar>
              <w:top w:w="100" w:type="dxa"/>
              <w:start w:w="110" w:type="dxa"/>
              <w:bottom w:w="100" w:type="dxa"/>
              <w:end w:w="110" w:type="dxa"/>
            </w:tcMar>
          </w:tcPr>
          <w:p>
            <w:pPr>
              <w:spacing w:after="0"/>
            </w:pPr>
            <w:r>
              <w:rPr>
                <w:sz w:val="16"/>
              </w:rPr>
              <w:t>It represents the intentional character the owner chose after reverting the previous build.</w:t>
            </w:r>
          </w:p>
        </w:tc>
        <w:tc>
          <w:tcPr>
            <w:tcW w:type="dxa" w:w="1296"/>
            <w:vAlign w:val="top"/>
            <w:tcMar>
              <w:top w:w="100" w:type="dxa"/>
              <w:start w:w="110" w:type="dxa"/>
              <w:bottom w:w="100" w:type="dxa"/>
              <w:end w:w="110" w:type="dxa"/>
            </w:tcMar>
          </w:tcPr>
          <w:p>
            <w:pPr>
              <w:spacing w:after="0"/>
            </w:pPr>
            <w:r>
              <w:rPr>
                <w:sz w:val="16"/>
              </w:rPr>
              <w:t>Locked</w:t>
            </w:r>
          </w:p>
        </w:tc>
      </w:tr>
      <w:tr>
        <w:tc>
          <w:tcPr>
            <w:tcW w:type="dxa" w:w="3240"/>
            <w:vAlign w:val="top"/>
            <w:tcMar>
              <w:top w:w="100" w:type="dxa"/>
              <w:start w:w="110" w:type="dxa"/>
              <w:bottom w:w="100" w:type="dxa"/>
              <w:end w:w="110" w:type="dxa"/>
            </w:tcMar>
            <w:shd w:fill="F8FAFC"/>
          </w:tcPr>
          <w:p>
            <w:pPr>
              <w:spacing w:after="0"/>
            </w:pPr>
            <w:r>
              <w:rPr>
                <w:sz w:val="16"/>
              </w:rPr>
              <w:t>Thesis is supporting, not visually overriding</w:t>
            </w:r>
          </w:p>
        </w:tc>
        <w:tc>
          <w:tcPr>
            <w:tcW w:type="dxa" w:w="5112"/>
            <w:vAlign w:val="top"/>
            <w:tcMar>
              <w:top w:w="100" w:type="dxa"/>
              <w:start w:w="110" w:type="dxa"/>
              <w:bottom w:w="100" w:type="dxa"/>
              <w:end w:w="110" w:type="dxa"/>
            </w:tcMar>
            <w:shd w:fill="F8FAFC"/>
          </w:tcPr>
          <w:p>
            <w:pPr>
              <w:spacing w:after="0"/>
            </w:pPr>
            <w:r>
              <w:rPr>
                <w:sz w:val="16"/>
              </w:rPr>
              <w:t>It supplies requirements and principles but cannot supersede the approved visual baseline.</w:t>
            </w:r>
          </w:p>
        </w:tc>
        <w:tc>
          <w:tcPr>
            <w:tcW w:type="dxa" w:w="1296"/>
            <w:vAlign w:val="top"/>
            <w:tcMar>
              <w:top w:w="100" w:type="dxa"/>
              <w:start w:w="110" w:type="dxa"/>
              <w:bottom w:w="100" w:type="dxa"/>
              <w:end w:w="110" w:type="dxa"/>
            </w:tcMar>
            <w:shd w:fill="F8FAFC"/>
          </w:tcPr>
          <w:p>
            <w:pPr>
              <w:spacing w:after="0"/>
            </w:pPr>
            <w:r>
              <w:rPr>
                <w:sz w:val="16"/>
              </w:rPr>
              <w:t>Locked</w:t>
            </w:r>
          </w:p>
        </w:tc>
      </w:tr>
      <w:tr>
        <w:tc>
          <w:tcPr>
            <w:tcW w:type="dxa" w:w="3240"/>
            <w:vAlign w:val="top"/>
            <w:tcMar>
              <w:top w:w="100" w:type="dxa"/>
              <w:start w:w="110" w:type="dxa"/>
              <w:bottom w:w="100" w:type="dxa"/>
              <w:end w:w="110" w:type="dxa"/>
            </w:tcMar>
          </w:tcPr>
          <w:p>
            <w:pPr>
              <w:spacing w:after="0"/>
            </w:pPr>
            <w:r>
              <w:rPr>
                <w:sz w:val="16"/>
              </w:rPr>
              <w:t>Proof sheet contributes mechanisms, not a skin</w:t>
            </w:r>
          </w:p>
        </w:tc>
        <w:tc>
          <w:tcPr>
            <w:tcW w:type="dxa" w:w="5112"/>
            <w:vAlign w:val="top"/>
            <w:tcMar>
              <w:top w:w="100" w:type="dxa"/>
              <w:start w:w="110" w:type="dxa"/>
              <w:bottom w:w="100" w:type="dxa"/>
              <w:end w:w="110" w:type="dxa"/>
            </w:tcMar>
          </w:tcPr>
          <w:p>
            <w:pPr>
              <w:spacing w:after="0"/>
            </w:pPr>
            <w:r>
              <w:rPr>
                <w:sz w:val="16"/>
              </w:rPr>
              <w:t>Its production language is useful selectively; its single-page/locked architecture is not.</w:t>
            </w:r>
          </w:p>
        </w:tc>
        <w:tc>
          <w:tcPr>
            <w:tcW w:type="dxa" w:w="1296"/>
            <w:vAlign w:val="top"/>
            <w:tcMar>
              <w:top w:w="100" w:type="dxa"/>
              <w:start w:w="110" w:type="dxa"/>
              <w:bottom w:w="100" w:type="dxa"/>
              <w:end w:w="110" w:type="dxa"/>
            </w:tcMar>
          </w:tcPr>
          <w:p>
            <w:pPr>
              <w:spacing w:after="0"/>
            </w:pPr>
            <w:r>
              <w:rPr>
                <w:sz w:val="16"/>
              </w:rPr>
              <w:t>Locked</w:t>
            </w:r>
          </w:p>
        </w:tc>
      </w:tr>
      <w:tr>
        <w:tc>
          <w:tcPr>
            <w:tcW w:type="dxa" w:w="3240"/>
            <w:vAlign w:val="top"/>
            <w:tcMar>
              <w:top w:w="100" w:type="dxa"/>
              <w:start w:w="110" w:type="dxa"/>
              <w:bottom w:w="100" w:type="dxa"/>
              <w:end w:w="110" w:type="dxa"/>
            </w:tcMar>
            <w:shd w:fill="F8FAFC"/>
          </w:tcPr>
          <w:p>
            <w:pPr>
              <w:spacing w:after="0"/>
            </w:pPr>
            <w:r>
              <w:rPr>
                <w:sz w:val="16"/>
              </w:rPr>
              <w:t>TEDx RSU launches first</w:t>
            </w:r>
          </w:p>
        </w:tc>
        <w:tc>
          <w:tcPr>
            <w:tcW w:type="dxa" w:w="5112"/>
            <w:vAlign w:val="top"/>
            <w:tcMar>
              <w:top w:w="100" w:type="dxa"/>
              <w:start w:w="110" w:type="dxa"/>
              <w:bottom w:w="100" w:type="dxa"/>
              <w:end w:w="110" w:type="dxa"/>
            </w:tcMar>
            <w:shd w:fill="F8FAFC"/>
          </w:tcPr>
          <w:p>
            <w:pPr>
              <w:spacing w:after="0"/>
            </w:pPr>
            <w:r>
              <w:rPr>
                <w:sz w:val="16"/>
              </w:rPr>
              <w:t>One complete flagship case study creates more trust than several partial projects.</w:t>
            </w:r>
          </w:p>
        </w:tc>
        <w:tc>
          <w:tcPr>
            <w:tcW w:type="dxa" w:w="1296"/>
            <w:vAlign w:val="top"/>
            <w:tcMar>
              <w:top w:w="100" w:type="dxa"/>
              <w:start w:w="110" w:type="dxa"/>
              <w:bottom w:w="100" w:type="dxa"/>
              <w:end w:w="110" w:type="dxa"/>
            </w:tcMar>
            <w:shd w:fill="F8FAFC"/>
          </w:tcPr>
          <w:p>
            <w:pPr>
              <w:spacing w:after="0"/>
            </w:pPr>
            <w:r>
              <w:rPr>
                <w:sz w:val="16"/>
              </w:rPr>
              <w:t>Approved direction</w:t>
            </w:r>
          </w:p>
        </w:tc>
      </w:tr>
      <w:tr>
        <w:tc>
          <w:tcPr>
            <w:tcW w:type="dxa" w:w="3240"/>
            <w:vAlign w:val="top"/>
            <w:tcMar>
              <w:top w:w="100" w:type="dxa"/>
              <w:start w:w="110" w:type="dxa"/>
              <w:bottom w:w="100" w:type="dxa"/>
              <w:end w:w="110" w:type="dxa"/>
            </w:tcMar>
          </w:tcPr>
          <w:p>
            <w:pPr>
              <w:spacing w:after="0"/>
            </w:pPr>
            <w:r>
              <w:rPr>
                <w:sz w:val="16"/>
              </w:rPr>
              <w:t>CV lives in About and Index</w:t>
            </w:r>
          </w:p>
        </w:tc>
        <w:tc>
          <w:tcPr>
            <w:tcW w:type="dxa" w:w="5112"/>
            <w:vAlign w:val="top"/>
            <w:tcMar>
              <w:top w:w="100" w:type="dxa"/>
              <w:start w:w="110" w:type="dxa"/>
              <w:bottom w:w="100" w:type="dxa"/>
              <w:end w:w="110" w:type="dxa"/>
            </w:tcMar>
          </w:tcPr>
          <w:p>
            <w:pPr>
              <w:spacing w:after="0"/>
            </w:pPr>
            <w:r>
              <w:rPr>
                <w:sz w:val="16"/>
              </w:rPr>
              <w:t>It supports professional evaluation without becoming primary navigation clutter.</w:t>
            </w:r>
          </w:p>
        </w:tc>
        <w:tc>
          <w:tcPr>
            <w:tcW w:type="dxa" w:w="1296"/>
            <w:vAlign w:val="top"/>
            <w:tcMar>
              <w:top w:w="100" w:type="dxa"/>
              <w:start w:w="110" w:type="dxa"/>
              <w:bottom w:w="100" w:type="dxa"/>
              <w:end w:w="110" w:type="dxa"/>
            </w:tcMar>
          </w:tcPr>
          <w:p>
            <w:pPr>
              <w:spacing w:after="0"/>
            </w:pPr>
            <w:r>
              <w:rPr>
                <w:sz w:val="16"/>
              </w:rPr>
              <w:t>Approved direction</w:t>
            </w:r>
          </w:p>
        </w:tc>
      </w:tr>
      <w:tr>
        <w:tc>
          <w:tcPr>
            <w:tcW w:type="dxa" w:w="3240"/>
            <w:vAlign w:val="top"/>
            <w:tcMar>
              <w:top w:w="100" w:type="dxa"/>
              <w:start w:w="110" w:type="dxa"/>
              <w:bottom w:w="100" w:type="dxa"/>
              <w:end w:w="110" w:type="dxa"/>
            </w:tcMar>
            <w:shd w:fill="F8FAFC"/>
          </w:tcPr>
          <w:p>
            <w:pPr>
              <w:spacing w:after="0"/>
            </w:pPr>
            <w:r>
              <w:rPr>
                <w:sz w:val="16"/>
              </w:rPr>
              <w:t>No database/CMS/large analytics stack in V1</w:t>
            </w:r>
          </w:p>
        </w:tc>
        <w:tc>
          <w:tcPr>
            <w:tcW w:type="dxa" w:w="5112"/>
            <w:vAlign w:val="top"/>
            <w:tcMar>
              <w:top w:w="100" w:type="dxa"/>
              <w:start w:w="110" w:type="dxa"/>
              <w:bottom w:w="100" w:type="dxa"/>
              <w:end w:w="110" w:type="dxa"/>
            </w:tcMar>
            <w:shd w:fill="F8FAFC"/>
          </w:tcPr>
          <w:p>
            <w:pPr>
              <w:spacing w:after="0"/>
            </w:pPr>
            <w:r>
              <w:rPr>
                <w:sz w:val="16"/>
              </w:rPr>
              <w:t>The release should solve proof and conversion with minimal operational weight.</w:t>
            </w:r>
          </w:p>
        </w:tc>
        <w:tc>
          <w:tcPr>
            <w:tcW w:type="dxa" w:w="1296"/>
            <w:vAlign w:val="top"/>
            <w:tcMar>
              <w:top w:w="100" w:type="dxa"/>
              <w:start w:w="110" w:type="dxa"/>
              <w:bottom w:w="100" w:type="dxa"/>
              <w:end w:w="110" w:type="dxa"/>
            </w:tcMar>
            <w:shd w:fill="F8FAFC"/>
          </w:tcPr>
          <w:p>
            <w:pPr>
              <w:spacing w:after="0"/>
            </w:pPr>
            <w:r>
              <w:rPr>
                <w:sz w:val="16"/>
              </w:rPr>
              <w:t>Locked</w:t>
            </w:r>
          </w:p>
        </w:tc>
      </w:tr>
    </w:tbl>
    <w:p>
      <w:pPr>
        <w:spacing w:after="0"/>
      </w:pPr>
    </w:p>
    <w:p>
      <w:pPr>
        <w:pStyle w:val="Heading1"/>
      </w:pPr>
      <w:r>
        <w:t>22. Open inputs—not open product questions</w:t>
      </w:r>
    </w:p>
    <w:p>
      <w:r>
        <w:t>The product direction is sufficiently defined to begin. The remaining items are content or operational inputs, not requests to reconsider the site’s visual identity or architecture.</w:t>
      </w:r>
    </w:p>
    <w:p>
      <w:pPr>
        <w:pStyle w:val="ListBullet"/>
        <w:spacing w:after="44"/>
      </w:pPr>
      <w:r>
        <w:t>Final TEDx RSU media, captions, individual role, collaborators, dates and verifiable outcomes.</w:t>
      </w:r>
    </w:p>
    <w:p>
      <w:pPr>
        <w:pStyle w:val="ListBullet"/>
        <w:spacing w:after="44"/>
      </w:pPr>
      <w:r>
        <w:t>Approved Explorations and Community entries, or approval of the drafted truthful empty states.</w:t>
      </w:r>
    </w:p>
    <w:p>
      <w:pPr>
        <w:pStyle w:val="ListBullet"/>
        <w:spacing w:after="44"/>
      </w:pPr>
      <w:r>
        <w:t>Current CV PDF and confirmation of the five service descriptions.</w:t>
      </w:r>
    </w:p>
    <w:p>
      <w:pPr>
        <w:pStyle w:val="ListBullet"/>
        <w:spacing w:after="44"/>
      </w:pPr>
      <w:r>
        <w:t>Working-principles copy if that optional homepage module is to ship.</w:t>
      </w:r>
    </w:p>
    <w:p>
      <w:pPr>
        <w:pStyle w:val="ListBullet"/>
        <w:spacing w:after="44"/>
      </w:pPr>
      <w:r>
        <w:t>Vercel environment ownership, Resend sender/domain setup and shared rate-limit service choice.</w:t>
      </w:r>
    </w:p>
    <w:p>
      <w:pPr>
        <w:pStyle w:val="ListBullet"/>
        <w:spacing w:after="44"/>
      </w:pPr>
      <w:r>
        <w:t>Final preview approval after the defined browser, accessibility and performance evidence is attached.</w:t>
      </w:r>
    </w:p>
    <w:p>
      <w:pPr>
        <w:pStyle w:val="Heading1"/>
      </w:pPr>
      <w:r>
        <w:t>23. Definition of done</w:t>
      </w:r>
    </w:p>
    <w:p>
      <w:r>
        <w:t>The release is done when a first-time design leader can arrive on the homepage, understand the positioning, inspect a complete and truthful flagship case study, verify relevant experience, obtain the CV and send a reliable enquiry—on keyboard, touch, reduced-motion and no-JavaScript paths—without encountering a broken route, unsupported claim or visual departure from the restored site.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5"/>
      </w:rPr>
      <w:t xml:space="preserve">13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DLabel"/>
      <w:jc w:val="right"/>
    </w:pPr>
    <w:r>
      <w:t>MIEBAKA JOSHUA  /  PORTFOLIO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1018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01828"/>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43E9"/>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b/>
      <w:bCs/>
      <w:color w:val="1018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101828"/>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Label">
    <w:name w:val="PRD Label"/>
    <w:pPr>
      <w:spacing w:after="60"/>
    </w:pPr>
    <w:rPr>
      <w:rFonts w:ascii="Aptos" w:hAnsi="Aptos"/>
      <w:b/>
      <w:color w:val="2643E9"/>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Miebaka Portfolio Product Requirements Document</dc:title>
  <dc:subject>Implementation-ready PRD for the Miebaka portfolio</dc:subject>
  <dc:creator>Miebaka Joshua</dc:creator>
  <cp:keywords>portfolio, PRD, design engineering, case study, accessibility, performance</cp:keywords>
  <dc:description>generated by python-docx</dc:description>
  <cp:lastModifiedBy/>
  <cp:revision>1</cp:revision>
  <dcterms:created xsi:type="dcterms:W3CDTF">2013-12-23T23:15:00Z</dcterms:created>
  <dcterms:modified xsi:type="dcterms:W3CDTF">2013-12-23T23:15:00Z</dcterms:modified>
  <cp:category/>
</cp:coreProperties>
</file>