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z w:val="34"/>
          <w:szCs w:val="34"/>
        </w:rPr>
        <w:t xml:space="preserve">MIELIKKIX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FF6B00"/>
          <w:sz w:val="24"/>
          <w:szCs w:val="24"/>
        </w:rPr>
        <w:t xml:space="preserve">Company Site Design Brief — Palette 1: Forest &amp; Aurora</w:t>
      </w:r>
    </w:p>
    <w:p>
      <w:pPr>
        <w:pBdr>
          <w:bottom w:val="single" w:color="FF6B00" w:sz="10" w:space="4"/>
        </w:pBdr>
        <w:spacing w:after="220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For the mielikkix-company-site repo (github.com/orgs/mielikkix/)</w:t>
      </w:r>
    </w:p>
    <w:p>
      <w:pPr>
        <w:pStyle w:val="Heading1"/>
        <w:spacing w:after="120" w:before="340"/>
      </w:pPr>
      <w:r>
        <w:rPr>
          <w:rFonts w:ascii="Calibri" w:cs="Calibri" w:eastAsia="Calibri" w:hAnsi="Calibri"/>
          <w:b/>
          <w:bCs/>
          <w:color w:val="FF6B00"/>
          <w:sz w:val="26"/>
          <w:szCs w:val="26"/>
        </w:rPr>
        <w:t xml:space="preserve">1. Direction</w:t>
      </w:r>
    </w:p>
    <w:p>
      <w:pPr>
        <w:spacing w:after="1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Bold, high-tech &amp; mystical. Deep, infinite forest tones with a neon AI pulse — built so bright accents feel like data lighting up in the dark. This is the confirmed direction for the public site; do not mix in the other two palette drafts.</w:t>
      </w:r>
    </w:p>
    <w:p>
      <w:pPr>
        <w:pStyle w:val="Heading1"/>
        <w:spacing w:after="120" w:before="340"/>
      </w:pPr>
      <w:r>
        <w:rPr>
          <w:rFonts w:ascii="Calibri" w:cs="Calibri" w:eastAsia="Calibri" w:hAnsi="Calibri"/>
          <w:b/>
          <w:bCs/>
          <w:color w:val="FF6B00"/>
          <w:sz w:val="26"/>
          <w:szCs w:val="26"/>
        </w:rPr>
        <w:t xml:space="preserve">2. Color tokens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400"/>
        <w:gridCol w:w="4426"/>
      </w:tblGrid>
      <w:tr>
        <w:trPr>
          <w:tblHeader/>
        </w:trPr>
        <w:tc>
          <w:tcPr>
            <w:tcW w:type="dxa" w:w="17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6B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Token</w:t>
            </w:r>
          </w:p>
        </w:tc>
        <w:tc>
          <w:tcPr>
            <w:tcW w:type="dxa" w:w="15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6B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Hex</w:t>
            </w:r>
          </w:p>
        </w:tc>
        <w:tc>
          <w:tcPr>
            <w:tcW w:type="dxa" w:w="14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6B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Text on it</w:t>
            </w:r>
          </w:p>
        </w:tc>
        <w:tc>
          <w:tcPr>
            <w:tcW w:type="dxa" w:w="442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6B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Usage</w:t>
            </w:r>
          </w:p>
        </w:tc>
      </w:tr>
      <w:tr>
        <w:tc>
          <w:tcPr>
            <w:tcW w:type="dxa" w:w="17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0F2A1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E8F0EB"/>
                <w:sz w:val="16"/>
                <w:szCs w:val="16"/>
              </w:rPr>
              <w:t xml:space="preserve">Deep Forest</w:t>
            </w:r>
          </w:p>
        </w:tc>
        <w:tc>
          <w:tcPr>
            <w:tcW w:type="dxa" w:w="15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0F2A1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8F0EB"/>
                <w:sz w:val="16"/>
                <w:szCs w:val="16"/>
              </w:rPr>
              <w:t xml:space="preserve">#0F2A1F</w:t>
            </w:r>
          </w:p>
        </w:tc>
        <w:tc>
          <w:tcPr>
            <w:tcW w:type="dxa" w:w="14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0F2A1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8F0EB"/>
                <w:sz w:val="16"/>
                <w:szCs w:val="16"/>
              </w:rPr>
              <w:t xml:space="preserve">sample text</w:t>
            </w:r>
          </w:p>
        </w:tc>
        <w:tc>
          <w:tcPr>
            <w:tcW w:type="dxa" w:w="442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Primary background — main canvas, dark so accents pop</w:t>
            </w:r>
          </w:p>
        </w:tc>
      </w:tr>
      <w:tr>
        <w:tc>
          <w:tcPr>
            <w:tcW w:type="dxa" w:w="17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00E5A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6231A"/>
                <w:sz w:val="16"/>
                <w:szCs w:val="16"/>
              </w:rPr>
              <w:t xml:space="preserve">Aurora Neon</w:t>
            </w:r>
          </w:p>
        </w:tc>
        <w:tc>
          <w:tcPr>
            <w:tcW w:type="dxa" w:w="15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00E5A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6231A"/>
                <w:sz w:val="16"/>
                <w:szCs w:val="16"/>
              </w:rPr>
              <w:t xml:space="preserve">#00E5A0</w:t>
            </w:r>
          </w:p>
        </w:tc>
        <w:tc>
          <w:tcPr>
            <w:tcW w:type="dxa" w:w="14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00E5A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231A"/>
                <w:sz w:val="16"/>
                <w:szCs w:val="16"/>
              </w:rPr>
              <w:t xml:space="preserve">sample text</w:t>
            </w:r>
          </w:p>
        </w:tc>
        <w:tc>
          <w:tcPr>
            <w:tcW w:type="dxa" w:w="442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Primary accent — CTA buttons, hover states, data visualizations</w:t>
            </w:r>
          </w:p>
        </w:tc>
      </w:tr>
      <w:tr>
        <w:tc>
          <w:tcPr>
            <w:tcW w:type="dxa" w:w="17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D4AF3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A2005"/>
                <w:sz w:val="16"/>
                <w:szCs w:val="16"/>
              </w:rPr>
              <w:t xml:space="preserve">Antler Gold</w:t>
            </w:r>
          </w:p>
        </w:tc>
        <w:tc>
          <w:tcPr>
            <w:tcW w:type="dxa" w:w="15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D4AF3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A2005"/>
                <w:sz w:val="16"/>
                <w:szCs w:val="16"/>
              </w:rPr>
              <w:t xml:space="preserve">#D4AF37</w:t>
            </w:r>
          </w:p>
        </w:tc>
        <w:tc>
          <w:tcPr>
            <w:tcW w:type="dxa" w:w="14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D4AF3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A2005"/>
                <w:sz w:val="16"/>
                <w:szCs w:val="16"/>
              </w:rPr>
              <w:t xml:space="preserve">sample text</w:t>
            </w:r>
          </w:p>
        </w:tc>
        <w:tc>
          <w:tcPr>
            <w:tcW w:type="dxa" w:w="442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Secondary accent — logo mark, badges, premium highlights</w:t>
            </w:r>
          </w:p>
        </w:tc>
      </w:tr>
      <w:tr>
        <w:tc>
          <w:tcPr>
            <w:tcW w:type="dxa" w:w="17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E8F0EB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2A1F"/>
                <w:sz w:val="16"/>
                <w:szCs w:val="16"/>
              </w:rPr>
              <w:t xml:space="preserve">Mist White</w:t>
            </w:r>
          </w:p>
        </w:tc>
        <w:tc>
          <w:tcPr>
            <w:tcW w:type="dxa" w:w="15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E8F0EB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A1F"/>
                <w:sz w:val="16"/>
                <w:szCs w:val="16"/>
              </w:rPr>
              <w:t xml:space="preserve">#E8F0EB</w:t>
            </w:r>
          </w:p>
        </w:tc>
        <w:tc>
          <w:tcPr>
            <w:tcW w:type="dxa" w:w="14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E8F0EB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2A1F"/>
                <w:sz w:val="16"/>
                <w:szCs w:val="16"/>
              </w:rPr>
              <w:t xml:space="preserve">sample text</w:t>
            </w:r>
          </w:p>
        </w:tc>
        <w:tc>
          <w:tcPr>
            <w:tcW w:type="dxa" w:w="442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Text &amp; icons — body copy on dark backgrounds</w:t>
            </w:r>
          </w:p>
        </w:tc>
      </w:tr>
    </w:tbl>
    <w:p>
      <w:pPr>
        <w:pStyle w:val="Heading1"/>
        <w:spacing w:after="120" w:before="340"/>
      </w:pPr>
      <w:r>
        <w:rPr>
          <w:rFonts w:ascii="Calibri" w:cs="Calibri" w:eastAsia="Calibri" w:hAnsi="Calibri"/>
          <w:b/>
          <w:bCs/>
          <w:color w:val="FF6B00"/>
          <w:sz w:val="26"/>
          <w:szCs w:val="26"/>
        </w:rPr>
        <w:t xml:space="preserve">3. Live preview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AF37" w:sz="6"/>
              <w:left w:val="single" w:color="D4AF37" w:sz="6"/>
              <w:bottom w:val="single" w:color="D4AF37" w:sz="6"/>
              <w:right w:val="single" w:color="D4AF37" w:sz="6"/>
            </w:tcBorders>
            <w:shd w:fill="0F2A1F" w:color="auto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0E5A0"/>
                <w:sz w:val="22"/>
                <w:szCs w:val="22"/>
              </w:rPr>
              <w:t xml:space="preserve">● MielikkiX</w:t>
            </w:r>
          </w:p>
          <w:p>
            <w:pPr>
              <w:spacing w:after="160"/>
            </w:pPr>
            <w:r>
              <w:rPr>
                <w:rFonts w:ascii="Calibri" w:cs="Calibri" w:eastAsia="Calibri" w:hAnsi="Calibri"/>
                <w:b/>
                <w:bCs/>
                <w:color w:val="06231A"/>
                <w:sz w:val="18"/>
                <w:szCs w:val="18"/>
                <w:shd w:fill="00E5A0" w:color="auto" w:val="clear"/>
              </w:rPr>
              <w:t xml:space="preserve">  Get Started  </w:t>
            </w:r>
            <w:r>
              <w:t xml:space="preserve">     </w:t>
            </w:r>
            <w:r>
              <w:rPr>
                <w:rFonts w:ascii="Calibri" w:cs="Calibri" w:eastAsia="Calibri" w:hAnsi="Calibri"/>
                <w:b/>
                <w:bCs/>
                <w:color w:val="D4AF37"/>
                <w:sz w:val="18"/>
                <w:szCs w:val="18"/>
              </w:rPr>
              <w:t xml:space="preserve">  Learn More  </w:t>
            </w:r>
          </w:p>
          <w:p>
            <w:r>
              <w:rPr>
                <w:rFonts w:ascii="Calibri" w:cs="Calibri" w:eastAsia="Calibri" w:hAnsi="Calibri"/>
                <w:i/>
                <w:iCs/>
                <w:color w:val="E8F0EB"/>
                <w:sz w:val="17"/>
                <w:szCs w:val="17"/>
              </w:rPr>
              <w:t xml:space="preserve">Body copy sits in Mist White against Deep Forest, with Aurora Neon driving every interactive moment.</w:t>
            </w:r>
          </w:p>
        </w:tc>
      </w:tr>
    </w:tbl>
    <w:p>
      <w:pPr>
        <w:spacing w:after="200" w:before="4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Reserve Aurora Neon for interactive/CTA moments — it should read as "this is clickable / this is live data," not as decoration.</w:t>
      </w:r>
    </w:p>
    <w:p>
      <w:pPr>
        <w:pStyle w:val="Heading1"/>
        <w:spacing w:after="120" w:before="340"/>
      </w:pPr>
      <w:r>
        <w:rPr>
          <w:rFonts w:ascii="Calibri" w:cs="Calibri" w:eastAsia="Calibri" w:hAnsi="Calibri"/>
          <w:b/>
          <w:bCs/>
          <w:color w:val="FF6B00"/>
          <w:sz w:val="26"/>
          <w:szCs w:val="26"/>
        </w:rPr>
        <w:t xml:space="preserve">4. Logo concept</w:t>
      </w:r>
    </w:p>
    <w:p>
      <w:pPr>
        <w:spacing w:after="1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 minimalist fox face (Mielikki's sacred animal) built from geometric polygons — one ear glowing Aurora Neon, the other solid Antler Gold.</w:t>
      </w:r>
    </w:p>
    <w:p>
      <w:pPr>
        <w:pStyle w:val="Heading1"/>
        <w:spacing w:after="120" w:before="340"/>
      </w:pPr>
      <w:r>
        <w:rPr>
          <w:rFonts w:ascii="Calibri" w:cs="Calibri" w:eastAsia="Calibri" w:hAnsi="Calibri"/>
          <w:b/>
          <w:bCs/>
          <w:color w:val="FF6B00"/>
          <w:sz w:val="26"/>
          <w:szCs w:val="26"/>
        </w:rPr>
        <w:t xml:space="preserve">5. Typography</w:t>
      </w:r>
    </w:p>
    <w:p>
      <w:pPr>
        <w:spacing w:after="1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Not specified in the palette draft — recommend continuing with Proxima Nova (already used across the app dashboard) for brand consistency across every Mielikkix surface. Confirm before build, or specify an alternative.</w:t>
      </w:r>
    </w:p>
    <w:p>
      <w:pPr>
        <w:pStyle w:val="Heading1"/>
        <w:spacing w:after="120" w:before="340"/>
      </w:pPr>
      <w:r>
        <w:rPr>
          <w:rFonts w:ascii="Calibri" w:cs="Calibri" w:eastAsia="Calibri" w:hAnsi="Calibri"/>
          <w:b/>
          <w:bCs/>
          <w:color w:val="FF6B00"/>
          <w:sz w:val="26"/>
          <w:szCs w:val="26"/>
        </w:rPr>
        <w:t xml:space="preserve">6. Site structure</w:t>
      </w:r>
    </w:p>
    <w:p>
      <w:pPr>
        <w:spacing w:after="60"/>
        <w:ind w:left="260" w:hanging="200"/>
      </w:pPr>
      <w:r>
        <w:rPr>
          <w:rFonts w:ascii="Calibri" w:cs="Calibri" w:eastAsia="Calibri" w:hAnsi="Calibri"/>
          <w:color w:val="FF6B00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/ — Home: hero, Chat Widget + Force Agents overview, CTA to demo/pricing</w:t>
      </w:r>
    </w:p>
    <w:p>
      <w:pPr>
        <w:spacing w:after="60"/>
        <w:ind w:left="260" w:hanging="200"/>
      </w:pPr>
      <w:r>
        <w:rPr>
          <w:rFonts w:ascii="Calibri" w:cs="Calibri" w:eastAsia="Calibri" w:hAnsi="Calibri"/>
          <w:color w:val="FF6B00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/chat-widget — product page</w:t>
      </w:r>
    </w:p>
    <w:p>
      <w:pPr>
        <w:spacing w:after="60"/>
        <w:ind w:left="260" w:hanging="200"/>
      </w:pPr>
      <w:r>
        <w:rPr>
          <w:rFonts w:ascii="Calibri" w:cs="Calibri" w:eastAsia="Calibri" w:hAnsi="Calibri"/>
          <w:color w:val="FF6B00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/force-agents — 10-agent grid, grouped as Front Desk &amp; Support / Sales &amp; Marketing / Growth &amp; Retention (mirrors the dashboard's "Meet the Crew")</w:t>
      </w:r>
    </w:p>
    <w:p>
      <w:pPr>
        <w:spacing w:after="60"/>
        <w:ind w:left="260" w:hanging="200"/>
      </w:pPr>
      <w:r>
        <w:rPr>
          <w:rFonts w:ascii="Calibri" w:cs="Calibri" w:eastAsia="Calibri" w:hAnsi="Calibri"/>
          <w:color w:val="FF6B00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/pricing</w:t>
      </w:r>
    </w:p>
    <w:p>
      <w:pPr>
        <w:spacing w:after="60"/>
        <w:ind w:left="260" w:hanging="200"/>
      </w:pPr>
      <w:r>
        <w:rPr>
          <w:rFonts w:ascii="Calibri" w:cs="Calibri" w:eastAsia="Calibri" w:hAnsi="Calibri"/>
          <w:color w:val="FF6B00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/company — About, Careers, Contact</w:t>
      </w:r>
    </w:p>
    <w:p>
      <w:pPr>
        <w:spacing w:after="1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Sign-up/login links out to app.mielikkix.ai — do not replicate auth on the marketing site.</w:t>
      </w:r>
    </w:p>
    <w:p>
      <w:pPr>
        <w:pStyle w:val="Heading1"/>
        <w:spacing w:after="120" w:before="340"/>
      </w:pPr>
      <w:r>
        <w:rPr>
          <w:rFonts w:ascii="Calibri" w:cs="Calibri" w:eastAsia="Calibri" w:hAnsi="Calibri"/>
          <w:b/>
          <w:bCs/>
          <w:color w:val="FF6B00"/>
          <w:sz w:val="26"/>
          <w:szCs w:val="26"/>
        </w:rPr>
        <w:t xml:space="preserve">7. Component conventions</w:t>
      </w:r>
    </w:p>
    <w:p>
      <w:pPr>
        <w:spacing w:after="60"/>
        <w:ind w:left="260" w:hanging="200"/>
      </w:pPr>
      <w:r>
        <w:rPr>
          <w:rFonts w:ascii="Calibri" w:cs="Calibri" w:eastAsia="Calibri" w:hAnsi="Calibri"/>
          <w:color w:val="FF6B00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Primary button: solid Aurora Neon fill, near-black (#06231A) text</w:t>
      </w:r>
    </w:p>
    <w:p>
      <w:pPr>
        <w:spacing w:after="60"/>
        <w:ind w:left="260" w:hanging="200"/>
      </w:pPr>
      <w:r>
        <w:rPr>
          <w:rFonts w:ascii="Calibri" w:cs="Calibri" w:eastAsia="Calibri" w:hAnsi="Calibri"/>
          <w:color w:val="FF6B00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Secondary button: transparent fill, 1px Antler Gold border, Antler Gold text</w:t>
      </w:r>
    </w:p>
    <w:p>
      <w:pPr>
        <w:spacing w:after="60"/>
        <w:ind w:left="260" w:hanging="200"/>
      </w:pPr>
      <w:r>
        <w:rPr>
          <w:rFonts w:ascii="Calibri" w:cs="Calibri" w:eastAsia="Calibri" w:hAnsi="Calibri"/>
          <w:color w:val="FF6B00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Body copy: Mist White on Deep Forest</w:t>
      </w:r>
    </w:p>
    <w:p>
      <w:pPr>
        <w:spacing w:after="60"/>
        <w:ind w:left="260" w:hanging="200"/>
      </w:pPr>
      <w:r>
        <w:rPr>
          <w:rFonts w:ascii="Calibri" w:cs="Calibri" w:eastAsia="Calibri" w:hAnsi="Calibri"/>
          <w:color w:val="FF6B00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Cards/panels: Deep Forest background, Antler Gold or subtle Mist White border</w:t>
      </w:r>
    </w:p>
    <w:p>
      <w:pPr>
        <w:pStyle w:val="Heading1"/>
        <w:spacing w:after="120" w:before="340"/>
      </w:pPr>
      <w:r>
        <w:rPr>
          <w:rFonts w:ascii="Calibri" w:cs="Calibri" w:eastAsia="Calibri" w:hAnsi="Calibri"/>
          <w:b/>
          <w:bCs/>
          <w:color w:val="FF6B00"/>
          <w:sz w:val="26"/>
          <w:szCs w:val="26"/>
        </w:rPr>
        <w:t xml:space="preserve">8. Deployment</w:t>
      </w:r>
    </w:p>
    <w:p>
      <w:pPr>
        <w:spacing w:after="1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Independent from the mielikkix-ai VPS deploy — confirm hosting target (e.g. Vercel/Netlify, or a slot on the same VPS) before wiring CI, so a site content change never risks the product deploy.</w:t>
      </w:r>
    </w:p>
    <w:p>
      <w:pPr>
        <w:pBdr>
          <w:top w:val="single" w:color="E5E5E5" w:sz="4" w:space="6"/>
        </w:pBdr>
        <w:spacing w:before="300"/>
      </w:pPr>
      <w:r>
        <w:rPr>
          <w:rFonts w:ascii="Calibri" w:cs="Calibri" w:eastAsia="Calibri" w:hAnsi="Calibri"/>
          <w:b/>
          <w:bCs/>
          <w:color w:val="1A1A1A"/>
          <w:sz w:val="17"/>
          <w:szCs w:val="17"/>
        </w:rPr>
        <w:t xml:space="preserve">Source: </w:t>
      </w:r>
      <w:r>
        <w:rPr>
          <w:rFonts w:ascii="Calibri" w:cs="Calibri" w:eastAsia="Calibri" w:hAnsi="Calibri"/>
          <w:color w:val="6B7280"/>
          <w:sz w:val="17"/>
          <w:szCs w:val="17"/>
        </w:rPr>
        <w:t xml:space="preserve">mielikkix_palette.html (Palette 1) · Companion: mielikkix-company-site/CLAUDE.md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2026-08-19T02:04:56.280Z</dcterms:created>
  <dcterms:modified xsi:type="dcterms:W3CDTF">2026-08-19T02:04:56.280Z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