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pStyle w:val="1"/>
        <w:spacing w:line="240" w:lineRule="auto" w:before="0" w:after="0"/>
      </w:pPr>
      <w:bookmarkStart w:name="59mm-1636263175606" w:id="1"/>
      <w:bookmarkEnd w:id="1"/>
    </w:p>
    <w:p>
      <w:pPr/>
      <w:bookmarkStart w:name="avU2-1636283925894" w:id="2"/>
      <w:bookmarkEnd w:id="2"/>
      <w:r>
        <w:drawing>
          <wp:inline distT="0" distR="0" distB="0" distL="0">
            <wp:extent cx="2438400" cy="2866417"/>
            <wp:docPr id="0" name="Drawing 0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截图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866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line="240" w:lineRule="auto" w:before="0" w:after="0"/>
      </w:pPr>
      <w:bookmarkStart w:name="3ODD-1636283923989" w:id="3"/>
      <w:bookmarkEnd w:id="3"/>
      <w:r>
        <w:rPr>
          <w:rFonts w:ascii="微软雅黑" w:hAnsi="微软雅黑" w:cs="微软雅黑" w:eastAsia="微软雅黑"/>
          <w:b w:val="true"/>
          <w:sz w:val="42"/>
        </w:rPr>
        <w:t>寄存器数量</w:t>
      </w:r>
    </w:p>
    <w:p>
      <w:pPr/>
      <w:bookmarkStart w:name="W7Io-1636263235752" w:id="4"/>
      <w:bookmarkEnd w:id="4"/>
      <w:r>
        <w:rPr>
          <w:color w:val="F33232"/>
        </w:rPr>
        <w:t>我们可以形成一种默认像堆栈，数据地址寄存器都不支持从内存单元直接写入，要通过寄存器到寄存器书写的转换</w:t>
      </w:r>
    </w:p>
    <w:p>
      <w:pPr/>
      <w:bookmarkStart w:name="0PtK-1636263236308" w:id="5"/>
      <w:bookmarkEnd w:id="5"/>
      <w:r>
        <w:drawing>
          <wp:inline distT="0" distR="0" distB="0" distL="0">
            <wp:extent cx="5267325" cy="991812"/>
            <wp:docPr id="1" name="Drawing 1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截图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991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PCZa-1636263236309" w:id="6"/>
      <w:bookmarkEnd w:id="6"/>
      <w:r>
        <w:rPr/>
        <w:t>为了向下兼容所以16位的寄存区分开成两个8位寄存器做到储存，他们命名如下，如果是al运算器加法，他的进位不会添加到ah中间去，此时他们之间是不同的两个寄存器</w:t>
      </w:r>
    </w:p>
    <w:p>
      <w:pPr/>
      <w:bookmarkStart w:name="Lq3X-1636268413703" w:id="7"/>
      <w:bookmarkEnd w:id="7"/>
    </w:p>
    <w:p>
      <w:pPr/>
      <w:bookmarkStart w:name="ZCyv-1636268414128" w:id="8"/>
      <w:bookmarkEnd w:id="8"/>
      <w:r>
        <w:drawing>
          <wp:inline distT="0" distR="0" distB="0" distL="0">
            <wp:extent cx="4521200" cy="1728796"/>
            <wp:docPr id="2" name="Drawing 2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截图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521200" cy="172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C4f0-1636268414130" w:id="9"/>
      <w:bookmarkEnd w:id="9"/>
    </w:p>
    <w:p>
      <w:pPr/>
      <w:bookmarkStart w:name="dWQd-1636283854592" w:id="10"/>
      <w:bookmarkEnd w:id="10"/>
    </w:p>
    <w:p>
      <w:pPr/>
      <w:bookmarkStart w:name="Bo82-1636283854719" w:id="11"/>
      <w:bookmarkEnd w:id="11"/>
    </w:p>
    <w:p>
      <w:pPr/>
      <w:bookmarkStart w:name="JjWW-1636283854865" w:id="12"/>
      <w:bookmarkEnd w:id="12"/>
      <w:r>
        <w:rPr/>
        <w:t>机器指令操作</w:t>
      </w:r>
    </w:p>
    <w:p>
      <w:pPr/>
      <w:bookmarkStart w:name="vxRZ-1636283874280" w:id="13"/>
      <w:bookmarkEnd w:id="13"/>
    </w:p>
    <w:p>
      <w:pPr/>
      <w:bookmarkStart w:name="7YJ4-1636283875566" w:id="14"/>
      <w:bookmarkEnd w:id="14"/>
      <w:r>
        <w:drawing>
          <wp:inline distT="0" distR="0" distB="0" distL="0">
            <wp:extent cx="2755900" cy="1893697"/>
            <wp:docPr id="3" name="Drawing 3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截图.pn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55900" cy="1893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q7DD-1636269588461" w:id="15"/>
      <w:bookmarkEnd w:id="15"/>
    </w:p>
    <w:p>
      <w:pPr/>
      <w:bookmarkStart w:name="XugO-1636294691019" w:id="16"/>
      <w:bookmarkEnd w:id="16"/>
    </w:p>
    <w:p>
      <w:pPr/>
      <w:bookmarkStart w:name="nnLn-1636438896047" w:id="17"/>
      <w:bookmarkEnd w:id="17"/>
      <w:r>
        <w:drawing>
          <wp:inline distT="0" distR="0" distB="0" distL="0">
            <wp:extent cx="4318000" cy="756180"/>
            <wp:docPr id="4" name="Drawing 4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截图.pn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7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OUxY-1636294691138" w:id="18"/>
      <w:bookmarkEnd w:id="18"/>
    </w:p>
    <w:p>
      <w:pPr/>
      <w:bookmarkStart w:name="eEBk-1636439049212" w:id="19"/>
      <w:bookmarkEnd w:id="19"/>
    </w:p>
    <w:p>
      <w:pPr/>
      <w:bookmarkStart w:name="YTyR-1636439049983" w:id="20"/>
      <w:bookmarkEnd w:id="20"/>
      <w:r>
        <w:drawing>
          <wp:inline distT="0" distR="0" distB="0" distL="0">
            <wp:extent cx="4318000" cy="596154"/>
            <wp:docPr id="5" name="Drawing 5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截图.pn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5961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1"/>
        <w:spacing w:line="240" w:lineRule="auto" w:before="0" w:after="0"/>
      </w:pPr>
      <w:bookmarkStart w:name="7Uex-1636294691285" w:id="21"/>
      <w:bookmarkEnd w:id="21"/>
      <w:r>
        <w:rPr>
          <w:rFonts w:ascii="微软雅黑" w:hAnsi="微软雅黑" w:cs="微软雅黑" w:eastAsia="微软雅黑"/>
          <w:b w:val="true"/>
          <w:sz w:val="42"/>
        </w:rPr>
        <w:t>inc bx 相当于 bx+=1；</w:t>
      </w:r>
    </w:p>
    <w:p>
      <w:pPr>
        <w:pStyle w:val="1"/>
        <w:spacing w:line="240" w:lineRule="auto" w:before="0" w:after="0"/>
      </w:pPr>
      <w:bookmarkStart w:name="9wHf-1636440459289" w:id="22"/>
      <w:bookmarkEnd w:id="22"/>
      <w:r>
        <w:rPr>
          <w:rFonts w:ascii="微软雅黑" w:hAnsi="微软雅黑" w:cs="微软雅黑" w:eastAsia="微软雅黑"/>
          <w:b w:val="true"/>
          <w:sz w:val="42"/>
        </w:rPr>
        <w:t>DS 和CS区别</w:t>
      </w:r>
    </w:p>
    <w:p>
      <w:pPr>
        <w:pStyle w:val="1"/>
        <w:spacing w:line="240" w:lineRule="auto" w:before="0" w:after="0"/>
      </w:pPr>
      <w:bookmarkStart w:name="qOMV-1636294713701" w:id="23"/>
      <w:bookmarkEnd w:id="23"/>
      <w:r>
        <w:rPr>
          <w:rFonts w:ascii="微软雅黑" w:hAnsi="微软雅黑" w:cs="微软雅黑" w:eastAsia="微软雅黑"/>
          <w:b w:val="true"/>
          <w:sz w:val="42"/>
        </w:rPr>
        <w:t>DS是数据段寄存器  CS是代码段寄存器，CS指定下一步程序开始位置，DS是我们存储数据前所需要设置的位置</w:t>
      </w:r>
    </w:p>
    <w:p>
      <w:pPr/>
      <w:bookmarkStart w:name="vVF3-1636358494473" w:id="24"/>
      <w:bookmarkEnd w:id="24"/>
    </w:p>
    <w:p>
      <w:pPr/>
      <w:bookmarkStart w:name="1Aut-1636358494618" w:id="25"/>
      <w:bookmarkEnd w:id="25"/>
    </w:p>
    <w:p>
      <w:pPr>
        <w:pStyle w:val="1"/>
        <w:spacing w:line="240" w:lineRule="auto" w:before="0" w:after="0"/>
      </w:pPr>
      <w:bookmarkStart w:name="3XiQ-1636358494950" w:id="26"/>
      <w:bookmarkEnd w:id="26"/>
      <w:r>
        <w:rPr>
          <w:rFonts w:ascii="微软雅黑" w:hAnsi="微软雅黑" w:cs="微软雅黑" w:eastAsia="微软雅黑"/>
          <w:b w:val="true"/>
          <w:sz w:val="42"/>
        </w:rPr>
        <w:t>堆栈寄存器</w:t>
      </w:r>
    </w:p>
    <w:p>
      <w:pPr/>
      <w:bookmarkStart w:name="qN9J-1636358496247" w:id="27"/>
      <w:bookmarkEnd w:id="27"/>
      <w:r>
        <w:drawing>
          <wp:inline distT="0" distR="0" distB="0" distL="0">
            <wp:extent cx="5267325" cy="1213651"/>
            <wp:docPr id="6" name="Drawing 6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截图.pn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213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2j4V-1636358496248" w:id="28"/>
      <w:bookmarkEnd w:id="28"/>
      <w:r>
        <w:rPr/>
        <w:t>图中，没有字符的部分就是堆还，没有压入栈的位置，所以他没有自动的对他进行初始化，我这台win7是这个情况其他编译系统不知道</w:t>
      </w:r>
    </w:p>
    <w:p>
      <w:pPr/>
      <w:bookmarkStart w:name="9QQA-1636361737245" w:id="29"/>
      <w:bookmarkEnd w:id="29"/>
      <w:r>
        <w:drawing>
          <wp:inline distT="0" distR="0" distB="0" distL="0">
            <wp:extent cx="4978400" cy="505470"/>
            <wp:docPr id="7" name="Drawing 7" descr="截图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截图.pn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78400" cy="505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if69-1636361737250" w:id="30"/>
      <w:bookmarkEnd w:id="30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8.png" Type="http://schemas.openxmlformats.org/officeDocument/2006/relationships/image"/><Relationship Id="rId2" Target="styles.xml" Type="http://schemas.openxmlformats.org/officeDocument/2006/relationships/styles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Relationship Id="rId6" Target="media/image4.png" Type="http://schemas.openxmlformats.org/officeDocument/2006/relationships/image"/><Relationship Id="rId7" Target="media/image5.png" Type="http://schemas.openxmlformats.org/officeDocument/2006/relationships/image"/><Relationship Id="rId8" Target="media/image6.png" Type="http://schemas.openxmlformats.org/officeDocument/2006/relationships/image"/><Relationship Id="rId9" Target="media/image7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2022-01-22T07:57:08Z</dcterms:created>
  <dc:creator>Apache POI</dc:creator>
</cp:coreProperties>
</file>