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3: Infraestructuras de scripting y de gestión en plataformas Windows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1 - Fundamentos de PowerShell (II)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/>
      </w:pPr>
      <w:r>
        <w:rPr/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(1) EJERCICIO</w:t>
      </w:r>
      <w:r>
        <w:rPr>
          <w:rFonts w:eastAsia="Calibri"/>
        </w:rPr>
        <w:t>. Solicita ayuda sobre el comando Get</w:t>
        <w:noBreakHyphen/>
        <w:t xml:space="preserve">Content. Después, utiliza este comando de la forma apropiada para leer solo la primera línea del fichero </w:t>
      </w:r>
      <w:r>
        <w:rPr>
          <w:rFonts w:eastAsia="Calibri"/>
          <w:i/>
        </w:rPr>
        <w:t>Datos01.txt</w:t>
      </w:r>
      <w:r>
        <w:rPr>
          <w:rFonts w:eastAsia="Calibri"/>
        </w:rPr>
        <w:t xml:space="preserve"> y enviarla a la consola. Escribe el comando utilizado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lang w:val="en-US"/>
        </w:rPr>
      </w:pPr>
      <w:r>
        <w:rPr>
          <w:rFonts w:eastAsia="Courier New" w:cs="Courier New" w:ascii="Courier New" w:hAnsi="Courier New"/>
          <w:b/>
          <w:color w:val="006600"/>
          <w:lang w:val="en-US"/>
        </w:rPr>
        <w:t>Get-Content ‘.\Datos.txt’ -TotalCount 1</w:t>
      </w:r>
    </w:p>
    <w:p>
      <w:pPr>
        <w:pStyle w:val="Normal"/>
        <w:spacing w:before="120" w:after="6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(2) EJERCICIO</w:t>
      </w:r>
      <w:r>
        <w:rPr>
          <w:rFonts w:eastAsia="Calibri"/>
        </w:rPr>
        <w:t xml:space="preserve">. Solicita ayuda sobre el comando </w:t>
      </w:r>
      <w:r>
        <w:rPr>
          <w:rFonts w:eastAsia="Calibri"/>
          <w:i/>
        </w:rPr>
        <w:t>Add</w:t>
        <w:noBreakHyphen/>
        <w:t>Content</w:t>
      </w:r>
      <w:r>
        <w:rPr>
          <w:rFonts w:eastAsia="Calibri"/>
        </w:rPr>
        <w:t xml:space="preserve">. Después, utiliza este comando de la forma apropiada para agregar al fichero </w:t>
      </w:r>
      <w:r>
        <w:rPr>
          <w:rFonts w:eastAsia="Calibri"/>
          <w:i/>
        </w:rPr>
        <w:t>Datos01.txt</w:t>
      </w:r>
      <w:r>
        <w:rPr>
          <w:rFonts w:eastAsia="Calibri"/>
        </w:rPr>
        <w:t xml:space="preserve"> la siguiente cadena:</w:t>
      </w:r>
    </w:p>
    <w:p>
      <w:pPr>
        <w:pStyle w:val="Normal"/>
        <w:spacing w:before="0" w:after="60"/>
        <w:ind w:left="567" w:hanging="0"/>
        <w:jc w:val="both"/>
        <w:rPr>
          <w:rFonts w:ascii="Courier New" w:hAnsi="Courier New" w:eastAsia="Calibri" w:cs="Courier New"/>
        </w:rPr>
      </w:pPr>
      <w:r>
        <w:rPr>
          <w:rFonts w:eastAsia="Calibri" w:cs="Courier New" w:ascii="Courier New" w:hAnsi="Courier New"/>
        </w:rPr>
        <w:t>Quinta fila</w:t>
      </w:r>
    </w:p>
    <w:p>
      <w:pPr>
        <w:pStyle w:val="Normal"/>
        <w:spacing w:before="0" w:after="120"/>
        <w:ind w:left="567" w:hanging="0"/>
        <w:jc w:val="both"/>
        <w:rPr>
          <w:rFonts w:eastAsia="Calibri"/>
        </w:rPr>
      </w:pPr>
      <w:r>
        <w:rPr>
          <w:rFonts w:eastAsia="Calibri"/>
        </w:rPr>
        <w:t>Escribe el comando utilizado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Add-Content ‘.\Datos.txt’ -Value “Quinta fila”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(3) EJERCICIO</w:t>
      </w:r>
      <w:r>
        <w:rPr>
          <w:rFonts w:eastAsia="Calibri"/>
        </w:rPr>
        <w:t xml:space="preserve">. Repite el ejercicio anterior de modo que </w:t>
      </w:r>
      <w:r>
        <w:rPr>
          <w:rFonts w:eastAsia="Calibri" w:cs="Courier New" w:ascii="Courier New" w:hAnsi="Courier New"/>
          <w:sz w:val="22"/>
          <w:szCs w:val="22"/>
        </w:rPr>
        <w:t>“Quinta fila”</w:t>
      </w:r>
      <w:r>
        <w:rPr>
          <w:rFonts w:eastAsia="Calibri"/>
        </w:rPr>
        <w:t xml:space="preserve"> se escriba en una nueva línea del fichero </w:t>
      </w:r>
      <w:r>
        <w:rPr>
          <w:rFonts w:eastAsia="Calibri"/>
          <w:i/>
        </w:rPr>
        <w:t>Datos01.txt</w:t>
      </w:r>
      <w:r>
        <w:rPr>
          <w:rFonts w:eastAsia="Calibri"/>
        </w:rPr>
        <w:t>. Escribe el comando utilizado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0"/>
          <w:szCs w:val="20"/>
        </w:rPr>
      </w:pPr>
      <w:r>
        <w:rPr>
          <w:rFonts w:eastAsia="Courier New" w:cs="Courier New" w:ascii="Courier New" w:hAnsi="Courier New"/>
          <w:b/>
          <w:color w:val="006600"/>
          <w:sz w:val="20"/>
          <w:szCs w:val="20"/>
        </w:rPr>
        <w:t>Add-Content ‘.\datos.txt’ -Value “`r`nQuinta fila”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 xml:space="preserve">(4) EJERCICIO. </w:t>
      </w:r>
      <w:r>
        <w:rPr>
          <w:rFonts w:eastAsia="Calibri"/>
        </w:rPr>
        <w:t xml:space="preserve">Solicita ayuda sobre el comando </w:t>
      </w:r>
      <w:r>
        <w:rPr>
          <w:rFonts w:eastAsia="Calibri"/>
          <w:i/>
        </w:rPr>
        <w:t>Set</w:t>
        <w:noBreakHyphen/>
        <w:t>Content</w:t>
      </w:r>
      <w:r>
        <w:rPr>
          <w:rFonts w:eastAsia="Calibri"/>
        </w:rPr>
        <w:t xml:space="preserve">. Después, ejecuta una línea de comandos que solicite al usuario que introduzca una cadena de caracteres por consola y la guarde en el fichero </w:t>
      </w:r>
      <w:r>
        <w:rPr>
          <w:rFonts w:eastAsia="Calibri"/>
          <w:i/>
        </w:rPr>
        <w:t>Datos01.txt</w:t>
      </w:r>
      <w:r>
        <w:rPr>
          <w:rFonts w:eastAsia="Calibri"/>
        </w:rPr>
        <w:t>. No utilices ninguna variable intermedia. En su lugar, haz uso de una canalización. El comando debe imprimir en la consola el texto “Introduce una cadena:”, con objeto de guiar al usuario en la operación a realizar. Escribe la línea de comandos ejecutada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</w:rPr>
      </w:pPr>
      <w:r>
        <w:rPr>
          <w:rFonts w:eastAsia="Courier New" w:cs="Courier New" w:ascii="Courier New" w:hAnsi="Courier New"/>
          <w:b/>
          <w:color w:val="006600"/>
        </w:rPr>
        <w:t>Read-Host -Prompt ‘Introduzca una cadena’ | Set-Content ‘.\Datos.txt’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(5) PREGUNTA</w:t>
      </w:r>
      <w:r>
        <w:rPr>
          <w:rFonts w:eastAsia="Calibri"/>
        </w:rPr>
        <w:t>. WinRM es la implementación realizada por Microsoft de un protocolo estándar desarrollado por la industria TI. Indica cuál es dicho protocolo.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EL protocolo es WS-Management protocol.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(6) PREGUNTA</w:t>
      </w:r>
      <w:r>
        <w:rPr>
          <w:rFonts w:eastAsia="Calibri"/>
        </w:rPr>
        <w:t>. Traduce el párrafo que empieza por “The intent of the protocol is…” y escríbelo a continuación: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 xml:space="preserve">El objetivo del protocolo es proporcionar consistencia e interoperabilidad para operaciones de gestión en muchos tipos de dispositivos (incluido firmware) y sistemas operativos. El protocolo puede ser extendido si se crean nuevas operaciones identificadas por la industria de TI. </w:t>
      </w: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 xml:space="preserve"> </w:t>
      </w:r>
      <w:r>
        <w:rPr>
          <w:rFonts w:eastAsia="Calibri"/>
          <w:b/>
          <w:color w:val="FF0000"/>
        </w:rPr>
        <w:t>(7) PREGUNTA</w:t>
      </w:r>
      <w:r>
        <w:rPr>
          <w:rFonts w:eastAsia="Calibri"/>
        </w:rPr>
        <w:t xml:space="preserve">. ¿Cuál es el cometido del consorcio DMTF?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left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 xml:space="preserve">El cometido del consorcio DMTF es crear estándares de gestión abierta para diversas infraesrtucturas de TI (tanto tradicionales como emergentes) como Cloud, virtualización, redes, servidores y almacenamiento. Los miembros de la compañía y aliados colaboran en estándares para mejorar la interoperabilidad de las tecnologías de gestión de información. </w:t>
      </w: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(8) PREGUNTA</w:t>
      </w:r>
      <w:r>
        <w:rPr>
          <w:rFonts w:eastAsia="Calibri"/>
        </w:rPr>
        <w:t xml:space="preserve">. ¿Cuál es el objetivo de los estándares desarrollados por el consorcio DMTF?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El objetivo es proporcionar interoprabilidad entre aplicaciones de gestión y recursos manejados e identificar una serie de especificaciones de servicios web y requisitos de uso que exponen una lista de operaciones centrales comunes a todos los sistemas de gestión.</w:t>
        <w:br/>
      </w: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(9) PREGUNTA</w:t>
      </w:r>
      <w:r>
        <w:rPr>
          <w:rFonts w:eastAsia="Calibri"/>
        </w:rPr>
        <w:t xml:space="preserve">. Indica cuatro compañías del consejo de dirección </w:t>
      </w:r>
      <w:r>
        <w:rPr>
          <w:rFonts w:eastAsia="Calibri"/>
          <w:i/>
          <w:lang w:val="en-GB"/>
        </w:rPr>
        <w:t>(board of directors</w:t>
      </w:r>
      <w:r>
        <w:rPr>
          <w:rFonts w:eastAsia="Calibri"/>
        </w:rPr>
        <w:t>) del consorcio DMTF.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left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DELL, HP, Cisco, BroadCom e Intel</w:t>
      </w: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(10) PREGUNTA</w:t>
      </w:r>
      <w:r>
        <w:rPr>
          <w:rFonts w:eastAsia="Calibri"/>
        </w:rPr>
        <w:t>. ¿Por qué no es adecuado ejecutar este comando en equipos que solo envían comandos?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left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Porque el comando inicia listeners, por lo tanto es prudente ejecutarlo sólo donde se necesita.</w:t>
      </w: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(11) PREGUNTA</w:t>
      </w:r>
      <w:r>
        <w:rPr>
          <w:rFonts w:eastAsia="Calibri"/>
        </w:rPr>
        <w:t xml:space="preserve">. ¿Qué actuación realiza el comando </w:t>
      </w:r>
      <w:r>
        <w:rPr>
          <w:rFonts w:eastAsia="Calibri"/>
          <w:i/>
        </w:rPr>
        <w:t>Enable</w:t>
        <w:noBreakHyphen/>
        <w:t>PSRemoting</w:t>
      </w:r>
      <w:r>
        <w:rPr>
          <w:rFonts w:eastAsia="Calibri"/>
        </w:rPr>
        <w:t xml:space="preserve"> sobre el firewall del equipo?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Activa una excepción de firewall para comunicaciones de WS-Management.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(12) PREGUNTA</w:t>
      </w:r>
      <w:r>
        <w:rPr>
          <w:rFonts w:eastAsia="Calibri"/>
        </w:rPr>
        <w:t xml:space="preserve">. Entre las configuraciones realizadas para habilitar la gestión remota del sistema se encuentra la apertura del firewall del equipo para una determinada característica. Abre </w:t>
      </w:r>
      <w:r>
        <w:rPr>
          <w:rFonts w:eastAsia="Calibri"/>
          <w:i/>
        </w:rPr>
        <w:t>Panel de control</w:t>
      </w:r>
      <w:r>
        <w:rPr>
          <w:rFonts w:eastAsia="Calibri"/>
        </w:rPr>
        <w:t xml:space="preserve"> -&gt; </w:t>
      </w:r>
      <w:r>
        <w:rPr>
          <w:rFonts w:eastAsia="Calibri"/>
          <w:i/>
        </w:rPr>
        <w:t>Sistema y seguridad</w:t>
      </w:r>
      <w:r>
        <w:rPr>
          <w:rFonts w:eastAsia="Calibri"/>
        </w:rPr>
        <w:t xml:space="preserve"> -&gt; </w:t>
      </w:r>
      <w:r>
        <w:rPr>
          <w:rFonts w:eastAsia="Calibri"/>
          <w:i/>
        </w:rPr>
        <w:t>Firewall de Windows Defender</w:t>
      </w:r>
      <w:r>
        <w:rPr>
          <w:rFonts w:eastAsia="Calibri"/>
        </w:rPr>
        <w:t xml:space="preserve"> -&gt; </w:t>
      </w:r>
      <w:r>
        <w:rPr>
          <w:rFonts w:eastAsia="Calibri"/>
          <w:i/>
        </w:rPr>
        <w:t>Permitir una aplicación o una característica a través de Firewall de Windows Defender</w:t>
      </w:r>
      <w:r>
        <w:rPr>
          <w:rFonts w:eastAsia="Calibri"/>
        </w:rPr>
        <w:t xml:space="preserve">. Observa el panel </w:t>
      </w:r>
      <w:r>
        <w:rPr>
          <w:rFonts w:eastAsia="Calibri"/>
          <w:i/>
        </w:rPr>
        <w:t>Aplicaciones y características permitidas</w:t>
      </w:r>
      <w:r>
        <w:rPr>
          <w:rFonts w:eastAsia="Calibri"/>
        </w:rPr>
        <w:t xml:space="preserve">. ¿Cuál es el nombre de la característica permitida tras la ejecución de </w:t>
      </w:r>
      <w:r>
        <w:rPr>
          <w:rFonts w:eastAsia="Calibri"/>
          <w:i/>
        </w:rPr>
        <w:t>Enable</w:t>
        <w:noBreakHyphen/>
        <w:t>PSRemoting</w:t>
      </w:r>
      <w:r>
        <w:rPr>
          <w:rFonts w:eastAsia="Calibri"/>
        </w:rPr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Administración remota de Windows.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(13) PREGUNTA</w:t>
      </w:r>
      <w:r>
        <w:rPr>
          <w:rFonts w:eastAsia="Calibri"/>
        </w:rPr>
        <w:t xml:space="preserve">. ¿Qué grupo de seguridad del dominio agregado al grupo local </w:t>
      </w:r>
      <w:r>
        <w:rPr>
          <w:rFonts w:eastAsia="Calibri"/>
          <w:i/>
        </w:rPr>
        <w:t>Administradores</w:t>
      </w:r>
      <w:r>
        <w:rPr>
          <w:rFonts w:eastAsia="Calibri"/>
        </w:rPr>
        <w:t xml:space="preserve"> proporcionará control total del equipo al administrador del dominio?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PRACTICAS\Admins. del dominio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(14) PREGUNTA</w:t>
      </w:r>
      <w:r>
        <w:rPr>
          <w:rFonts w:eastAsia="Calibri"/>
        </w:rPr>
        <w:t>. Indica las tres formas posibles de indicar el computador remoto.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NETBIOS name, dirección IP o el nombre de dominio válido.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(15) EJERCICIO</w:t>
      </w:r>
      <w:r>
        <w:rPr>
          <w:rFonts w:eastAsia="Calibri"/>
        </w:rPr>
        <w:t>. En PLX</w:t>
        <w:noBreakHyphen/>
        <w:t>C</w:t>
        <w:noBreakHyphen/>
        <w:t xml:space="preserve">51, invoca un comando que detenga el servicio </w:t>
      </w:r>
      <w:r>
        <w:rPr>
          <w:rFonts w:eastAsia="Calibri"/>
          <w:i/>
        </w:rPr>
        <w:t>Cola de impresión</w:t>
      </w:r>
      <w:r>
        <w:rPr>
          <w:rFonts w:eastAsia="Calibri"/>
        </w:rPr>
        <w:t xml:space="preserve"> en PLX</w:t>
        <w:noBreakHyphen/>
        <w:t>C</w:t>
        <w:noBreakHyphen/>
        <w:t>52. Escribe el comando invocado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</w:rPr>
        <w:t>Invoke-Command -ComputerName PL4-C-52 -ScriptBlock {Stop-Service spooler}</w:t>
      </w:r>
      <w:r>
        <w:rPr>
          <w:rFonts w:eastAsia="Courier New" w:cs="Courier New" w:ascii="Courier New" w:hAnsi="Courier New"/>
          <w:b/>
          <w:color w:val="006600"/>
          <w:sz w:val="18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(16) EJERCICIO</w:t>
      </w:r>
      <w:r>
        <w:rPr>
          <w:rFonts w:eastAsia="Calibri"/>
        </w:rPr>
        <w:t>. En PLX</w:t>
        <w:noBreakHyphen/>
        <w:t>C</w:t>
        <w:noBreakHyphen/>
        <w:t xml:space="preserve">51, invoca un comando que ponga otra vez en marcha el servicio </w:t>
      </w:r>
      <w:r>
        <w:rPr>
          <w:rFonts w:eastAsia="Calibri"/>
          <w:i/>
        </w:rPr>
        <w:t>Cola de impresión</w:t>
      </w:r>
      <w:r>
        <w:rPr>
          <w:rFonts w:eastAsia="Calibri"/>
        </w:rPr>
        <w:t xml:space="preserve"> de PLX</w:t>
        <w:noBreakHyphen/>
        <w:t>C</w:t>
        <w:noBreakHyphen/>
        <w:t>52. Escribe el comando invocado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</w:rPr>
        <w:t>Invoke-Command -ComputerName PL4-C-52 -ScriptBlock {Start-Service spooler}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(17) EJERCICIO</w:t>
      </w:r>
      <w:r>
        <w:rPr>
          <w:rFonts w:eastAsia="Calibri"/>
        </w:rPr>
        <w:t xml:space="preserve">. En PowerShell, para apagar un ordenador se utiliza el comando </w:t>
      </w:r>
      <w:r>
        <w:rPr>
          <w:rFonts w:eastAsia="Calibri"/>
          <w:i/>
        </w:rPr>
        <w:t>Stop</w:t>
        <w:noBreakHyphen/>
        <w:t>Computer</w:t>
      </w:r>
      <w:r>
        <w:rPr>
          <w:rFonts w:eastAsia="Calibri"/>
        </w:rPr>
        <w:t xml:space="preserve">. Busca este comando en la ayuda de </w:t>
      </w:r>
      <w:r>
        <w:rPr>
          <w:rFonts w:eastAsia="Calibri"/>
          <w:i/>
        </w:rPr>
        <w:t>PowerShell</w:t>
      </w:r>
      <w:r>
        <w:rPr>
          <w:rFonts w:eastAsia="Calibri"/>
        </w:rPr>
        <w:t xml:space="preserve">. Entonces, utilizando </w:t>
      </w:r>
      <w:r>
        <w:rPr>
          <w:rFonts w:eastAsia="Calibri"/>
          <w:i/>
        </w:rPr>
        <w:t>Invoke</w:t>
        <w:noBreakHyphen/>
        <w:t>Command</w:t>
      </w:r>
      <w:r>
        <w:rPr>
          <w:rFonts w:eastAsia="Calibri"/>
        </w:rPr>
        <w:t>, invoca este comando en PLX</w:t>
        <w:noBreakHyphen/>
        <w:t>C</w:t>
        <w:noBreakHyphen/>
        <w:t>51 para apagar PLX</w:t>
        <w:noBreakHyphen/>
        <w:t>C</w:t>
        <w:noBreakHyphen/>
        <w:t xml:space="preserve">52. En el parámetro </w:t>
        <w:noBreakHyphen/>
        <w:t xml:space="preserve">ComputerName, para indicar el ordenador local, puedes utilizar el carácter punto (.), o bien </w:t>
      </w:r>
      <w:r>
        <w:rPr>
          <w:rFonts w:eastAsia="Calibri"/>
          <w:i/>
        </w:rPr>
        <w:t>localhost</w:t>
      </w:r>
      <w:r>
        <w:rPr>
          <w:rFonts w:eastAsia="Calibr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  <w:szCs w:val="16"/>
        </w:rPr>
        <w:t>Invoke-Command -ComputerName PL4-C-52 -ScriptBlock {Stop-Computer . -force}</w:t>
      </w:r>
      <w:r>
        <w:rPr>
          <w:rFonts w:eastAsia="Courier New" w:cs="Courier New" w:ascii="Courier New" w:hAnsi="Courier New"/>
          <w:b/>
          <w:color w:val="006600"/>
          <w:sz w:val="16"/>
          <w:szCs w:val="16"/>
        </w:rPr>
        <w:br/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(18) EJERCICIO</w:t>
      </w:r>
      <w:r>
        <w:rPr>
          <w:rFonts w:eastAsia="Calibri"/>
        </w:rPr>
        <w:t>. En PLX</w:t>
        <w:noBreakHyphen/>
        <w:t>C</w:t>
        <w:noBreakHyphen/>
        <w:t>51, busca el comando necesario para eliminar sesiones y ejecútalo para eliminar la sesión abierta. Indica el comando ejecutado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</w:rPr>
        <w:t>Remove-PSSesion $Se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(19) EJERCICIO</w:t>
      </w:r>
      <w:r>
        <w:rPr>
          <w:rFonts w:eastAsia="Calibri"/>
        </w:rPr>
        <w:t>. En PLX</w:t>
        <w:noBreakHyphen/>
        <w:t>C</w:t>
        <w:noBreakHyphen/>
        <w:t>51, abre una nueva sesión en PLX</w:t>
        <w:noBreakHyphen/>
        <w:t>C</w:t>
        <w:noBreakHyphen/>
        <w:t xml:space="preserve">52 y almacénala en la variable $Se. Entonces, ejecuta un comando para eliminar la sesión cumpliendo las siguientes restricciones: 1) debes utilizar el parámetro Id, y 2) debes utilizar la variable </w:t>
      </w:r>
      <w:r>
        <w:rPr>
          <w:rFonts w:eastAsia="Calibri"/>
          <w:i/>
        </w:rPr>
        <w:t>$Se</w:t>
      </w:r>
      <w:r>
        <w:rPr>
          <w:rFonts w:eastAsia="Calibri"/>
        </w:rPr>
        <w:t xml:space="preserve">. </w:t>
      </w:r>
      <w:r>
        <w:rPr>
          <w:rFonts w:eastAsia="Calibri"/>
          <w:color w:val="000000" w:themeColor="text1"/>
        </w:rPr>
        <w:t>Indica el comando ejecutado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</w:rPr>
        <w:t>Remvoe-PSSesion -Id $Se.Id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lang w:val="en-US"/>
        </w:rPr>
      </w:pPr>
      <w:r>
        <w:rPr>
          <w:rFonts w:eastAsia="Calibri"/>
          <w:b/>
          <w:color w:val="FF0000"/>
        </w:rPr>
        <w:t>(20) EJERCICIO</w:t>
      </w:r>
      <w:r>
        <w:rPr>
          <w:rFonts w:eastAsia="Calibri"/>
        </w:rPr>
        <w:t>. En PLX</w:t>
        <w:noBreakHyphen/>
        <w:t>C</w:t>
        <w:noBreakHyphen/>
        <w:t>51, crea una nueva sesión en PLX</w:t>
        <w:noBreakHyphen/>
        <w:t>C</w:t>
        <w:noBreakHyphen/>
        <w:t xml:space="preserve">52 y almacénala en la variable </w:t>
      </w:r>
      <w:r>
        <w:rPr>
          <w:rFonts w:eastAsia="Calibri"/>
          <w:i/>
        </w:rPr>
        <w:t>$Se</w:t>
      </w:r>
      <w:r>
        <w:rPr>
          <w:rFonts w:eastAsia="Calibri"/>
        </w:rPr>
        <w:t xml:space="preserve">. Entonces, mediante </w:t>
      </w:r>
      <w:r>
        <w:rPr>
          <w:rFonts w:eastAsia="Calibri"/>
          <w:i/>
        </w:rPr>
        <w:t>Invoke</w:t>
        <w:noBreakHyphen/>
        <w:t>Command</w:t>
      </w:r>
      <w:r>
        <w:rPr>
          <w:rFonts w:eastAsia="Calibri"/>
        </w:rPr>
        <w:t>, ejecuta la secuencia de comandos necesarios para crear en PLX</w:t>
        <w:noBreakHyphen/>
        <w:t>C</w:t>
        <w:noBreakHyphen/>
        <w:t xml:space="preserve">52 una carpeta llamada </w:t>
      </w:r>
      <w:r>
        <w:rPr>
          <w:rFonts w:eastAsia="Calibri"/>
          <w:i/>
        </w:rPr>
        <w:t>Temp</w:t>
      </w:r>
      <w:r>
        <w:rPr>
          <w:rFonts w:eastAsia="Calibri"/>
        </w:rPr>
        <w:t xml:space="preserve"> en el directorio raíz de la unidad C, y un fichero de texto llamado </w:t>
      </w:r>
      <w:r>
        <w:rPr>
          <w:rFonts w:eastAsia="Calibri"/>
          <w:i/>
        </w:rPr>
        <w:t>Prueba.txt</w:t>
      </w:r>
      <w:r>
        <w:rPr>
          <w:rFonts w:eastAsia="Calibri"/>
        </w:rPr>
        <w:t xml:space="preserve"> en la carpeta </w:t>
      </w:r>
      <w:r>
        <w:rPr>
          <w:rFonts w:eastAsia="Calibri"/>
          <w:i/>
        </w:rPr>
        <w:t>Temp</w:t>
      </w:r>
      <w:r>
        <w:rPr>
          <w:rFonts w:eastAsia="Calibri"/>
        </w:rPr>
        <w:t xml:space="preserve">. El fichero debe contener el mensaje “PRUEBA”. La secuencia debe terminar con el cierre de la sesión abierta. Cada operación a realizar se llevará a cabo en un comando </w:t>
      </w:r>
      <w:r>
        <w:rPr>
          <w:rFonts w:eastAsia="Calibri"/>
          <w:i/>
        </w:rPr>
        <w:t>Invoke</w:t>
        <w:noBreakHyphen/>
        <w:t>Command</w:t>
      </w:r>
      <w:r>
        <w:rPr>
          <w:rFonts w:eastAsia="Calibri"/>
        </w:rPr>
        <w:t xml:space="preserve"> diferente. </w:t>
      </w:r>
      <w:r>
        <w:rPr>
          <w:rFonts w:eastAsia="Calibri"/>
          <w:lang w:val="en-US"/>
        </w:rPr>
        <w:t>Escribe la</w:t>
      </w:r>
      <w:r>
        <w:rPr>
          <w:rFonts w:eastAsia="Calibri"/>
        </w:rPr>
        <w:t xml:space="preserve"> secuencia de comandos necesarios a continuación</w:t>
      </w:r>
      <w:r>
        <w:rPr>
          <w:rFonts w:eastAsia="Calibri"/>
          <w:lang w:val="en-GB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 xml:space="preserve">Invoke-Command -Session $Se -ScripBlock {cd </w:t>
      </w:r>
      <w:hyperlink r:id="rId2">
        <w:r>
          <w:rPr>
            <w:rStyle w:val="InternetLink"/>
            <w:rFonts w:eastAsia="Courier New" w:cs="Courier New" w:ascii="Courier New" w:hAnsi="Courier New"/>
            <w:b/>
            <w:color w:val="006600"/>
            <w:sz w:val="16"/>
            <w:lang w:val="en-US"/>
          </w:rPr>
          <w:t>C:\</w:t>
        </w:r>
      </w:hyperlink>
      <w:hyperlink r:id="rId3">
        <w:r>
          <w:rPr>
            <w:rFonts w:eastAsia="Courier New" w:cs="Courier New" w:ascii="Courier New" w:hAnsi="Courier New"/>
            <w:b/>
            <w:color w:val="006600"/>
            <w:sz w:val="16"/>
            <w:lang w:val="en-US"/>
          </w:rPr>
          <w:t>}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>Invoke-Command -Session $Se -ScripBlock {New-Item -Type Directory Temp}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>Invoke-Command -Session $Se -ScripBlock {cd Temp}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>Invoke-Command -Session $Se -ScripBlock {New-Item -Type File prueba.txt}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>Invoke-Command -Session $Se -ScripBlock {Set-Content prueba.txt -Value “PRUEBA”}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6"/>
          <w:lang w:val="en-US"/>
        </w:rPr>
      </w:pPr>
      <w:r>
        <w:rPr>
          <w:rFonts w:eastAsia="Courier New" w:cs="Courier New" w:ascii="Courier New" w:hAnsi="Courier New"/>
          <w:b/>
          <w:color w:val="006600"/>
          <w:sz w:val="16"/>
          <w:lang w:val="en-US"/>
        </w:rPr>
        <w:t>Remove-PSSession $Se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(21) EJERCICIO</w:t>
      </w:r>
      <w:r>
        <w:rPr>
          <w:rFonts w:eastAsia="Calibri"/>
        </w:rPr>
        <w:t>. Indica a continuación la primera frase (o sea, la descripción) del error indicado.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18"/>
        </w:rPr>
      </w:pPr>
      <w:r>
        <w:rPr>
          <w:rFonts w:eastAsia="Courier New" w:cs="Courier New" w:ascii="Courier New" w:hAnsi="Courier New"/>
          <w:b/>
          <w:color w:val="006600"/>
          <w:sz w:val="18"/>
        </w:rPr>
        <w:t>No se puede cargar el archivo porque la ejeución de scripts está deshabilitada en este sistema.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(22) EJERCICIO</w:t>
      </w:r>
      <w:r>
        <w:rPr>
          <w:rFonts w:eastAsia="Calibri"/>
        </w:rPr>
        <w:t xml:space="preserve">. Escribe a continuación la sentencia que te permite ver el contenido de la propiedad </w:t>
      </w:r>
      <w:r>
        <w:rPr>
          <w:rFonts w:eastAsia="Calibri"/>
          <w:i/>
        </w:rPr>
        <w:t>count</w:t>
      </w:r>
      <w:r>
        <w:rPr>
          <w:rFonts w:eastAsia="Calibr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$Ficheros.count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</w:rPr>
      </w:pPr>
      <w:r>
        <w:rPr>
          <w:rFonts w:eastAsia="Calibri"/>
          <w:b/>
          <w:color w:val="FF0000"/>
        </w:rPr>
        <w:t>(23) PREGUNTA</w:t>
      </w:r>
      <w:r>
        <w:rPr>
          <w:rFonts w:eastAsia="Calibri"/>
        </w:rPr>
        <w:t xml:space="preserve">. ¿Qué identificador UNC debes utilizar en el anfitrión para acceder a la carpeta </w:t>
      </w:r>
      <w:r>
        <w:rPr>
          <w:rFonts w:eastAsia="Calibri"/>
          <w:i/>
        </w:rPr>
        <w:t>Scritps</w:t>
      </w:r>
      <w:r>
        <w:rPr>
          <w:rFonts w:eastAsia="Calibri"/>
        </w:rPr>
        <w:t xml:space="preserve"> en PLX</w:t>
        <w:noBreakHyphen/>
        <w:t>C</w:t>
        <w:noBreakHyphen/>
        <w:t>51? Indícalo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eastAsia="Courier New" w:cs="Courier New"/>
          <w:b/>
          <w:b/>
          <w:color w:val="006600"/>
          <w:sz w:val="22"/>
          <w:szCs w:val="22"/>
        </w:rPr>
      </w:pPr>
      <w:bookmarkStart w:id="0" w:name="_GoBack"/>
      <w:bookmarkEnd w:id="0"/>
      <w:r>
        <w:rPr>
          <w:rFonts w:eastAsia="Courier New" w:cs="Courier New" w:ascii="Courier New" w:hAnsi="Courier New"/>
          <w:b/>
          <w:color w:val="006600"/>
          <w:sz w:val="22"/>
          <w:szCs w:val="22"/>
        </w:rPr>
        <w:t>\\192.168.0.51\Scripts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4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5980018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character" w:styleId="InternetLink">
    <w:name w:val="Hyperlink"/>
    <w:basedOn w:val="DefaultParagraphFont"/>
    <w:uiPriority w:val="99"/>
    <w:unhideWhenUsed/>
    <w:rsid w:val="00d914d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C:/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Application>LibreOffice/7.4.5.1$Linux_X86_64 LibreOffice_project/40$Build-1</Application>
  <AppVersion>15.0000</AppVersion>
  <Pages>3</Pages>
  <Words>1019</Words>
  <Characters>6098</Characters>
  <CharactersWithSpaces>7072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2023-03-22T12:28:20Z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