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82"/>
      </w:tblGrid>
      <w:tr>
        <w:tc>
          <w:tcPr>
            <w:tcW w:type="dxa" w:w="10080"/>
            <w:shd w:fill="0B2F3A"/>
            <w:tcMar>
              <w:top w:w="500" w:type="dxa"/>
              <w:start w:w="420" w:type="dxa"/>
              <w:bottom w:w="500" w:type="dxa"/>
              <w:end w:w="420" w:type="dxa"/>
            </w:tcMar>
          </w:tcPr>
          <w:p>
            <w:pPr>
              <w:jc w:val="left"/>
            </w:pPr>
            <w:r>
              <w:rPr>
                <w:rFonts w:ascii="Aptos Display" w:hAnsi="Aptos Display"/>
                <w:b/>
                <w:color w:val="FFFFFF"/>
                <w:sz w:val="56"/>
              </w:rPr>
              <w:t>Pediatric Anemia Diagnosis Aide - Current-State Product Specification</w:t>
            </w:r>
          </w:p>
          <w:p>
            <w:r>
              <w:rPr>
                <w:color w:val="D9F0F2"/>
                <w:sz w:val="28"/>
              </w:rPr>
              <w:t>As-built scope, clinical evidence, functional behavior, data model, algorithm, architecture, verification, and production gaps</w:t>
            </w:r>
          </w:p>
          <w:p>
            <w:pPr>
              <w:spacing w:before="320"/>
            </w:pPr>
            <w:r>
              <w:rPr>
                <w:color w:val="FFFFFF"/>
                <w:sz w:val="20"/>
              </w:rPr>
              <w:t>Authoritative as-built baseline for product, clinical, engineering, quality, regulatory, research, and diligence review</w:t>
            </w:r>
          </w:p>
        </w:tc>
      </w:tr>
    </w:tbl>
    <w:p/>
    <w:tbl>
      <w:tblPr>
        <w:tblW w:type="auto" w:w="0"/>
        <w:jc w:val="center"/>
        <w:tblLayout w:type="fixed"/>
        <w:tblLook w:firstColumn="1" w:firstRow="1" w:lastColumn="0" w:lastRow="0" w:noHBand="0" w:noVBand="1" w:val="04A0"/>
      </w:tblPr>
      <w:tblGrid>
        <w:gridCol w:w="5141"/>
        <w:gridCol w:w="5141"/>
      </w:tblGrid>
      <w:tr>
        <w:tc>
          <w:tcPr>
            <w:tcW w:type="dxa" w:w="2232"/>
            <w:tcMar>
              <w:top w:w="80" w:type="dxa"/>
              <w:start w:w="90" w:type="dxa"/>
              <w:bottom w:w="80" w:type="dxa"/>
              <w:end w:w="90" w:type="dxa"/>
            </w:tcMar>
            <w:shd w:fill="E8F5F5"/>
          </w:tcPr>
          <w:p>
            <w:r>
              <w:rPr>
                <w:b/>
                <w:color w:val="0E7582"/>
                <w:sz w:val="15"/>
              </w:rPr>
              <w:t>PREPARED FOR</w:t>
            </w:r>
          </w:p>
        </w:tc>
        <w:tc>
          <w:tcPr>
            <w:tcW w:type="dxa" w:w="7703"/>
            <w:tcMar>
              <w:top w:w="80" w:type="dxa"/>
              <w:start w:w="90" w:type="dxa"/>
              <w:bottom w:w="80" w:type="dxa"/>
              <w:end w:w="90" w:type="dxa"/>
            </w:tcMar>
            <w:shd w:fill="FFFFFF"/>
          </w:tcPr>
          <w:p>
            <w:r>
              <w:rPr>
                <w:sz w:val="18"/>
              </w:rPr>
              <w:t>Nick Miethe</w:t>
            </w:r>
          </w:p>
        </w:tc>
      </w:tr>
      <w:tr>
        <w:tc>
          <w:tcPr>
            <w:tcW w:type="dxa" w:w="2232"/>
            <w:tcMar>
              <w:top w:w="80" w:type="dxa"/>
              <w:start w:w="90" w:type="dxa"/>
              <w:bottom w:w="80" w:type="dxa"/>
              <w:end w:w="90" w:type="dxa"/>
            </w:tcMar>
            <w:shd w:fill="F3F6F8"/>
          </w:tcPr>
          <w:p>
            <w:r>
              <w:rPr>
                <w:b/>
                <w:color w:val="0E7582"/>
                <w:sz w:val="15"/>
              </w:rPr>
              <w:t>DATE</w:t>
            </w:r>
          </w:p>
        </w:tc>
        <w:tc>
          <w:tcPr>
            <w:tcW w:type="dxa" w:w="7703"/>
            <w:tcMar>
              <w:top w:w="80" w:type="dxa"/>
              <w:start w:w="90" w:type="dxa"/>
              <w:bottom w:w="80" w:type="dxa"/>
              <w:end w:w="90" w:type="dxa"/>
            </w:tcMar>
            <w:shd w:fill="FFFFFF"/>
          </w:tcPr>
          <w:p>
            <w:r>
              <w:rPr>
                <w:sz w:val="18"/>
              </w:rPr>
              <w:t>2026-07-16</w:t>
            </w:r>
          </w:p>
        </w:tc>
      </w:tr>
      <w:tr>
        <w:tc>
          <w:tcPr>
            <w:tcW w:type="dxa" w:w="2232"/>
            <w:tcMar>
              <w:top w:w="80" w:type="dxa"/>
              <w:start w:w="90" w:type="dxa"/>
              <w:bottom w:w="80" w:type="dxa"/>
              <w:end w:w="90" w:type="dxa"/>
            </w:tcMar>
            <w:shd w:fill="E8F5F5"/>
          </w:tcPr>
          <w:p>
            <w:r>
              <w:rPr>
                <w:b/>
                <w:color w:val="0E7582"/>
                <w:sz w:val="15"/>
              </w:rPr>
              <w:t>STATUS</w:t>
            </w:r>
          </w:p>
        </w:tc>
        <w:tc>
          <w:tcPr>
            <w:tcW w:type="dxa" w:w="7703"/>
            <w:tcMar>
              <w:top w:w="80" w:type="dxa"/>
              <w:start w:w="90" w:type="dxa"/>
              <w:bottom w:w="80" w:type="dxa"/>
              <w:end w:w="90" w:type="dxa"/>
            </w:tcMar>
            <w:shd w:fill="FFFFFF"/>
          </w:tcPr>
          <w:p>
            <w:r>
              <w:rPr>
                <w:sz w:val="18"/>
              </w:rPr>
              <w:t>Specification v1.0 for app v0.2.0 plus the Algorithm Explorer enhancement; research prototype</w:t>
            </w:r>
          </w:p>
        </w:tc>
      </w:tr>
      <w:tr>
        <w:tc>
          <w:tcPr>
            <w:tcW w:type="dxa" w:w="2232"/>
            <w:tcMar>
              <w:top w:w="80" w:type="dxa"/>
              <w:start w:w="90" w:type="dxa"/>
              <w:bottom w:w="80" w:type="dxa"/>
              <w:end w:w="90" w:type="dxa"/>
            </w:tcMar>
            <w:shd w:fill="F3F6F8"/>
          </w:tcPr>
          <w:p>
            <w:r>
              <w:rPr>
                <w:b/>
                <w:color w:val="0E7582"/>
                <w:sz w:val="15"/>
              </w:rPr>
              <w:t>SCOPE</w:t>
            </w:r>
          </w:p>
        </w:tc>
        <w:tc>
          <w:tcPr>
            <w:tcW w:type="dxa" w:w="7703"/>
            <w:tcMar>
              <w:top w:w="80" w:type="dxa"/>
              <w:start w:w="90" w:type="dxa"/>
              <w:bottom w:w="80" w:type="dxa"/>
              <w:end w:w="90" w:type="dxa"/>
            </w:tcMar>
            <w:shd w:fill="FFFFFF"/>
          </w:tcPr>
          <w:p>
            <w:r>
              <w:rPr>
                <w:sz w:val="18"/>
              </w:rPr>
              <w:t>Current implemented behavior and production gaps; future commercialization strategy is documented separately</w:t>
            </w:r>
          </w:p>
        </w:tc>
      </w:tr>
    </w:tbl>
    <w:p/>
    <w:tbl>
      <w:tblPr>
        <w:tblW w:type="auto" w:w="0"/>
        <w:jc w:val="center"/>
        <w:tblLook w:firstColumn="1" w:firstRow="1" w:lastColumn="0" w:lastRow="0" w:noHBand="0" w:noVBand="1" w:val="04A0"/>
      </w:tblPr>
      <w:tblGrid>
        <w:gridCol w:w="10282"/>
      </w:tblGrid>
      <w:tr>
        <w:tc>
          <w:tcPr>
            <w:tcW w:type="dxa" w:w="10282"/>
            <w:shd w:fill="FFF6DA"/>
            <w:tcMar>
              <w:top w:w="140" w:type="dxa"/>
              <w:start w:w="170" w:type="dxa"/>
              <w:bottom w:w="140" w:type="dxa"/>
              <w:end w:w="170" w:type="dxa"/>
            </w:tcMar>
          </w:tcPr>
          <w:p>
            <w:r>
              <w:rPr>
                <w:b/>
                <w:sz w:val="17"/>
              </w:rPr>
              <w:t>Important:</w:t>
            </w:r>
            <w:r>
              <w:rPr>
                <w:sz w:val="17"/>
              </w:rPr>
              <w:t xml:space="preserve"> This specification documents the current research prototype. It does not establish clinical validation, regulatory status, production security, or suitability for live patient care.</w:t>
            </w:r>
          </w:p>
        </w:tc>
      </w:tr>
    </w:tbl>
    <w:p>
      <w:r>
        <w:br w:type="page"/>
      </w:r>
    </w:p>
    <w:p>
      <w:pPr>
        <w:pStyle w:val="Heading1"/>
      </w:pPr>
      <w:r>
        <w:t>Document control</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3240"/>
            <w:shd w:fill="123E4A"/>
            <w:tcMar>
              <w:top w:w="75" w:type="dxa"/>
              <w:start w:w="70" w:type="dxa"/>
              <w:bottom w:w="75" w:type="dxa"/>
              <w:end w:w="70" w:type="dxa"/>
            </w:tcMar>
            <w:vAlign w:val="center"/>
          </w:tcPr>
          <w:p>
            <w:r>
              <w:rPr>
                <w:b/>
                <w:color w:val="FFFFFF"/>
                <w:sz w:val="16"/>
              </w:rPr>
              <w:t>Field</w:t>
            </w:r>
          </w:p>
        </w:tc>
        <w:tc>
          <w:tcPr>
            <w:tcW w:type="dxa" w:w="6840"/>
            <w:shd w:fill="123E4A"/>
            <w:tcMar>
              <w:top w:w="75" w:type="dxa"/>
              <w:start w:w="70" w:type="dxa"/>
              <w:bottom w:w="75" w:type="dxa"/>
              <w:end w:w="70" w:type="dxa"/>
            </w:tcMar>
            <w:vAlign w:val="center"/>
          </w:tcPr>
          <w:p>
            <w:r>
              <w:rPr>
                <w:b/>
                <w:color w:val="FFFFFF"/>
                <w:sz w:val="16"/>
              </w:rPr>
              <w:t>Value</w:t>
            </w:r>
          </w:p>
        </w:tc>
      </w:tr>
      <w:tr>
        <w:trPr>
          <w:cantSplit/>
        </w:trPr>
        <w:tc>
          <w:tcPr>
            <w:tcW w:type="dxa" w:w="3240"/>
            <w:tcMar>
              <w:top w:w="65" w:type="dxa"/>
              <w:start w:w="70" w:type="dxa"/>
              <w:bottom w:w="65" w:type="dxa"/>
              <w:end w:w="70" w:type="dxa"/>
            </w:tcMar>
            <w:vAlign w:val="top"/>
          </w:tcPr>
          <w:p>
            <w:pPr>
              <w:spacing w:after="0"/>
            </w:pPr>
            <w:r>
              <w:rPr>
                <w:sz w:val="16"/>
              </w:rPr>
              <w:t>Specification version</w:t>
            </w:r>
          </w:p>
        </w:tc>
        <w:tc>
          <w:tcPr>
            <w:tcW w:type="dxa" w:w="6840"/>
            <w:tcMar>
              <w:top w:w="65" w:type="dxa"/>
              <w:start w:w="70" w:type="dxa"/>
              <w:bottom w:w="65" w:type="dxa"/>
              <w:end w:w="70" w:type="dxa"/>
            </w:tcMar>
            <w:vAlign w:val="top"/>
          </w:tcPr>
          <w:p>
            <w:pPr>
              <w:spacing w:after="0"/>
            </w:pPr>
            <w:r>
              <w:rPr>
                <w:sz w:val="16"/>
              </w:rPr>
              <w:t>1.0</w:t>
            </w:r>
          </w:p>
        </w:tc>
      </w:tr>
      <w:tr>
        <w:trPr>
          <w:cantSplit/>
        </w:trPr>
        <w:tc>
          <w:tcPr>
            <w:tcW w:type="dxa" w:w="3240"/>
            <w:tcMar>
              <w:top w:w="65" w:type="dxa"/>
              <w:start w:w="70" w:type="dxa"/>
              <w:bottom w:w="65" w:type="dxa"/>
              <w:end w:w="70" w:type="dxa"/>
            </w:tcMar>
            <w:vAlign w:val="top"/>
            <w:shd w:fill="F7F9FA"/>
          </w:tcPr>
          <w:p>
            <w:pPr>
              <w:spacing w:after="0"/>
            </w:pPr>
            <w:r>
              <w:rPr>
                <w:sz w:val="16"/>
              </w:rPr>
              <w:t>Specification date</w:t>
            </w:r>
          </w:p>
        </w:tc>
        <w:tc>
          <w:tcPr>
            <w:tcW w:type="dxa" w:w="6840"/>
            <w:tcMar>
              <w:top w:w="65" w:type="dxa"/>
              <w:start w:w="70" w:type="dxa"/>
              <w:bottom w:w="65" w:type="dxa"/>
              <w:end w:w="70" w:type="dxa"/>
            </w:tcMar>
            <w:vAlign w:val="top"/>
            <w:shd w:fill="F7F9FA"/>
          </w:tcPr>
          <w:p>
            <w:pPr>
              <w:spacing w:after="0"/>
            </w:pPr>
            <w:r>
              <w:rPr>
                <w:sz w:val="16"/>
              </w:rPr>
              <w:t>2026-07-16</w:t>
            </w:r>
          </w:p>
        </w:tc>
      </w:tr>
      <w:tr>
        <w:trPr>
          <w:cantSplit/>
        </w:trPr>
        <w:tc>
          <w:tcPr>
            <w:tcW w:type="dxa" w:w="3240"/>
            <w:tcMar>
              <w:top w:w="65" w:type="dxa"/>
              <w:start w:w="70" w:type="dxa"/>
              <w:bottom w:w="65" w:type="dxa"/>
              <w:end w:w="70" w:type="dxa"/>
            </w:tcMar>
            <w:vAlign w:val="top"/>
          </w:tcPr>
          <w:p>
            <w:pPr>
              <w:spacing w:after="0"/>
            </w:pPr>
            <w:r>
              <w:rPr>
                <w:sz w:val="16"/>
              </w:rPr>
              <w:t>Application package version</w:t>
            </w:r>
          </w:p>
        </w:tc>
        <w:tc>
          <w:tcPr>
            <w:tcW w:type="dxa" w:w="6840"/>
            <w:tcMar>
              <w:top w:w="65" w:type="dxa"/>
              <w:start w:w="70" w:type="dxa"/>
              <w:bottom w:w="65" w:type="dxa"/>
              <w:end w:w="70" w:type="dxa"/>
            </w:tcMar>
            <w:vAlign w:val="top"/>
          </w:tcPr>
          <w:p>
            <w:pPr>
              <w:spacing w:after="0"/>
            </w:pPr>
            <w:r>
              <w:rPr>
                <w:sz w:val="16"/>
              </w:rPr>
              <w:t>0.2.0</w:t>
            </w:r>
          </w:p>
        </w:tc>
      </w:tr>
      <w:tr>
        <w:trPr>
          <w:cantSplit/>
        </w:trPr>
        <w:tc>
          <w:tcPr>
            <w:tcW w:type="dxa" w:w="3240"/>
            <w:tcMar>
              <w:top w:w="65" w:type="dxa"/>
              <w:start w:w="70" w:type="dxa"/>
              <w:bottom w:w="65" w:type="dxa"/>
              <w:end w:w="70" w:type="dxa"/>
            </w:tcMar>
            <w:vAlign w:val="top"/>
            <w:shd w:fill="F7F9FA"/>
          </w:tcPr>
          <w:p>
            <w:pPr>
              <w:spacing w:after="0"/>
            </w:pPr>
            <w:r>
              <w:rPr>
                <w:sz w:val="16"/>
              </w:rPr>
              <w:t>Knowledge-base version</w:t>
            </w:r>
          </w:p>
        </w:tc>
        <w:tc>
          <w:tcPr>
            <w:tcW w:type="dxa" w:w="6840"/>
            <w:tcMar>
              <w:top w:w="65" w:type="dxa"/>
              <w:start w:w="70" w:type="dxa"/>
              <w:bottom w:w="65" w:type="dxa"/>
              <w:end w:w="70" w:type="dxa"/>
            </w:tcMar>
            <w:vAlign w:val="top"/>
            <w:shd w:fill="F7F9FA"/>
          </w:tcPr>
          <w:p>
            <w:pPr>
              <w:spacing w:after="0"/>
            </w:pPr>
            <w:r>
              <w:rPr>
                <w:sz w:val="16"/>
              </w:rPr>
              <w:t>0.1.0-2026-07-15</w:t>
            </w:r>
          </w:p>
        </w:tc>
      </w:tr>
      <w:tr>
        <w:trPr>
          <w:cantSplit/>
        </w:trPr>
        <w:tc>
          <w:tcPr>
            <w:tcW w:type="dxa" w:w="3240"/>
            <w:tcMar>
              <w:top w:w="65" w:type="dxa"/>
              <w:start w:w="70" w:type="dxa"/>
              <w:bottom w:w="65" w:type="dxa"/>
              <w:end w:w="70" w:type="dxa"/>
            </w:tcMar>
            <w:vAlign w:val="top"/>
          </w:tcPr>
          <w:p>
            <w:pPr>
              <w:spacing w:after="0"/>
            </w:pPr>
            <w:r>
              <w:rPr>
                <w:sz w:val="16"/>
              </w:rPr>
              <w:t>Evidence reviewed through</w:t>
            </w:r>
          </w:p>
        </w:tc>
        <w:tc>
          <w:tcPr>
            <w:tcW w:type="dxa" w:w="6840"/>
            <w:tcMar>
              <w:top w:w="65" w:type="dxa"/>
              <w:start w:w="70" w:type="dxa"/>
              <w:bottom w:w="65" w:type="dxa"/>
              <w:end w:w="70" w:type="dxa"/>
            </w:tcMar>
            <w:vAlign w:val="top"/>
          </w:tcPr>
          <w:p>
            <w:pPr>
              <w:spacing w:after="0"/>
            </w:pPr>
            <w:r>
              <w:rPr>
                <w:sz w:val="16"/>
              </w:rPr>
              <w:t>2026-07-15</w:t>
            </w:r>
          </w:p>
        </w:tc>
      </w:tr>
      <w:tr>
        <w:trPr>
          <w:cantSplit/>
        </w:trPr>
        <w:tc>
          <w:tcPr>
            <w:tcW w:type="dxa" w:w="3240"/>
            <w:tcMar>
              <w:top w:w="65" w:type="dxa"/>
              <w:start w:w="70" w:type="dxa"/>
              <w:bottom w:w="65" w:type="dxa"/>
              <w:end w:w="70" w:type="dxa"/>
            </w:tcMar>
            <w:vAlign w:val="top"/>
            <w:shd w:fill="F7F9FA"/>
          </w:tcPr>
          <w:p>
            <w:pPr>
              <w:spacing w:after="0"/>
            </w:pPr>
            <w:r>
              <w:rPr>
                <w:sz w:val="16"/>
              </w:rPr>
              <w:t>Algorithm Explorer update</w:t>
            </w:r>
          </w:p>
        </w:tc>
        <w:tc>
          <w:tcPr>
            <w:tcW w:type="dxa" w:w="6840"/>
            <w:tcMar>
              <w:top w:w="65" w:type="dxa"/>
              <w:start w:w="70" w:type="dxa"/>
              <w:bottom w:w="65" w:type="dxa"/>
              <w:end w:w="70" w:type="dxa"/>
            </w:tcMar>
            <w:vAlign w:val="top"/>
            <w:shd w:fill="F7F9FA"/>
          </w:tcPr>
          <w:p>
            <w:pPr>
              <w:spacing w:after="0"/>
            </w:pPr>
            <w:r>
              <w:rPr>
                <w:sz w:val="16"/>
              </w:rPr>
              <w:t>Applied to current working build; adds explanatory content and live walkthrough, not new clinical rules</w:t>
            </w:r>
          </w:p>
        </w:tc>
      </w:tr>
      <w:tr>
        <w:trPr>
          <w:cantSplit/>
        </w:trPr>
        <w:tc>
          <w:tcPr>
            <w:tcW w:type="dxa" w:w="3240"/>
            <w:tcMar>
              <w:top w:w="65" w:type="dxa"/>
              <w:start w:w="70" w:type="dxa"/>
              <w:bottom w:w="65" w:type="dxa"/>
              <w:end w:w="70" w:type="dxa"/>
            </w:tcMar>
            <w:vAlign w:val="top"/>
          </w:tcPr>
          <w:p>
            <w:pPr>
              <w:spacing w:after="0"/>
            </w:pPr>
            <w:r>
              <w:rPr>
                <w:sz w:val="16"/>
              </w:rPr>
              <w:t>Status</w:t>
            </w:r>
          </w:p>
        </w:tc>
        <w:tc>
          <w:tcPr>
            <w:tcW w:type="dxa" w:w="6840"/>
            <w:tcMar>
              <w:top w:w="65" w:type="dxa"/>
              <w:start w:w="70" w:type="dxa"/>
              <w:bottom w:w="65" w:type="dxa"/>
              <w:end w:w="70" w:type="dxa"/>
            </w:tcMar>
            <w:vAlign w:val="top"/>
          </w:tcPr>
          <w:p>
            <w:pPr>
              <w:spacing w:after="0"/>
            </w:pPr>
            <w:r>
              <w:rPr>
                <w:sz w:val="16"/>
              </w:rPr>
              <w:t>Research prototype; not clinically validated; not cleared or approved as a medical device</w:t>
            </w:r>
          </w:p>
        </w:tc>
      </w:tr>
      <w:tr>
        <w:trPr>
          <w:cantSplit/>
        </w:trPr>
        <w:tc>
          <w:tcPr>
            <w:tcW w:type="dxa" w:w="3240"/>
            <w:tcMar>
              <w:top w:w="65" w:type="dxa"/>
              <w:start w:w="70" w:type="dxa"/>
              <w:bottom w:w="65" w:type="dxa"/>
              <w:end w:w="70" w:type="dxa"/>
            </w:tcMar>
            <w:vAlign w:val="top"/>
            <w:shd w:fill="F7F9FA"/>
          </w:tcPr>
          <w:p>
            <w:pPr>
              <w:spacing w:after="0"/>
            </w:pPr>
            <w:r>
              <w:rPr>
                <w:sz w:val="16"/>
              </w:rPr>
              <w:t>Intended audience for this specification</w:t>
            </w:r>
          </w:p>
        </w:tc>
        <w:tc>
          <w:tcPr>
            <w:tcW w:type="dxa" w:w="6840"/>
            <w:tcMar>
              <w:top w:w="65" w:type="dxa"/>
              <w:start w:w="70" w:type="dxa"/>
              <w:bottom w:w="65" w:type="dxa"/>
              <w:end w:w="70" w:type="dxa"/>
            </w:tcMar>
            <w:vAlign w:val="top"/>
            <w:shd w:fill="F7F9FA"/>
          </w:tcPr>
          <w:p>
            <w:pPr>
              <w:spacing w:after="0"/>
            </w:pPr>
            <w:r>
              <w:rPr>
                <w:sz w:val="16"/>
              </w:rPr>
              <w:t>Product, clinical, informatics, engineering, quality, regulatory, research, and diligence teams</w:t>
            </w:r>
          </w:p>
        </w:tc>
      </w:tr>
    </w:tbl>
    <w:p>
      <w:pPr>
        <w:spacing w:after="20"/>
      </w:pPr>
    </w:p>
    <w:tbl>
      <w:tblPr>
        <w:tblW w:type="auto" w:w="0"/>
        <w:jc w:val="center"/>
        <w:tblLayout w:type="fixed"/>
        <w:tblLook w:firstColumn="1" w:firstRow="1" w:lastColumn="0" w:lastRow="0" w:noHBand="0" w:noVBand="1" w:val="04A0"/>
      </w:tblPr>
      <w:tblGrid>
        <w:gridCol w:w="10282"/>
      </w:tblGrid>
      <w:tr>
        <w:tc>
          <w:tcPr>
            <w:tcW w:type="dxa" w:w="10080"/>
            <w:shd w:fill="E8F5F5"/>
            <w:tcMar>
              <w:top w:w="130" w:type="dxa"/>
              <w:start w:w="160" w:type="dxa"/>
              <w:bottom w:w="130" w:type="dxa"/>
              <w:end w:w="160" w:type="dxa"/>
            </w:tcMar>
          </w:tcPr>
          <w:p>
            <w:r>
              <w:rPr>
                <w:b/>
                <w:color w:val="0E7582"/>
                <w:sz w:val="16"/>
              </w:rPr>
              <w:t>SCOPE OF THIS FILE</w:t>
            </w:r>
          </w:p>
          <w:p>
            <w:r>
              <w:rPr>
                <w:sz w:val="18"/>
              </w:rPr>
              <w:t>This is an as-built specification. Future commercial recommendations are in the separate commercialization strategy report. Items labeled production gaps are not current capabilities.</w:t>
            </w:r>
          </w:p>
        </w:tc>
      </w:tr>
    </w:tbl>
    <w:p>
      <w:pPr>
        <w:spacing w:after="0"/>
      </w:pPr>
    </w:p>
    <w:p>
      <w:pPr>
        <w:pStyle w:val="Heading1"/>
      </w:pPr>
      <w:r>
        <w:t>1. Product overview</w:t>
      </w:r>
    </w:p>
    <w:p>
      <w:r>
        <w:t>The Pediatric Anemia Diagnosis Aide is a deterministic, evidence-linked clinical decision-support research prototype for licensed clinicians evaluating pediatric anemia. It collects demographic, CBC, history, examination, smear, and targeted laboratory inputs; derives normalized clinical facts; executes inspectable JSON rules; merges and ranks diagnostic patterns using fixed ordinal priority; and returns safety alerts, rationale, adaptive questions, suggested confirmatory workup, citations, and a reproducible rule audit.</w:t>
      </w:r>
    </w:p>
    <w:p>
      <w:pPr>
        <w:jc w:val="center"/>
      </w:pPr>
      <w:r>
        <w:drawing>
          <wp:inline xmlns:a="http://schemas.openxmlformats.org/drawingml/2006/main" xmlns:pic="http://schemas.openxmlformats.org/drawingml/2006/picture">
            <wp:extent cx="6172200" cy="3889332"/>
            <wp:docPr id="1" name="Picture 1"/>
            <wp:cNvGraphicFramePr>
              <a:graphicFrameLocks noChangeAspect="1"/>
            </wp:cNvGraphicFramePr>
            <a:graphic>
              <a:graphicData uri="http://schemas.openxmlformats.org/drawingml/2006/picture">
                <pic:pic>
                  <pic:nvPicPr>
                    <pic:cNvPr id="0" name="current-ui-overview.png"/>
                    <pic:cNvPicPr/>
                  </pic:nvPicPr>
                  <pic:blipFill>
                    <a:blip r:embed="rId11"/>
                    <a:stretch>
                      <a:fillRect/>
                    </a:stretch>
                  </pic:blipFill>
                  <pic:spPr>
                    <a:xfrm>
                      <a:off x="0" y="0"/>
                      <a:ext cx="6172200" cy="3889332"/>
                    </a:xfrm>
                    <a:prstGeom prst="rect"/>
                  </pic:spPr>
                </pic:pic>
              </a:graphicData>
            </a:graphic>
          </wp:inline>
        </w:drawing>
      </w:r>
    </w:p>
    <w:p>
      <w:pPr>
        <w:pStyle w:val="CaptionCustom"/>
      </w:pPr>
      <w:r>
        <w:rPr>
          <w:sz w:val="16"/>
        </w:rPr>
        <w:t>Figure 1. Current clinician workspace: public, browser-local assessment with explicit research-prototype and no-identifiers warnings.</w:t>
      </w:r>
    </w:p>
    <w:p>
      <w:pPr>
        <w:pStyle w:val="Heading2"/>
      </w:pPr>
      <w:r>
        <w:t>1.1 Product goals</w:t>
      </w:r>
    </w:p>
    <w:p>
      <w:pPr>
        <w:pStyle w:val="ListBullet"/>
        <w:spacing w:after="50"/>
      </w:pPr>
      <w:r>
        <w:t>Help clinicians classify pediatric anemia using local or age/sex fallback reference intervals.</w:t>
      </w:r>
    </w:p>
    <w:p>
      <w:pPr>
        <w:pStyle w:val="ListBullet"/>
        <w:spacing w:after="50"/>
      </w:pPr>
      <w:r>
        <w:t>Surface high-risk findings before etiologic refinement.</w:t>
      </w:r>
    </w:p>
    <w:p>
      <w:pPr>
        <w:pStyle w:val="ListBullet"/>
        <w:spacing w:after="50"/>
      </w:pPr>
      <w:r>
        <w:t>Guide a morphology- and reticulocyte-based differential through explicit deterministic logic.</w:t>
      </w:r>
    </w:p>
    <w:p>
      <w:pPr>
        <w:pStyle w:val="ListBullet"/>
        <w:spacing w:after="50"/>
      </w:pPr>
      <w:r>
        <w:t>Keep missing data visible and ask high-yield follow-up questions.</w:t>
      </w:r>
    </w:p>
    <w:p>
      <w:pPr>
        <w:pStyle w:val="ListBullet"/>
        <w:spacing w:after="50"/>
      </w:pPr>
      <w:r>
        <w:t>Expose the exact rules, evidence IDs, and reasoning behind each result so a clinician can independently review it.</w:t>
      </w:r>
    </w:p>
    <w:p>
      <w:pPr>
        <w:pStyle w:val="ListBullet"/>
        <w:spacing w:after="50"/>
      </w:pPr>
      <w:r>
        <w:t>Provide a reproducible, versioned assessment artifact without generative AI in patient-specific inference.</w:t>
      </w:r>
    </w:p>
    <w:p>
      <w:pPr>
        <w:pStyle w:val="Heading2"/>
      </w:pPr>
      <w:r>
        <w:t>1.2 Explicit non-goals</w:t>
      </w:r>
    </w:p>
    <w:p>
      <w:pPr>
        <w:pStyle w:val="ListBullet"/>
        <w:spacing w:after="50"/>
      </w:pPr>
      <w:r>
        <w:t>Autonomous diagnosis or replacement of bedside assessment.</w:t>
      </w:r>
    </w:p>
    <w:p>
      <w:pPr>
        <w:pStyle w:val="ListBullet"/>
        <w:spacing w:after="50"/>
      </w:pPr>
      <w:r>
        <w:t>Treatment selection, medication dosing, iron prescription, transfusion instruction, or order placement.</w:t>
      </w:r>
    </w:p>
    <w:p>
      <w:pPr>
        <w:pStyle w:val="ListBullet"/>
        <w:spacing w:after="50"/>
      </w:pPr>
      <w:r>
        <w:t>A validated probability, likelihood ratio, calibrated confidence, sensitivity, or specificity estimate.</w:t>
      </w:r>
    </w:p>
    <w:p>
      <w:pPr>
        <w:pStyle w:val="ListBullet"/>
        <w:spacing w:after="50"/>
      </w:pPr>
      <w:r>
        <w:t>General neonatal anemia classification below 6 months using static fallback thresholds.</w:t>
      </w:r>
    </w:p>
    <w:p>
      <w:pPr>
        <w:pStyle w:val="ListBullet"/>
        <w:spacing w:after="50"/>
      </w:pPr>
      <w:r>
        <w:t>Adult anemia interpretation without supplied adult/local laboratory ranges.</w:t>
      </w:r>
    </w:p>
    <w:p>
      <w:pPr>
        <w:pStyle w:val="ListBullet"/>
        <w:spacing w:after="50"/>
      </w:pPr>
      <w:r>
        <w:t>Persistent patient record, EHR integration, production PHI handling, or enterprise audit service.</w:t>
      </w:r>
    </w:p>
    <w:p>
      <w:pPr>
        <w:pStyle w:val="Heading1"/>
      </w:pPr>
      <w:r>
        <w:t>2. Intended use, users, and clinical scope</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304"/>
            <w:shd w:fill="123E4A"/>
            <w:tcMar>
              <w:top w:w="75" w:type="dxa"/>
              <w:start w:w="70" w:type="dxa"/>
              <w:bottom w:w="75" w:type="dxa"/>
              <w:end w:w="70" w:type="dxa"/>
            </w:tcMar>
            <w:vAlign w:val="center"/>
          </w:tcPr>
          <w:p>
            <w:r>
              <w:rPr>
                <w:b/>
                <w:color w:val="FFFFFF"/>
                <w:sz w:val="16"/>
              </w:rPr>
              <w:t>Dimension</w:t>
            </w:r>
          </w:p>
        </w:tc>
        <w:tc>
          <w:tcPr>
            <w:tcW w:type="dxa" w:w="7776"/>
            <w:shd w:fill="123E4A"/>
            <w:tcMar>
              <w:top w:w="75" w:type="dxa"/>
              <w:start w:w="70" w:type="dxa"/>
              <w:bottom w:w="75" w:type="dxa"/>
              <w:end w:w="70" w:type="dxa"/>
            </w:tcMar>
            <w:vAlign w:val="center"/>
          </w:tcPr>
          <w:p>
            <w:r>
              <w:rPr>
                <w:b/>
                <w:color w:val="FFFFFF"/>
                <w:sz w:val="16"/>
              </w:rPr>
              <w:t>As-built specification</w:t>
            </w:r>
          </w:p>
        </w:tc>
      </w:tr>
      <w:tr>
        <w:trPr>
          <w:cantSplit/>
        </w:trPr>
        <w:tc>
          <w:tcPr>
            <w:tcW w:type="dxa" w:w="2304"/>
            <w:tcMar>
              <w:top w:w="65" w:type="dxa"/>
              <w:start w:w="70" w:type="dxa"/>
              <w:bottom w:w="65" w:type="dxa"/>
              <w:end w:w="70" w:type="dxa"/>
            </w:tcMar>
            <w:vAlign w:val="top"/>
          </w:tcPr>
          <w:p>
            <w:pPr>
              <w:spacing w:after="0"/>
            </w:pPr>
            <w:r>
              <w:rPr>
                <w:sz w:val="16"/>
              </w:rPr>
              <w:t>Intended user</w:t>
            </w:r>
          </w:p>
        </w:tc>
        <w:tc>
          <w:tcPr>
            <w:tcW w:type="dxa" w:w="7776"/>
            <w:tcMar>
              <w:top w:w="65" w:type="dxa"/>
              <w:start w:w="70" w:type="dxa"/>
              <w:bottom w:w="65" w:type="dxa"/>
              <w:end w:w="70" w:type="dxa"/>
            </w:tcMar>
            <w:vAlign w:val="top"/>
          </w:tcPr>
          <w:p>
            <w:pPr>
              <w:spacing w:after="0"/>
            </w:pPr>
            <w:r>
              <w:rPr>
                <w:sz w:val="16"/>
              </w:rPr>
              <w:t>Licensed healthcare professional; the interface is not designed as independent patient or caregiver CDS.</w:t>
            </w:r>
          </w:p>
        </w:tc>
      </w:tr>
      <w:tr>
        <w:trPr>
          <w:cantSplit/>
        </w:trPr>
        <w:tc>
          <w:tcPr>
            <w:tcW w:type="dxa" w:w="2304"/>
            <w:tcMar>
              <w:top w:w="65" w:type="dxa"/>
              <w:start w:w="70" w:type="dxa"/>
              <w:bottom w:w="65" w:type="dxa"/>
              <w:end w:w="70" w:type="dxa"/>
            </w:tcMar>
            <w:vAlign w:val="top"/>
            <w:shd w:fill="F7F9FA"/>
          </w:tcPr>
          <w:p>
            <w:pPr>
              <w:spacing w:after="0"/>
            </w:pPr>
            <w:r>
              <w:rPr>
                <w:sz w:val="16"/>
              </w:rPr>
              <w:t>Intended purpose</w:t>
            </w:r>
          </w:p>
        </w:tc>
        <w:tc>
          <w:tcPr>
            <w:tcW w:type="dxa" w:w="7776"/>
            <w:tcMar>
              <w:top w:w="65" w:type="dxa"/>
              <w:start w:w="70" w:type="dxa"/>
              <w:bottom w:w="65" w:type="dxa"/>
              <w:end w:w="70" w:type="dxa"/>
            </w:tcMar>
            <w:vAlign w:val="top"/>
            <w:shd w:fill="F7F9FA"/>
          </w:tcPr>
          <w:p>
            <w:pPr>
              <w:spacing w:after="0"/>
            </w:pPr>
            <w:r>
              <w:rPr>
                <w:sz w:val="16"/>
              </w:rPr>
              <w:t>Review CBC and related findings and provide transparent diagnostic patterns, alerts, questions, and confirmatory options for clinician consideration.</w:t>
            </w:r>
          </w:p>
        </w:tc>
      </w:tr>
      <w:tr>
        <w:trPr>
          <w:cantSplit/>
        </w:trPr>
        <w:tc>
          <w:tcPr>
            <w:tcW w:type="dxa" w:w="2304"/>
            <w:tcMar>
              <w:top w:w="65" w:type="dxa"/>
              <w:start w:w="70" w:type="dxa"/>
              <w:bottom w:w="65" w:type="dxa"/>
              <w:end w:w="70" w:type="dxa"/>
            </w:tcMar>
            <w:vAlign w:val="top"/>
          </w:tcPr>
          <w:p>
            <w:pPr>
              <w:spacing w:after="0"/>
            </w:pPr>
            <w:r>
              <w:rPr>
                <w:sz w:val="16"/>
              </w:rPr>
              <w:t>Patient population</w:t>
            </w:r>
          </w:p>
        </w:tc>
        <w:tc>
          <w:tcPr>
            <w:tcW w:type="dxa" w:w="7776"/>
            <w:tcMar>
              <w:top w:w="65" w:type="dxa"/>
              <w:start w:w="70" w:type="dxa"/>
              <w:bottom w:w="65" w:type="dxa"/>
              <w:end w:w="70" w:type="dxa"/>
            </w:tcMar>
            <w:vAlign w:val="top"/>
          </w:tcPr>
          <w:p>
            <w:pPr>
              <w:spacing w:after="0"/>
            </w:pPr>
            <w:r>
              <w:rPr>
                <w:sz w:val="16"/>
              </w:rPr>
              <w:t>Built-in fallback ranges for age 6 months to &lt;18 years.</w:t>
            </w:r>
          </w:p>
        </w:tc>
      </w:tr>
      <w:tr>
        <w:trPr>
          <w:cantSplit/>
        </w:trPr>
        <w:tc>
          <w:tcPr>
            <w:tcW w:type="dxa" w:w="2304"/>
            <w:tcMar>
              <w:top w:w="65" w:type="dxa"/>
              <w:start w:w="70" w:type="dxa"/>
              <w:bottom w:w="65" w:type="dxa"/>
              <w:end w:w="70" w:type="dxa"/>
            </w:tcMar>
            <w:vAlign w:val="top"/>
            <w:shd w:fill="F7F9FA"/>
          </w:tcPr>
          <w:p>
            <w:pPr>
              <w:spacing w:after="0"/>
            </w:pPr>
            <w:r>
              <w:rPr>
                <w:sz w:val="16"/>
              </w:rPr>
              <w:t>Young infant behavior</w:t>
            </w:r>
          </w:p>
        </w:tc>
        <w:tc>
          <w:tcPr>
            <w:tcW w:type="dxa" w:w="7776"/>
            <w:tcMar>
              <w:top w:w="65" w:type="dxa"/>
              <w:start w:w="70" w:type="dxa"/>
              <w:bottom w:w="65" w:type="dxa"/>
              <w:end w:w="70" w:type="dxa"/>
            </w:tcMar>
            <w:vAlign w:val="top"/>
            <w:shd w:fill="F7F9FA"/>
          </w:tcPr>
          <w:p>
            <w:pPr>
              <w:spacing w:after="0"/>
            </w:pPr>
            <w:r>
              <w:rPr>
                <w:sz w:val="16"/>
              </w:rPr>
              <w:t>Age &lt;6 months is routed outside the static general-pediatric classification and requires neonatal/young-infant specialist and local reference data.</w:t>
            </w:r>
          </w:p>
        </w:tc>
      </w:tr>
      <w:tr>
        <w:trPr>
          <w:cantSplit/>
        </w:trPr>
        <w:tc>
          <w:tcPr>
            <w:tcW w:type="dxa" w:w="2304"/>
            <w:tcMar>
              <w:top w:w="65" w:type="dxa"/>
              <w:start w:w="70" w:type="dxa"/>
              <w:bottom w:w="65" w:type="dxa"/>
              <w:end w:w="70" w:type="dxa"/>
            </w:tcMar>
            <w:vAlign w:val="top"/>
          </w:tcPr>
          <w:p>
            <w:pPr>
              <w:spacing w:after="0"/>
            </w:pPr>
            <w:r>
              <w:rPr>
                <w:sz w:val="16"/>
              </w:rPr>
              <w:t>Adult behavior</w:t>
            </w:r>
          </w:p>
        </w:tc>
        <w:tc>
          <w:tcPr>
            <w:tcW w:type="dxa" w:w="7776"/>
            <w:tcMar>
              <w:top w:w="65" w:type="dxa"/>
              <w:start w:w="70" w:type="dxa"/>
              <w:bottom w:w="65" w:type="dxa"/>
              <w:end w:w="70" w:type="dxa"/>
            </w:tcMar>
            <w:vAlign w:val="top"/>
          </w:tcPr>
          <w:p>
            <w:pPr>
              <w:spacing w:after="0"/>
            </w:pPr>
            <w:r>
              <w:rPr>
                <w:sz w:val="16"/>
              </w:rPr>
              <w:t>Age &gt;=18 requires adult/local laboratory limits; the pediatric fallback table is not applied.</w:t>
            </w:r>
          </w:p>
        </w:tc>
      </w:tr>
      <w:tr>
        <w:trPr>
          <w:cantSplit/>
        </w:trPr>
        <w:tc>
          <w:tcPr>
            <w:tcW w:type="dxa" w:w="2304"/>
            <w:tcMar>
              <w:top w:w="65" w:type="dxa"/>
              <w:start w:w="70" w:type="dxa"/>
              <w:bottom w:w="65" w:type="dxa"/>
              <w:end w:w="70" w:type="dxa"/>
            </w:tcMar>
            <w:vAlign w:val="top"/>
            <w:shd w:fill="F7F9FA"/>
          </w:tcPr>
          <w:p>
            <w:pPr>
              <w:spacing w:after="0"/>
            </w:pPr>
            <w:r>
              <w:rPr>
                <w:sz w:val="16"/>
              </w:rPr>
              <w:t>Care setting</w:t>
            </w:r>
          </w:p>
        </w:tc>
        <w:tc>
          <w:tcPr>
            <w:tcW w:type="dxa" w:w="7776"/>
            <w:tcMar>
              <w:top w:w="65" w:type="dxa"/>
              <w:start w:w="70" w:type="dxa"/>
              <w:bottom w:w="65" w:type="dxa"/>
              <w:end w:w="70" w:type="dxa"/>
            </w:tcMar>
            <w:vAlign w:val="top"/>
            <w:shd w:fill="F7F9FA"/>
          </w:tcPr>
          <w:p>
            <w:pPr>
              <w:spacing w:after="0"/>
            </w:pPr>
            <w:r>
              <w:rPr>
                <w:sz w:val="16"/>
              </w:rPr>
              <w:t>Research/demo use in outpatient, urgent, emergency, education, or referral contexts; no validated deployment setting.</w:t>
            </w:r>
          </w:p>
        </w:tc>
      </w:tr>
      <w:tr>
        <w:trPr>
          <w:cantSplit/>
        </w:trPr>
        <w:tc>
          <w:tcPr>
            <w:tcW w:type="dxa" w:w="2304"/>
            <w:tcMar>
              <w:top w:w="65" w:type="dxa"/>
              <w:start w:w="70" w:type="dxa"/>
              <w:bottom w:w="65" w:type="dxa"/>
              <w:end w:w="70" w:type="dxa"/>
            </w:tcMar>
            <w:vAlign w:val="top"/>
          </w:tcPr>
          <w:p>
            <w:pPr>
              <w:spacing w:after="0"/>
            </w:pPr>
            <w:r>
              <w:rPr>
                <w:sz w:val="16"/>
              </w:rPr>
              <w:t>Inference type</w:t>
            </w:r>
          </w:p>
        </w:tc>
        <w:tc>
          <w:tcPr>
            <w:tcW w:type="dxa" w:w="7776"/>
            <w:tcMar>
              <w:top w:w="65" w:type="dxa"/>
              <w:start w:w="70" w:type="dxa"/>
              <w:bottom w:w="65" w:type="dxa"/>
              <w:end w:w="70" w:type="dxa"/>
            </w:tcMar>
            <w:vAlign w:val="top"/>
          </w:tcPr>
          <w:p>
            <w:pPr>
              <w:spacing w:after="0"/>
            </w:pPr>
            <w:r>
              <w:rPr>
                <w:sz w:val="16"/>
              </w:rPr>
              <w:t>Deterministic, rule-based, inspectable, reproducible.</w:t>
            </w:r>
          </w:p>
        </w:tc>
      </w:tr>
      <w:tr>
        <w:trPr>
          <w:cantSplit/>
        </w:trPr>
        <w:tc>
          <w:tcPr>
            <w:tcW w:type="dxa" w:w="2304"/>
            <w:tcMar>
              <w:top w:w="65" w:type="dxa"/>
              <w:start w:w="70" w:type="dxa"/>
              <w:bottom w:w="65" w:type="dxa"/>
              <w:end w:w="70" w:type="dxa"/>
            </w:tcMar>
            <w:vAlign w:val="top"/>
            <w:shd w:fill="F7F9FA"/>
          </w:tcPr>
          <w:p>
            <w:pPr>
              <w:spacing w:after="0"/>
            </w:pPr>
            <w:r>
              <w:rPr>
                <w:sz w:val="16"/>
              </w:rPr>
              <w:t>Output type</w:t>
            </w:r>
          </w:p>
        </w:tc>
        <w:tc>
          <w:tcPr>
            <w:tcW w:type="dxa" w:w="7776"/>
            <w:tcMar>
              <w:top w:w="65" w:type="dxa"/>
              <w:start w:w="70" w:type="dxa"/>
              <w:bottom w:w="65" w:type="dxa"/>
              <w:end w:w="70" w:type="dxa"/>
            </w:tcMar>
            <w:vAlign w:val="top"/>
            <w:shd w:fill="F7F9FA"/>
          </w:tcPr>
          <w:p>
            <w:pPr>
              <w:spacing w:after="0"/>
            </w:pPr>
            <w:r>
              <w:rPr>
                <w:sz w:val="16"/>
              </w:rPr>
              <w:t>Ranked diagnostic patterns and follow-up options, not a guaranteed diagnosis.</w:t>
            </w:r>
          </w:p>
        </w:tc>
      </w:tr>
    </w:tbl>
    <w:p>
      <w:pPr>
        <w:spacing w:after="20"/>
      </w:pPr>
    </w:p>
    <w:tbl>
      <w:tblPr>
        <w:tblW w:type="auto" w:w="0"/>
        <w:jc w:val="center"/>
        <w:tblLayout w:type="fixed"/>
        <w:tblLook w:firstColumn="1" w:firstRow="1" w:lastColumn="0" w:lastRow="0" w:noHBand="0" w:noVBand="1" w:val="04A0"/>
      </w:tblPr>
      <w:tblGrid>
        <w:gridCol w:w="10282"/>
      </w:tblGrid>
      <w:tr>
        <w:tc>
          <w:tcPr>
            <w:tcW w:type="dxa" w:w="10080"/>
            <w:shd w:fill="FFF6DA"/>
            <w:tcMar>
              <w:top w:w="130" w:type="dxa"/>
              <w:start w:w="160" w:type="dxa"/>
              <w:bottom w:w="130" w:type="dxa"/>
              <w:end w:w="160" w:type="dxa"/>
            </w:tcMar>
          </w:tcPr>
          <w:p>
            <w:r>
              <w:rPr>
                <w:b/>
                <w:color w:val="D9A526"/>
                <w:sz w:val="16"/>
              </w:rPr>
              <w:t>CLINICAL BOUNDARY</w:t>
            </w:r>
          </w:p>
          <w:p>
            <w:r>
              <w:rPr>
                <w:sz w:val="18"/>
              </w:rPr>
              <w:t>The current software may display emergency or urgent flags, but it is not validated for autonomous time-critical triage, and the UI instructs users to use local escalation for instability, bleeding, fever with neutropenia, blasts, and suspected microangiopathy.</w:t>
            </w:r>
          </w:p>
        </w:tc>
      </w:tr>
    </w:tbl>
    <w:p>
      <w:pPr>
        <w:spacing w:after="0"/>
      </w:pPr>
    </w:p>
    <w:p>
      <w:pPr>
        <w:pStyle w:val="Heading1"/>
      </w:pPr>
      <w:r>
        <w:t>3. Clinical evidence baseline</w:t>
      </w:r>
    </w:p>
    <w:p>
      <w:r>
        <w:t>The evidence review prioritized publications from 2021 through July 2026, with older material retained only when foundational and not replaced in the focused review. The current evidence registry contains six records.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728"/>
            <w:shd w:fill="123E4A"/>
            <w:tcMar>
              <w:top w:w="75" w:type="dxa"/>
              <w:start w:w="70" w:type="dxa"/>
              <w:bottom w:w="75" w:type="dxa"/>
              <w:end w:w="70" w:type="dxa"/>
            </w:tcMar>
            <w:vAlign w:val="center"/>
          </w:tcPr>
          <w:p>
            <w:r>
              <w:rPr>
                <w:b/>
                <w:color w:val="FFFFFF"/>
                <w:sz w:val="14"/>
              </w:rPr>
              <w:t>Evidence ID</w:t>
            </w:r>
          </w:p>
        </w:tc>
        <w:tc>
          <w:tcPr>
            <w:tcW w:type="dxa" w:w="3384"/>
            <w:shd w:fill="123E4A"/>
            <w:tcMar>
              <w:top w:w="75" w:type="dxa"/>
              <w:start w:w="70" w:type="dxa"/>
              <w:bottom w:w="75" w:type="dxa"/>
              <w:end w:w="70" w:type="dxa"/>
            </w:tcMar>
            <w:vAlign w:val="center"/>
          </w:tcPr>
          <w:p>
            <w:r>
              <w:rPr>
                <w:b/>
                <w:color w:val="FFFFFF"/>
                <w:sz w:val="14"/>
              </w:rPr>
              <w:t>Source</w:t>
            </w:r>
          </w:p>
        </w:tc>
        <w:tc>
          <w:tcPr>
            <w:tcW w:type="dxa" w:w="4968"/>
            <w:shd w:fill="123E4A"/>
            <w:tcMar>
              <w:top w:w="75" w:type="dxa"/>
              <w:start w:w="70" w:type="dxa"/>
              <w:bottom w:w="75" w:type="dxa"/>
              <w:end w:w="70" w:type="dxa"/>
            </w:tcMar>
            <w:vAlign w:val="center"/>
          </w:tcPr>
          <w:p>
            <w:r>
              <w:rPr>
                <w:b/>
                <w:color w:val="FFFFFF"/>
                <w:sz w:val="14"/>
              </w:rPr>
              <w:t>Role in current logic</w:t>
            </w:r>
          </w:p>
        </w:tc>
      </w:tr>
      <w:tr>
        <w:trPr>
          <w:cantSplit/>
        </w:trPr>
        <w:tc>
          <w:tcPr>
            <w:tcW w:type="dxa" w:w="1728"/>
            <w:tcMar>
              <w:top w:w="65" w:type="dxa"/>
              <w:start w:w="70" w:type="dxa"/>
              <w:bottom w:w="65" w:type="dxa"/>
              <w:end w:w="70" w:type="dxa"/>
            </w:tcMar>
            <w:vAlign w:val="top"/>
          </w:tcPr>
          <w:p>
            <w:pPr>
              <w:spacing w:after="0"/>
            </w:pPr>
            <w:r>
              <w:rPr>
                <w:sz w:val="14"/>
              </w:rPr>
              <w:t>AAP2026_IDA</w:t>
            </w:r>
          </w:p>
        </w:tc>
        <w:tc>
          <w:tcPr>
            <w:tcW w:type="dxa" w:w="3384"/>
            <w:tcMar>
              <w:top w:w="65" w:type="dxa"/>
              <w:start w:w="70" w:type="dxa"/>
              <w:bottom w:w="65" w:type="dxa"/>
              <w:end w:w="70" w:type="dxa"/>
            </w:tcMar>
            <w:vAlign w:val="top"/>
          </w:tcPr>
          <w:p>
            <w:pPr>
              <w:spacing w:after="0"/>
            </w:pPr>
            <w:r>
              <w:rPr>
                <w:sz w:val="14"/>
              </w:rPr>
              <w:t>AAP Pediatrics clinical report, 2026 [C1]</w:t>
            </w:r>
          </w:p>
        </w:tc>
        <w:tc>
          <w:tcPr>
            <w:tcW w:type="dxa" w:w="4968"/>
            <w:tcMar>
              <w:top w:w="65" w:type="dxa"/>
              <w:start w:w="70" w:type="dxa"/>
              <w:bottom w:w="65" w:type="dxa"/>
              <w:end w:w="70" w:type="dxa"/>
            </w:tcMar>
            <w:vAlign w:val="top"/>
          </w:tcPr>
          <w:p>
            <w:pPr>
              <w:spacing w:after="0"/>
            </w:pPr>
            <w:r>
              <w:rPr>
                <w:sz w:val="14"/>
              </w:rPr>
              <w:t>Age/sex CBC fallback intervals; ferritin thresholds; inflammation caveats; iron, thalassemia, and inflammatory differentiation.</w:t>
            </w:r>
          </w:p>
        </w:tc>
      </w:tr>
      <w:tr>
        <w:trPr>
          <w:cantSplit/>
        </w:trPr>
        <w:tc>
          <w:tcPr>
            <w:tcW w:type="dxa" w:w="1728"/>
            <w:tcMar>
              <w:top w:w="65" w:type="dxa"/>
              <w:start w:w="70" w:type="dxa"/>
              <w:bottom w:w="65" w:type="dxa"/>
              <w:end w:w="70" w:type="dxa"/>
            </w:tcMar>
            <w:vAlign w:val="top"/>
            <w:shd w:fill="F7F9FA"/>
          </w:tcPr>
          <w:p>
            <w:pPr>
              <w:spacing w:after="0"/>
            </w:pPr>
            <w:r>
              <w:rPr>
                <w:sz w:val="14"/>
              </w:rPr>
              <w:t>WHO2024_HB</w:t>
            </w:r>
          </w:p>
        </w:tc>
        <w:tc>
          <w:tcPr>
            <w:tcW w:type="dxa" w:w="3384"/>
            <w:tcMar>
              <w:top w:w="65" w:type="dxa"/>
              <w:start w:w="70" w:type="dxa"/>
              <w:bottom w:w="65" w:type="dxa"/>
              <w:end w:w="70" w:type="dxa"/>
            </w:tcMar>
            <w:vAlign w:val="top"/>
            <w:shd w:fill="F7F9FA"/>
          </w:tcPr>
          <w:p>
            <w:pPr>
              <w:spacing w:after="0"/>
            </w:pPr>
            <w:r>
              <w:rPr>
                <w:sz w:val="14"/>
              </w:rPr>
              <w:t>WHO hemoglobin cutoff guideline, 2024 [C2]</w:t>
            </w:r>
          </w:p>
        </w:tc>
        <w:tc>
          <w:tcPr>
            <w:tcW w:type="dxa" w:w="4968"/>
            <w:tcMar>
              <w:top w:w="65" w:type="dxa"/>
              <w:start w:w="70" w:type="dxa"/>
              <w:bottom w:w="65" w:type="dxa"/>
              <w:end w:w="70" w:type="dxa"/>
            </w:tcMar>
            <w:vAlign w:val="top"/>
            <w:shd w:fill="F7F9FA"/>
          </w:tcPr>
          <w:p>
            <w:pPr>
              <w:spacing w:after="0"/>
            </w:pPr>
            <w:r>
              <w:rPr>
                <w:sz w:val="14"/>
              </w:rPr>
              <w:t>Age/population-aware cutoff governance and transparent provenance.</w:t>
            </w:r>
          </w:p>
        </w:tc>
      </w:tr>
      <w:tr>
        <w:trPr>
          <w:cantSplit/>
        </w:trPr>
        <w:tc>
          <w:tcPr>
            <w:tcW w:type="dxa" w:w="1728"/>
            <w:tcMar>
              <w:top w:w="65" w:type="dxa"/>
              <w:start w:w="70" w:type="dxa"/>
              <w:bottom w:w="65" w:type="dxa"/>
              <w:end w:w="70" w:type="dxa"/>
            </w:tcMar>
            <w:vAlign w:val="top"/>
          </w:tcPr>
          <w:p>
            <w:pPr>
              <w:spacing w:after="0"/>
            </w:pPr>
            <w:r>
              <w:rPr>
                <w:sz w:val="14"/>
              </w:rPr>
              <w:t>BLOOD2022_PED_ANEMIA</w:t>
            </w:r>
          </w:p>
        </w:tc>
        <w:tc>
          <w:tcPr>
            <w:tcW w:type="dxa" w:w="3384"/>
            <w:tcMar>
              <w:top w:w="65" w:type="dxa"/>
              <w:start w:w="70" w:type="dxa"/>
              <w:bottom w:w="65" w:type="dxa"/>
              <w:end w:w="70" w:type="dxa"/>
            </w:tcMar>
            <w:vAlign w:val="top"/>
          </w:tcPr>
          <w:p>
            <w:pPr>
              <w:spacing w:after="0"/>
            </w:pPr>
            <w:r>
              <w:rPr>
                <w:sz w:val="14"/>
              </w:rPr>
              <w:t>Blood review, 2022 [C3]</w:t>
            </w:r>
          </w:p>
        </w:tc>
        <w:tc>
          <w:tcPr>
            <w:tcW w:type="dxa" w:w="4968"/>
            <w:tcMar>
              <w:top w:w="65" w:type="dxa"/>
              <w:start w:w="70" w:type="dxa"/>
              <w:bottom w:w="65" w:type="dxa"/>
              <w:end w:w="70" w:type="dxa"/>
            </w:tcMar>
            <w:vAlign w:val="top"/>
          </w:tcPr>
          <w:p>
            <w:pPr>
              <w:spacing w:after="0"/>
            </w:pPr>
            <w:r>
              <w:rPr>
                <w:sz w:val="14"/>
              </w:rPr>
              <w:t>Morphology and reticulocyte framework; broad pediatric differential; smear, hemolysis, marrow, nutrient, renal, endocrine, infectious, inherited causes.</w:t>
            </w:r>
          </w:p>
        </w:tc>
      </w:tr>
      <w:tr>
        <w:trPr>
          <w:cantSplit/>
        </w:trPr>
        <w:tc>
          <w:tcPr>
            <w:tcW w:type="dxa" w:w="1728"/>
            <w:tcMar>
              <w:top w:w="65" w:type="dxa"/>
              <w:start w:w="70" w:type="dxa"/>
              <w:bottom w:w="65" w:type="dxa"/>
              <w:end w:w="70" w:type="dxa"/>
            </w:tcMar>
            <w:vAlign w:val="top"/>
            <w:shd w:fill="F7F9FA"/>
          </w:tcPr>
          <w:p>
            <w:pPr>
              <w:spacing w:after="0"/>
            </w:pPr>
            <w:r>
              <w:rPr>
                <w:sz w:val="14"/>
              </w:rPr>
              <w:t>CDC2025_LEAD</w:t>
            </w:r>
          </w:p>
        </w:tc>
        <w:tc>
          <w:tcPr>
            <w:tcW w:type="dxa" w:w="3384"/>
            <w:tcMar>
              <w:top w:w="65" w:type="dxa"/>
              <w:start w:w="70" w:type="dxa"/>
              <w:bottom w:w="65" w:type="dxa"/>
              <w:end w:w="70" w:type="dxa"/>
            </w:tcMar>
            <w:vAlign w:val="top"/>
            <w:shd w:fill="F7F9FA"/>
          </w:tcPr>
          <w:p>
            <w:pPr>
              <w:spacing w:after="0"/>
            </w:pPr>
            <w:r>
              <w:rPr>
                <w:sz w:val="14"/>
              </w:rPr>
              <w:t>CDC lead guidance, updated 2025 [C4]</w:t>
            </w:r>
          </w:p>
        </w:tc>
        <w:tc>
          <w:tcPr>
            <w:tcW w:type="dxa" w:w="4968"/>
            <w:tcMar>
              <w:top w:w="65" w:type="dxa"/>
              <w:start w:w="70" w:type="dxa"/>
              <w:bottom w:w="65" w:type="dxa"/>
              <w:end w:w="70" w:type="dxa"/>
            </w:tcMar>
            <w:vAlign w:val="top"/>
            <w:shd w:fill="F7F9FA"/>
          </w:tcPr>
          <w:p>
            <w:pPr>
              <w:spacing w:after="0"/>
            </w:pPr>
            <w:r>
              <w:rPr>
                <w:sz w:val="14"/>
              </w:rPr>
              <w:t>3.5 micrograms/dL reference value, capillary confirmation, escalation tiers, and iron deficiency consideration.</w:t>
            </w:r>
          </w:p>
        </w:tc>
      </w:tr>
      <w:tr>
        <w:trPr>
          <w:cantSplit/>
        </w:trPr>
        <w:tc>
          <w:tcPr>
            <w:tcW w:type="dxa" w:w="1728"/>
            <w:tcMar>
              <w:top w:w="65" w:type="dxa"/>
              <w:start w:w="70" w:type="dxa"/>
              <w:bottom w:w="65" w:type="dxa"/>
              <w:end w:w="70" w:type="dxa"/>
            </w:tcMar>
            <w:vAlign w:val="top"/>
          </w:tcPr>
          <w:p>
            <w:pPr>
              <w:spacing w:after="0"/>
            </w:pPr>
            <w:r>
              <w:rPr>
                <w:sz w:val="14"/>
              </w:rPr>
              <w:t>FDA2026_CDS</w:t>
            </w:r>
          </w:p>
        </w:tc>
        <w:tc>
          <w:tcPr>
            <w:tcW w:type="dxa" w:w="3384"/>
            <w:tcMar>
              <w:top w:w="65" w:type="dxa"/>
              <w:start w:w="70" w:type="dxa"/>
              <w:bottom w:w="65" w:type="dxa"/>
              <w:end w:w="70" w:type="dxa"/>
            </w:tcMar>
            <w:vAlign w:val="top"/>
          </w:tcPr>
          <w:p>
            <w:pPr>
              <w:spacing w:after="0"/>
            </w:pPr>
            <w:r>
              <w:rPr>
                <w:sz w:val="14"/>
              </w:rPr>
              <w:t>FDA CDS guidance, 2026 [R1]</w:t>
            </w:r>
          </w:p>
        </w:tc>
        <w:tc>
          <w:tcPr>
            <w:tcW w:type="dxa" w:w="4968"/>
            <w:tcMar>
              <w:top w:w="65" w:type="dxa"/>
              <w:start w:w="70" w:type="dxa"/>
              <w:bottom w:w="65" w:type="dxa"/>
              <w:end w:w="70" w:type="dxa"/>
            </w:tcMar>
            <w:vAlign w:val="top"/>
          </w:tcPr>
          <w:p>
            <w:pPr>
              <w:spacing w:after="0"/>
            </w:pPr>
            <w:r>
              <w:rPr>
                <w:sz w:val="14"/>
              </w:rPr>
              <w:t>Transparency, intended-use, specificity, time-criticality, and clinician independent-review design constraints.</w:t>
            </w:r>
          </w:p>
        </w:tc>
      </w:tr>
      <w:tr>
        <w:trPr>
          <w:cantSplit/>
        </w:trPr>
        <w:tc>
          <w:tcPr>
            <w:tcW w:type="dxa" w:w="1728"/>
            <w:tcMar>
              <w:top w:w="65" w:type="dxa"/>
              <w:start w:w="70" w:type="dxa"/>
              <w:bottom w:w="65" w:type="dxa"/>
              <w:end w:w="70" w:type="dxa"/>
            </w:tcMar>
            <w:vAlign w:val="top"/>
            <w:shd w:fill="F7F9FA"/>
          </w:tcPr>
          <w:p>
            <w:pPr>
              <w:spacing w:after="0"/>
            </w:pPr>
            <w:r>
              <w:rPr>
                <w:sz w:val="14"/>
              </w:rPr>
              <w:t>BSH2020_G6PD</w:t>
            </w:r>
          </w:p>
        </w:tc>
        <w:tc>
          <w:tcPr>
            <w:tcW w:type="dxa" w:w="3384"/>
            <w:tcMar>
              <w:top w:w="65" w:type="dxa"/>
              <w:start w:w="70" w:type="dxa"/>
              <w:bottom w:w="65" w:type="dxa"/>
              <w:end w:w="70" w:type="dxa"/>
            </w:tcMar>
            <w:vAlign w:val="top"/>
            <w:shd w:fill="F7F9FA"/>
          </w:tcPr>
          <w:p>
            <w:pPr>
              <w:spacing w:after="0"/>
            </w:pPr>
            <w:r>
              <w:rPr>
                <w:sz w:val="14"/>
              </w:rPr>
              <w:t>BSH G6PD laboratory guideline, 2020 [C5]</w:t>
            </w:r>
          </w:p>
        </w:tc>
        <w:tc>
          <w:tcPr>
            <w:tcW w:type="dxa" w:w="4968"/>
            <w:tcMar>
              <w:top w:w="65" w:type="dxa"/>
              <w:start w:w="70" w:type="dxa"/>
              <w:bottom w:w="65" w:type="dxa"/>
              <w:end w:w="70" w:type="dxa"/>
            </w:tcMar>
            <w:vAlign w:val="top"/>
            <w:shd w:fill="F7F9FA"/>
          </w:tcPr>
          <w:p>
            <w:pPr>
              <w:spacing w:after="0"/>
            </w:pPr>
            <w:r>
              <w:rPr>
                <w:sz w:val="14"/>
              </w:rPr>
              <w:t>Quantitative testing and false-normal timing/transfusion cautions; labeled foundational exception.</w:t>
            </w:r>
          </w:p>
        </w:tc>
      </w:tr>
    </w:tbl>
    <w:p>
      <w:pPr>
        <w:spacing w:after="20"/>
      </w:pPr>
    </w:p>
    <w:p>
      <w:pPr>
        <w:pStyle w:val="Heading2"/>
      </w:pPr>
      <w:r>
        <w:t>3.1 Encoded fallback CBC intervals</w:t>
      </w:r>
    </w:p>
    <w:p>
      <w:r>
        <w:t>Local laboratory ranges take precedence. The following AAP-derived fallbacks are used only within the encoded age scope and when the required demographic input is available. [C1]</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512"/>
            <w:shd w:fill="123E4A"/>
            <w:tcMar>
              <w:top w:w="75" w:type="dxa"/>
              <w:start w:w="70" w:type="dxa"/>
              <w:bottom w:w="75" w:type="dxa"/>
              <w:end w:w="70" w:type="dxa"/>
            </w:tcMar>
            <w:vAlign w:val="center"/>
          </w:tcPr>
          <w:p>
            <w:r>
              <w:rPr>
                <w:b/>
                <w:color w:val="FFFFFF"/>
                <w:sz w:val="14"/>
              </w:rPr>
              <w:t>Age</w:t>
            </w:r>
          </w:p>
        </w:tc>
        <w:tc>
          <w:tcPr>
            <w:tcW w:type="dxa" w:w="1296"/>
            <w:shd w:fill="123E4A"/>
            <w:tcMar>
              <w:top w:w="75" w:type="dxa"/>
              <w:start w:w="70" w:type="dxa"/>
              <w:bottom w:w="75" w:type="dxa"/>
              <w:end w:w="70" w:type="dxa"/>
            </w:tcMar>
            <w:vAlign w:val="center"/>
          </w:tcPr>
          <w:p>
            <w:r>
              <w:rPr>
                <w:b/>
                <w:color w:val="FFFFFF"/>
                <w:sz w:val="14"/>
              </w:rPr>
              <w:t>Female Hb lower</w:t>
            </w:r>
          </w:p>
        </w:tc>
        <w:tc>
          <w:tcPr>
            <w:tcW w:type="dxa" w:w="1296"/>
            <w:shd w:fill="123E4A"/>
            <w:tcMar>
              <w:top w:w="75" w:type="dxa"/>
              <w:start w:w="70" w:type="dxa"/>
              <w:bottom w:w="75" w:type="dxa"/>
              <w:end w:w="70" w:type="dxa"/>
            </w:tcMar>
            <w:vAlign w:val="center"/>
          </w:tcPr>
          <w:p>
            <w:r>
              <w:rPr>
                <w:b/>
                <w:color w:val="FFFFFF"/>
                <w:sz w:val="14"/>
              </w:rPr>
              <w:t>Male Hb lower</w:t>
            </w:r>
          </w:p>
        </w:tc>
        <w:tc>
          <w:tcPr>
            <w:tcW w:type="dxa" w:w="1512"/>
            <w:shd w:fill="123E4A"/>
            <w:tcMar>
              <w:top w:w="75" w:type="dxa"/>
              <w:start w:w="70" w:type="dxa"/>
              <w:bottom w:w="75" w:type="dxa"/>
              <w:end w:w="70" w:type="dxa"/>
            </w:tcMar>
            <w:vAlign w:val="center"/>
          </w:tcPr>
          <w:p>
            <w:r>
              <w:rPr>
                <w:b/>
                <w:color w:val="FFFFFF"/>
                <w:sz w:val="14"/>
              </w:rPr>
              <w:t>Female MCV (fL)</w:t>
            </w:r>
          </w:p>
        </w:tc>
        <w:tc>
          <w:tcPr>
            <w:tcW w:type="dxa" w:w="1512"/>
            <w:shd w:fill="123E4A"/>
            <w:tcMar>
              <w:top w:w="75" w:type="dxa"/>
              <w:start w:w="70" w:type="dxa"/>
              <w:bottom w:w="75" w:type="dxa"/>
              <w:end w:w="70" w:type="dxa"/>
            </w:tcMar>
            <w:vAlign w:val="center"/>
          </w:tcPr>
          <w:p>
            <w:r>
              <w:rPr>
                <w:b/>
                <w:color w:val="FFFFFF"/>
                <w:sz w:val="14"/>
              </w:rPr>
              <w:t>Male MCV (fL)</w:t>
            </w:r>
          </w:p>
        </w:tc>
        <w:tc>
          <w:tcPr>
            <w:tcW w:type="dxa" w:w="1440"/>
            <w:shd w:fill="123E4A"/>
            <w:tcMar>
              <w:top w:w="75" w:type="dxa"/>
              <w:start w:w="70" w:type="dxa"/>
              <w:bottom w:w="75" w:type="dxa"/>
              <w:end w:w="70" w:type="dxa"/>
            </w:tcMar>
            <w:vAlign w:val="center"/>
          </w:tcPr>
          <w:p>
            <w:r>
              <w:rPr>
                <w:b/>
                <w:color w:val="FFFFFF"/>
                <w:sz w:val="14"/>
              </w:rPr>
              <w:t>Female RDW upper</w:t>
            </w:r>
          </w:p>
        </w:tc>
        <w:tc>
          <w:tcPr>
            <w:tcW w:type="dxa" w:w="1440"/>
            <w:shd w:fill="123E4A"/>
            <w:tcMar>
              <w:top w:w="75" w:type="dxa"/>
              <w:start w:w="70" w:type="dxa"/>
              <w:bottom w:w="75" w:type="dxa"/>
              <w:end w:w="70" w:type="dxa"/>
            </w:tcMar>
            <w:vAlign w:val="center"/>
          </w:tcPr>
          <w:p>
            <w:r>
              <w:rPr>
                <w:b/>
                <w:color w:val="FFFFFF"/>
                <w:sz w:val="14"/>
              </w:rPr>
              <w:t>Male RDW upper</w:t>
            </w:r>
          </w:p>
        </w:tc>
      </w:tr>
      <w:tr>
        <w:trPr>
          <w:cantSplit/>
        </w:trPr>
        <w:tc>
          <w:tcPr>
            <w:tcW w:type="dxa" w:w="1512"/>
            <w:tcMar>
              <w:top w:w="65" w:type="dxa"/>
              <w:start w:w="70" w:type="dxa"/>
              <w:bottom w:w="65" w:type="dxa"/>
              <w:end w:w="70" w:type="dxa"/>
            </w:tcMar>
            <w:vAlign w:val="top"/>
          </w:tcPr>
          <w:p>
            <w:pPr>
              <w:spacing w:after="0"/>
            </w:pPr>
            <w:r>
              <w:rPr>
                <w:sz w:val="14"/>
              </w:rPr>
              <w:t>6 to &lt;24 mo</w:t>
            </w:r>
          </w:p>
        </w:tc>
        <w:tc>
          <w:tcPr>
            <w:tcW w:type="dxa" w:w="1296"/>
            <w:tcMar>
              <w:top w:w="65" w:type="dxa"/>
              <w:start w:w="70" w:type="dxa"/>
              <w:bottom w:w="65" w:type="dxa"/>
              <w:end w:w="70" w:type="dxa"/>
            </w:tcMar>
            <w:vAlign w:val="top"/>
          </w:tcPr>
          <w:p>
            <w:pPr>
              <w:spacing w:after="0"/>
            </w:pPr>
            <w:r>
              <w:rPr>
                <w:sz w:val="14"/>
              </w:rPr>
              <w:t>11.0</w:t>
            </w:r>
          </w:p>
        </w:tc>
        <w:tc>
          <w:tcPr>
            <w:tcW w:type="dxa" w:w="1296"/>
            <w:tcMar>
              <w:top w:w="65" w:type="dxa"/>
              <w:start w:w="70" w:type="dxa"/>
              <w:bottom w:w="65" w:type="dxa"/>
              <w:end w:w="70" w:type="dxa"/>
            </w:tcMar>
            <w:vAlign w:val="top"/>
          </w:tcPr>
          <w:p>
            <w:pPr>
              <w:spacing w:after="0"/>
            </w:pPr>
            <w:r>
              <w:rPr>
                <w:sz w:val="14"/>
              </w:rPr>
              <w:t>11.0</w:t>
            </w:r>
          </w:p>
        </w:tc>
        <w:tc>
          <w:tcPr>
            <w:tcW w:type="dxa" w:w="1512"/>
            <w:tcMar>
              <w:top w:w="65" w:type="dxa"/>
              <w:start w:w="70" w:type="dxa"/>
              <w:bottom w:w="65" w:type="dxa"/>
              <w:end w:w="70" w:type="dxa"/>
            </w:tcMar>
            <w:vAlign w:val="top"/>
          </w:tcPr>
          <w:p>
            <w:pPr>
              <w:spacing w:after="0"/>
            </w:pPr>
            <w:r>
              <w:rPr>
                <w:sz w:val="14"/>
              </w:rPr>
              <w:t>73.3-83.2</w:t>
            </w:r>
          </w:p>
        </w:tc>
        <w:tc>
          <w:tcPr>
            <w:tcW w:type="dxa" w:w="1512"/>
            <w:tcMar>
              <w:top w:w="65" w:type="dxa"/>
              <w:start w:w="70" w:type="dxa"/>
              <w:bottom w:w="65" w:type="dxa"/>
              <w:end w:w="70" w:type="dxa"/>
            </w:tcMar>
            <w:vAlign w:val="top"/>
          </w:tcPr>
          <w:p>
            <w:pPr>
              <w:spacing w:after="0"/>
            </w:pPr>
            <w:r>
              <w:rPr>
                <w:sz w:val="14"/>
              </w:rPr>
              <w:t>71.1-82.2</w:t>
            </w:r>
          </w:p>
        </w:tc>
        <w:tc>
          <w:tcPr>
            <w:tcW w:type="dxa" w:w="1440"/>
            <w:tcMar>
              <w:top w:w="65" w:type="dxa"/>
              <w:start w:w="70" w:type="dxa"/>
              <w:bottom w:w="65" w:type="dxa"/>
              <w:end w:w="70" w:type="dxa"/>
            </w:tcMar>
            <w:vAlign w:val="top"/>
          </w:tcPr>
          <w:p>
            <w:pPr>
              <w:spacing w:after="0"/>
            </w:pPr>
            <w:r>
              <w:rPr>
                <w:sz w:val="14"/>
              </w:rPr>
              <w:t>15.4</w:t>
            </w:r>
          </w:p>
        </w:tc>
        <w:tc>
          <w:tcPr>
            <w:tcW w:type="dxa" w:w="1440"/>
            <w:tcMar>
              <w:top w:w="65" w:type="dxa"/>
              <w:start w:w="70" w:type="dxa"/>
              <w:bottom w:w="65" w:type="dxa"/>
              <w:end w:w="70" w:type="dxa"/>
            </w:tcMar>
            <w:vAlign w:val="top"/>
          </w:tcPr>
          <w:p>
            <w:pPr>
              <w:spacing w:after="0"/>
            </w:pPr>
            <w:r>
              <w:rPr>
                <w:sz w:val="14"/>
              </w:rPr>
              <w:t>15.9</w:t>
            </w:r>
          </w:p>
        </w:tc>
      </w:tr>
      <w:tr>
        <w:trPr>
          <w:cantSplit/>
        </w:trPr>
        <w:tc>
          <w:tcPr>
            <w:tcW w:type="dxa" w:w="1512"/>
            <w:tcMar>
              <w:top w:w="65" w:type="dxa"/>
              <w:start w:w="70" w:type="dxa"/>
              <w:bottom w:w="65" w:type="dxa"/>
              <w:end w:w="70" w:type="dxa"/>
            </w:tcMar>
            <w:vAlign w:val="top"/>
            <w:shd w:fill="F7F9FA"/>
          </w:tcPr>
          <w:p>
            <w:pPr>
              <w:spacing w:after="0"/>
            </w:pPr>
            <w:r>
              <w:rPr>
                <w:sz w:val="14"/>
              </w:rPr>
              <w:t>2 to &lt;6 y</w:t>
            </w:r>
          </w:p>
        </w:tc>
        <w:tc>
          <w:tcPr>
            <w:tcW w:type="dxa" w:w="1296"/>
            <w:tcMar>
              <w:top w:w="65" w:type="dxa"/>
              <w:start w:w="70" w:type="dxa"/>
              <w:bottom w:w="65" w:type="dxa"/>
              <w:end w:w="70" w:type="dxa"/>
            </w:tcMar>
            <w:vAlign w:val="top"/>
            <w:shd w:fill="F7F9FA"/>
          </w:tcPr>
          <w:p>
            <w:pPr>
              <w:spacing w:after="0"/>
            </w:pPr>
            <w:r>
              <w:rPr>
                <w:sz w:val="14"/>
              </w:rPr>
              <w:t>11.0</w:t>
            </w:r>
          </w:p>
        </w:tc>
        <w:tc>
          <w:tcPr>
            <w:tcW w:type="dxa" w:w="1296"/>
            <w:tcMar>
              <w:top w:w="65" w:type="dxa"/>
              <w:start w:w="70" w:type="dxa"/>
              <w:bottom w:w="65" w:type="dxa"/>
              <w:end w:w="70" w:type="dxa"/>
            </w:tcMar>
            <w:vAlign w:val="top"/>
            <w:shd w:fill="F7F9FA"/>
          </w:tcPr>
          <w:p>
            <w:pPr>
              <w:spacing w:after="0"/>
            </w:pPr>
            <w:r>
              <w:rPr>
                <w:sz w:val="14"/>
              </w:rPr>
              <w:t>11.0</w:t>
            </w:r>
          </w:p>
        </w:tc>
        <w:tc>
          <w:tcPr>
            <w:tcW w:type="dxa" w:w="1512"/>
            <w:tcMar>
              <w:top w:w="65" w:type="dxa"/>
              <w:start w:w="70" w:type="dxa"/>
              <w:bottom w:w="65" w:type="dxa"/>
              <w:end w:w="70" w:type="dxa"/>
            </w:tcMar>
            <w:vAlign w:val="top"/>
            <w:shd w:fill="F7F9FA"/>
          </w:tcPr>
          <w:p>
            <w:pPr>
              <w:spacing w:after="0"/>
            </w:pPr>
            <w:r>
              <w:rPr>
                <w:sz w:val="14"/>
              </w:rPr>
              <w:t>75.2-85.0</w:t>
            </w:r>
          </w:p>
        </w:tc>
        <w:tc>
          <w:tcPr>
            <w:tcW w:type="dxa" w:w="1512"/>
            <w:tcMar>
              <w:top w:w="65" w:type="dxa"/>
              <w:start w:w="70" w:type="dxa"/>
              <w:bottom w:w="65" w:type="dxa"/>
              <w:end w:w="70" w:type="dxa"/>
            </w:tcMar>
            <w:vAlign w:val="top"/>
            <w:shd w:fill="F7F9FA"/>
          </w:tcPr>
          <w:p>
            <w:pPr>
              <w:spacing w:after="0"/>
            </w:pPr>
            <w:r>
              <w:rPr>
                <w:sz w:val="14"/>
              </w:rPr>
              <w:t>74.1-84.3</w:t>
            </w:r>
          </w:p>
        </w:tc>
        <w:tc>
          <w:tcPr>
            <w:tcW w:type="dxa" w:w="1440"/>
            <w:tcMar>
              <w:top w:w="65" w:type="dxa"/>
              <w:start w:w="70" w:type="dxa"/>
              <w:bottom w:w="65" w:type="dxa"/>
              <w:end w:w="70" w:type="dxa"/>
            </w:tcMar>
            <w:vAlign w:val="top"/>
            <w:shd w:fill="F7F9FA"/>
          </w:tcPr>
          <w:p>
            <w:pPr>
              <w:spacing w:after="0"/>
            </w:pPr>
            <w:r>
              <w:rPr>
                <w:sz w:val="14"/>
              </w:rPr>
              <w:t>14.5</w:t>
            </w:r>
          </w:p>
        </w:tc>
        <w:tc>
          <w:tcPr>
            <w:tcW w:type="dxa" w:w="1440"/>
            <w:tcMar>
              <w:top w:w="65" w:type="dxa"/>
              <w:start w:w="70" w:type="dxa"/>
              <w:bottom w:w="65" w:type="dxa"/>
              <w:end w:w="70" w:type="dxa"/>
            </w:tcMar>
            <w:vAlign w:val="top"/>
            <w:shd w:fill="F7F9FA"/>
          </w:tcPr>
          <w:p>
            <w:pPr>
              <w:spacing w:after="0"/>
            </w:pPr>
            <w:r>
              <w:rPr>
                <w:sz w:val="14"/>
              </w:rPr>
              <w:t>14.7</w:t>
            </w:r>
          </w:p>
        </w:tc>
      </w:tr>
      <w:tr>
        <w:trPr>
          <w:cantSplit/>
        </w:trPr>
        <w:tc>
          <w:tcPr>
            <w:tcW w:type="dxa" w:w="1512"/>
            <w:tcMar>
              <w:top w:w="65" w:type="dxa"/>
              <w:start w:w="70" w:type="dxa"/>
              <w:bottom w:w="65" w:type="dxa"/>
              <w:end w:w="70" w:type="dxa"/>
            </w:tcMar>
            <w:vAlign w:val="top"/>
          </w:tcPr>
          <w:p>
            <w:pPr>
              <w:spacing w:after="0"/>
            </w:pPr>
            <w:r>
              <w:rPr>
                <w:sz w:val="14"/>
              </w:rPr>
              <w:t>6 to &lt;12 y</w:t>
            </w:r>
          </w:p>
        </w:tc>
        <w:tc>
          <w:tcPr>
            <w:tcW w:type="dxa" w:w="1296"/>
            <w:tcMar>
              <w:top w:w="65" w:type="dxa"/>
              <w:start w:w="70" w:type="dxa"/>
              <w:bottom w:w="65" w:type="dxa"/>
              <w:end w:w="70" w:type="dxa"/>
            </w:tcMar>
            <w:vAlign w:val="top"/>
          </w:tcPr>
          <w:p>
            <w:pPr>
              <w:spacing w:after="0"/>
            </w:pPr>
            <w:r>
              <w:rPr>
                <w:sz w:val="14"/>
              </w:rPr>
              <w:t>11.2</w:t>
            </w:r>
          </w:p>
        </w:tc>
        <w:tc>
          <w:tcPr>
            <w:tcW w:type="dxa" w:w="1296"/>
            <w:tcMar>
              <w:top w:w="65" w:type="dxa"/>
              <w:start w:w="70" w:type="dxa"/>
              <w:bottom w:w="65" w:type="dxa"/>
              <w:end w:w="70" w:type="dxa"/>
            </w:tcMar>
            <w:vAlign w:val="top"/>
          </w:tcPr>
          <w:p>
            <w:pPr>
              <w:spacing w:after="0"/>
            </w:pPr>
            <w:r>
              <w:rPr>
                <w:sz w:val="14"/>
              </w:rPr>
              <w:t>11.3</w:t>
            </w:r>
          </w:p>
        </w:tc>
        <w:tc>
          <w:tcPr>
            <w:tcW w:type="dxa" w:w="1512"/>
            <w:tcMar>
              <w:top w:w="65" w:type="dxa"/>
              <w:start w:w="70" w:type="dxa"/>
              <w:bottom w:w="65" w:type="dxa"/>
              <w:end w:w="70" w:type="dxa"/>
            </w:tcMar>
            <w:vAlign w:val="top"/>
          </w:tcPr>
          <w:p>
            <w:pPr>
              <w:spacing w:after="0"/>
            </w:pPr>
            <w:r>
              <w:rPr>
                <w:sz w:val="14"/>
              </w:rPr>
              <w:t>78.3-87.7</w:t>
            </w:r>
          </w:p>
        </w:tc>
        <w:tc>
          <w:tcPr>
            <w:tcW w:type="dxa" w:w="1512"/>
            <w:tcMar>
              <w:top w:w="65" w:type="dxa"/>
              <w:start w:w="70" w:type="dxa"/>
              <w:bottom w:w="65" w:type="dxa"/>
              <w:end w:w="70" w:type="dxa"/>
            </w:tcMar>
            <w:vAlign w:val="top"/>
          </w:tcPr>
          <w:p>
            <w:pPr>
              <w:spacing w:after="0"/>
            </w:pPr>
            <w:r>
              <w:rPr>
                <w:sz w:val="14"/>
              </w:rPr>
              <w:t>77.8-86.5</w:t>
            </w:r>
          </w:p>
        </w:tc>
        <w:tc>
          <w:tcPr>
            <w:tcW w:type="dxa" w:w="1440"/>
            <w:tcMar>
              <w:top w:w="65" w:type="dxa"/>
              <w:start w:w="70" w:type="dxa"/>
              <w:bottom w:w="65" w:type="dxa"/>
              <w:end w:w="70" w:type="dxa"/>
            </w:tcMar>
            <w:vAlign w:val="top"/>
          </w:tcPr>
          <w:p>
            <w:pPr>
              <w:spacing w:after="0"/>
            </w:pPr>
            <w:r>
              <w:rPr>
                <w:sz w:val="14"/>
              </w:rPr>
              <w:t>13.9</w:t>
            </w:r>
          </w:p>
        </w:tc>
        <w:tc>
          <w:tcPr>
            <w:tcW w:type="dxa" w:w="1440"/>
            <w:tcMar>
              <w:top w:w="65" w:type="dxa"/>
              <w:start w:w="70" w:type="dxa"/>
              <w:bottom w:w="65" w:type="dxa"/>
              <w:end w:w="70" w:type="dxa"/>
            </w:tcMar>
            <w:vAlign w:val="top"/>
          </w:tcPr>
          <w:p>
            <w:pPr>
              <w:spacing w:after="0"/>
            </w:pPr>
            <w:r>
              <w:rPr>
                <w:sz w:val="14"/>
              </w:rPr>
              <w:t>13.7</w:t>
            </w:r>
          </w:p>
        </w:tc>
      </w:tr>
      <w:tr>
        <w:trPr>
          <w:cantSplit/>
        </w:trPr>
        <w:tc>
          <w:tcPr>
            <w:tcW w:type="dxa" w:w="1512"/>
            <w:tcMar>
              <w:top w:w="65" w:type="dxa"/>
              <w:start w:w="70" w:type="dxa"/>
              <w:bottom w:w="65" w:type="dxa"/>
              <w:end w:w="70" w:type="dxa"/>
            </w:tcMar>
            <w:vAlign w:val="top"/>
            <w:shd w:fill="F7F9FA"/>
          </w:tcPr>
          <w:p>
            <w:pPr>
              <w:spacing w:after="0"/>
            </w:pPr>
            <w:r>
              <w:rPr>
                <w:sz w:val="14"/>
              </w:rPr>
              <w:t>12 to &lt;18 y</w:t>
            </w:r>
          </w:p>
        </w:tc>
        <w:tc>
          <w:tcPr>
            <w:tcW w:type="dxa" w:w="1296"/>
            <w:tcMar>
              <w:top w:w="65" w:type="dxa"/>
              <w:start w:w="70" w:type="dxa"/>
              <w:bottom w:w="65" w:type="dxa"/>
              <w:end w:w="70" w:type="dxa"/>
            </w:tcMar>
            <w:vAlign w:val="top"/>
            <w:shd w:fill="F7F9FA"/>
          </w:tcPr>
          <w:p>
            <w:pPr>
              <w:spacing w:after="0"/>
            </w:pPr>
            <w:r>
              <w:rPr>
                <w:sz w:val="14"/>
              </w:rPr>
              <w:t>11.4</w:t>
            </w:r>
          </w:p>
        </w:tc>
        <w:tc>
          <w:tcPr>
            <w:tcW w:type="dxa" w:w="1296"/>
            <w:tcMar>
              <w:top w:w="65" w:type="dxa"/>
              <w:start w:w="70" w:type="dxa"/>
              <w:bottom w:w="65" w:type="dxa"/>
              <w:end w:w="70" w:type="dxa"/>
            </w:tcMar>
            <w:vAlign w:val="top"/>
            <w:shd w:fill="F7F9FA"/>
          </w:tcPr>
          <w:p>
            <w:pPr>
              <w:spacing w:after="0"/>
            </w:pPr>
            <w:r>
              <w:rPr>
                <w:sz w:val="14"/>
              </w:rPr>
              <w:t>12.4</w:t>
            </w:r>
          </w:p>
        </w:tc>
        <w:tc>
          <w:tcPr>
            <w:tcW w:type="dxa" w:w="1512"/>
            <w:tcMar>
              <w:top w:w="65" w:type="dxa"/>
              <w:start w:w="70" w:type="dxa"/>
              <w:bottom w:w="65" w:type="dxa"/>
              <w:end w:w="70" w:type="dxa"/>
            </w:tcMar>
            <w:vAlign w:val="top"/>
            <w:shd w:fill="F7F9FA"/>
          </w:tcPr>
          <w:p>
            <w:pPr>
              <w:spacing w:after="0"/>
            </w:pPr>
            <w:r>
              <w:rPr>
                <w:sz w:val="14"/>
              </w:rPr>
              <w:t>80.5-91.8</w:t>
            </w:r>
          </w:p>
        </w:tc>
        <w:tc>
          <w:tcPr>
            <w:tcW w:type="dxa" w:w="1512"/>
            <w:tcMar>
              <w:top w:w="65" w:type="dxa"/>
              <w:start w:w="70" w:type="dxa"/>
              <w:bottom w:w="65" w:type="dxa"/>
              <w:end w:w="70" w:type="dxa"/>
            </w:tcMar>
            <w:vAlign w:val="top"/>
            <w:shd w:fill="F7F9FA"/>
          </w:tcPr>
          <w:p>
            <w:pPr>
              <w:spacing w:after="0"/>
            </w:pPr>
            <w:r>
              <w:rPr>
                <w:sz w:val="14"/>
              </w:rPr>
              <w:t>80.4-90.1</w:t>
            </w:r>
          </w:p>
        </w:tc>
        <w:tc>
          <w:tcPr>
            <w:tcW w:type="dxa" w:w="1440"/>
            <w:tcMar>
              <w:top w:w="65" w:type="dxa"/>
              <w:start w:w="70" w:type="dxa"/>
              <w:bottom w:w="65" w:type="dxa"/>
              <w:end w:w="70" w:type="dxa"/>
            </w:tcMar>
            <w:vAlign w:val="top"/>
            <w:shd w:fill="F7F9FA"/>
          </w:tcPr>
          <w:p>
            <w:pPr>
              <w:spacing w:after="0"/>
            </w:pPr>
            <w:r>
              <w:rPr>
                <w:sz w:val="14"/>
              </w:rPr>
              <w:t>14.6</w:t>
            </w:r>
          </w:p>
        </w:tc>
        <w:tc>
          <w:tcPr>
            <w:tcW w:type="dxa" w:w="1440"/>
            <w:tcMar>
              <w:top w:w="65" w:type="dxa"/>
              <w:start w:w="70" w:type="dxa"/>
              <w:bottom w:w="65" w:type="dxa"/>
              <w:end w:w="70" w:type="dxa"/>
            </w:tcMar>
            <w:vAlign w:val="top"/>
            <w:shd w:fill="F7F9FA"/>
          </w:tcPr>
          <w:p>
            <w:pPr>
              <w:spacing w:after="0"/>
            </w:pPr>
            <w:r>
              <w:rPr>
                <w:sz w:val="14"/>
              </w:rPr>
              <w:t>13.7</w:t>
            </w:r>
          </w:p>
        </w:tc>
      </w:tr>
    </w:tbl>
    <w:p>
      <w:pPr>
        <w:spacing w:after="20"/>
      </w:pPr>
    </w:p>
    <w:p>
      <w:r>
        <w:t>Hemoglobin is in g/dL, MCV in fL, and RDW in percent. Ferritin is interpreted against &lt;=20 ng/mL for children 6 months to &lt;12 years and &lt;=30 ng/mL for adolescents and all menstruating patients, with inflammation caveats. [C1]</w:t>
      </w:r>
    </w:p>
    <w:p>
      <w:pPr>
        <w:pStyle w:val="Heading1"/>
      </w:pPr>
      <w:r>
        <w:t>4. Functional capabilities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123E4A"/>
            <w:tcMar>
              <w:top w:w="75" w:type="dxa"/>
              <w:start w:w="70" w:type="dxa"/>
              <w:bottom w:w="75" w:type="dxa"/>
              <w:end w:w="70" w:type="dxa"/>
            </w:tcMar>
            <w:vAlign w:val="center"/>
          </w:tcPr>
          <w:p>
            <w:r>
              <w:rPr>
                <w:b/>
                <w:color w:val="FFFFFF"/>
                <w:sz w:val="13"/>
              </w:rPr>
              <w:t>ID</w:t>
            </w:r>
          </w:p>
        </w:tc>
        <w:tc>
          <w:tcPr>
            <w:tcW w:type="dxa" w:w="2664"/>
            <w:shd w:fill="123E4A"/>
            <w:tcMar>
              <w:top w:w="75" w:type="dxa"/>
              <w:start w:w="70" w:type="dxa"/>
              <w:bottom w:w="75" w:type="dxa"/>
              <w:end w:w="70" w:type="dxa"/>
            </w:tcMar>
            <w:vAlign w:val="center"/>
          </w:tcPr>
          <w:p>
            <w:r>
              <w:rPr>
                <w:b/>
                <w:color w:val="FFFFFF"/>
                <w:sz w:val="13"/>
              </w:rPr>
              <w:t>Capability</w:t>
            </w:r>
          </w:p>
        </w:tc>
        <w:tc>
          <w:tcPr>
            <w:tcW w:type="dxa" w:w="6336"/>
            <w:shd w:fill="123E4A"/>
            <w:tcMar>
              <w:top w:w="75" w:type="dxa"/>
              <w:start w:w="70" w:type="dxa"/>
              <w:bottom w:w="75" w:type="dxa"/>
              <w:end w:w="70" w:type="dxa"/>
            </w:tcMar>
            <w:vAlign w:val="center"/>
          </w:tcPr>
          <w:p>
            <w:r>
              <w:rPr>
                <w:b/>
                <w:color w:val="FFFFFF"/>
                <w:sz w:val="13"/>
              </w:rPr>
              <w:t>As-built behavior</w:t>
            </w:r>
          </w:p>
        </w:tc>
      </w:tr>
      <w:tr>
        <w:trPr>
          <w:cantSplit/>
        </w:trPr>
        <w:tc>
          <w:tcPr>
            <w:tcW w:type="dxa" w:w="1080"/>
            <w:tcMar>
              <w:top w:w="65" w:type="dxa"/>
              <w:start w:w="70" w:type="dxa"/>
              <w:bottom w:w="65" w:type="dxa"/>
              <w:end w:w="70" w:type="dxa"/>
            </w:tcMar>
            <w:vAlign w:val="top"/>
          </w:tcPr>
          <w:p>
            <w:pPr>
              <w:spacing w:after="0"/>
            </w:pPr>
            <w:r>
              <w:rPr>
                <w:sz w:val="13"/>
              </w:rPr>
              <w:t>FR-001</w:t>
            </w:r>
          </w:p>
        </w:tc>
        <w:tc>
          <w:tcPr>
            <w:tcW w:type="dxa" w:w="2664"/>
            <w:tcMar>
              <w:top w:w="65" w:type="dxa"/>
              <w:start w:w="70" w:type="dxa"/>
              <w:bottom w:w="65" w:type="dxa"/>
              <w:end w:w="70" w:type="dxa"/>
            </w:tcMar>
            <w:vAlign w:val="top"/>
          </w:tcPr>
          <w:p>
            <w:pPr>
              <w:spacing w:after="0"/>
            </w:pPr>
            <w:r>
              <w:rPr>
                <w:sz w:val="13"/>
              </w:rPr>
              <w:t>Scope and warning display</w:t>
            </w:r>
          </w:p>
        </w:tc>
        <w:tc>
          <w:tcPr>
            <w:tcW w:type="dxa" w:w="6336"/>
            <w:tcMar>
              <w:top w:w="65" w:type="dxa"/>
              <w:start w:w="70" w:type="dxa"/>
              <w:bottom w:w="65" w:type="dxa"/>
              <w:end w:w="70" w:type="dxa"/>
            </w:tcMar>
            <w:vAlign w:val="top"/>
          </w:tcPr>
          <w:p>
            <w:pPr>
              <w:spacing w:after="0"/>
            </w:pPr>
            <w:r>
              <w:rPr>
                <w:sz w:val="13"/>
              </w:rPr>
              <w:t>Prominently identifies research-prototype status, licensed-clinician intent, no clinical clearance, and local escalation needs.</w:t>
            </w:r>
          </w:p>
        </w:tc>
      </w:tr>
      <w:tr>
        <w:trPr>
          <w:cantSplit/>
        </w:trPr>
        <w:tc>
          <w:tcPr>
            <w:tcW w:type="dxa" w:w="1080"/>
            <w:tcMar>
              <w:top w:w="65" w:type="dxa"/>
              <w:start w:w="70" w:type="dxa"/>
              <w:bottom w:w="65" w:type="dxa"/>
              <w:end w:w="70" w:type="dxa"/>
            </w:tcMar>
            <w:vAlign w:val="top"/>
            <w:shd w:fill="F7F9FA"/>
          </w:tcPr>
          <w:p>
            <w:pPr>
              <w:spacing w:after="0"/>
            </w:pPr>
            <w:r>
              <w:rPr>
                <w:sz w:val="13"/>
              </w:rPr>
              <w:t>FR-002</w:t>
            </w:r>
          </w:p>
        </w:tc>
        <w:tc>
          <w:tcPr>
            <w:tcW w:type="dxa" w:w="2664"/>
            <w:tcMar>
              <w:top w:w="65" w:type="dxa"/>
              <w:start w:w="70" w:type="dxa"/>
              <w:bottom w:w="65" w:type="dxa"/>
              <w:end w:w="70" w:type="dxa"/>
            </w:tcMar>
            <w:vAlign w:val="top"/>
            <w:shd w:fill="F7F9FA"/>
          </w:tcPr>
          <w:p>
            <w:pPr>
              <w:spacing w:after="0"/>
            </w:pPr>
            <w:r>
              <w:rPr>
                <w:sz w:val="13"/>
              </w:rPr>
              <w:t>Core patient and CBC capture</w:t>
            </w:r>
          </w:p>
        </w:tc>
        <w:tc>
          <w:tcPr>
            <w:tcW w:type="dxa" w:w="6336"/>
            <w:tcMar>
              <w:top w:w="65" w:type="dxa"/>
              <w:start w:w="70" w:type="dxa"/>
              <w:bottom w:w="65" w:type="dxa"/>
              <w:end w:w="70" w:type="dxa"/>
            </w:tcMar>
            <w:vAlign w:val="top"/>
            <w:shd w:fill="F7F9FA"/>
          </w:tcPr>
          <w:p>
            <w:pPr>
              <w:spacing w:after="0"/>
            </w:pPr>
            <w:r>
              <w:rPr>
                <w:sz w:val="13"/>
              </w:rPr>
              <w:t>Captures age, sex assigned at birth, menstruation, transfusion, altitude, Hb, MCV, RDW, RBC, WBC, ANC, platelets, flags, and local ranges.</w:t>
            </w:r>
          </w:p>
        </w:tc>
      </w:tr>
      <w:tr>
        <w:trPr>
          <w:cantSplit/>
        </w:trPr>
        <w:tc>
          <w:tcPr>
            <w:tcW w:type="dxa" w:w="1080"/>
            <w:tcMar>
              <w:top w:w="65" w:type="dxa"/>
              <w:start w:w="70" w:type="dxa"/>
              <w:bottom w:w="65" w:type="dxa"/>
              <w:end w:w="70" w:type="dxa"/>
            </w:tcMar>
            <w:vAlign w:val="top"/>
          </w:tcPr>
          <w:p>
            <w:pPr>
              <w:spacing w:after="0"/>
            </w:pPr>
            <w:r>
              <w:rPr>
                <w:sz w:val="13"/>
              </w:rPr>
              <w:t>FR-003</w:t>
            </w:r>
          </w:p>
        </w:tc>
        <w:tc>
          <w:tcPr>
            <w:tcW w:type="dxa" w:w="2664"/>
            <w:tcMar>
              <w:top w:w="65" w:type="dxa"/>
              <w:start w:w="70" w:type="dxa"/>
              <w:bottom w:w="65" w:type="dxa"/>
              <w:end w:w="70" w:type="dxa"/>
            </w:tcMar>
            <w:vAlign w:val="top"/>
          </w:tcPr>
          <w:p>
            <w:pPr>
              <w:spacing w:after="0"/>
            </w:pPr>
            <w:r>
              <w:rPr>
                <w:sz w:val="13"/>
              </w:rPr>
              <w:t>Immediate safety screen</w:t>
            </w:r>
          </w:p>
        </w:tc>
        <w:tc>
          <w:tcPr>
            <w:tcW w:type="dxa" w:w="6336"/>
            <w:tcMar>
              <w:top w:w="65" w:type="dxa"/>
              <w:start w:w="70" w:type="dxa"/>
              <w:bottom w:w="65" w:type="dxa"/>
              <w:end w:w="70" w:type="dxa"/>
            </w:tcMar>
            <w:vAlign w:val="top"/>
          </w:tcPr>
          <w:p>
            <w:pPr>
              <w:spacing w:after="0"/>
            </w:pPr>
            <w:r>
              <w:rPr>
                <w:sz w:val="13"/>
              </w:rPr>
              <w:t>Captures instability, major bleeding, respiratory/cardiac/neurologic symptoms, fever, jaundice, dark urine, fatigue, and pallor.</w:t>
            </w:r>
          </w:p>
        </w:tc>
      </w:tr>
      <w:tr>
        <w:trPr>
          <w:cantSplit/>
        </w:trPr>
        <w:tc>
          <w:tcPr>
            <w:tcW w:type="dxa" w:w="1080"/>
            <w:tcMar>
              <w:top w:w="65" w:type="dxa"/>
              <w:start w:w="70" w:type="dxa"/>
              <w:bottom w:w="65" w:type="dxa"/>
              <w:end w:w="70" w:type="dxa"/>
            </w:tcMar>
            <w:vAlign w:val="top"/>
            <w:shd w:fill="F7F9FA"/>
          </w:tcPr>
          <w:p>
            <w:pPr>
              <w:spacing w:after="0"/>
            </w:pPr>
            <w:r>
              <w:rPr>
                <w:sz w:val="13"/>
              </w:rPr>
              <w:t>FR-004</w:t>
            </w:r>
          </w:p>
        </w:tc>
        <w:tc>
          <w:tcPr>
            <w:tcW w:type="dxa" w:w="2664"/>
            <w:tcMar>
              <w:top w:w="65" w:type="dxa"/>
              <w:start w:w="70" w:type="dxa"/>
              <w:bottom w:w="65" w:type="dxa"/>
              <w:end w:w="70" w:type="dxa"/>
            </w:tcMar>
            <w:vAlign w:val="top"/>
            <w:shd w:fill="F7F9FA"/>
          </w:tcPr>
          <w:p>
            <w:pPr>
              <w:spacing w:after="0"/>
            </w:pPr>
            <w:r>
              <w:rPr>
                <w:sz w:val="13"/>
              </w:rPr>
              <w:t>Reticulocyte and iron/inflammation capture</w:t>
            </w:r>
          </w:p>
        </w:tc>
        <w:tc>
          <w:tcPr>
            <w:tcW w:type="dxa" w:w="6336"/>
            <w:tcMar>
              <w:top w:w="65" w:type="dxa"/>
              <w:start w:w="70" w:type="dxa"/>
              <w:bottom w:w="65" w:type="dxa"/>
              <w:end w:w="70" w:type="dxa"/>
            </w:tcMar>
            <w:vAlign w:val="top"/>
            <w:shd w:fill="F7F9FA"/>
          </w:tcPr>
          <w:p>
            <w:pPr>
              <w:spacing w:after="0"/>
            </w:pPr>
            <w:r>
              <w:rPr>
                <w:sz w:val="13"/>
              </w:rPr>
              <w:t>Captures response or absolute reticulocytes, ferritin, CRP, transferrin saturation, TIBC/transferrin, serum iron, and sTfR/ferritin index.</w:t>
            </w:r>
          </w:p>
        </w:tc>
      </w:tr>
      <w:tr>
        <w:trPr>
          <w:cantSplit/>
        </w:trPr>
        <w:tc>
          <w:tcPr>
            <w:tcW w:type="dxa" w:w="1080"/>
            <w:tcMar>
              <w:top w:w="65" w:type="dxa"/>
              <w:start w:w="70" w:type="dxa"/>
              <w:bottom w:w="65" w:type="dxa"/>
              <w:end w:w="70" w:type="dxa"/>
            </w:tcMar>
            <w:vAlign w:val="top"/>
          </w:tcPr>
          <w:p>
            <w:pPr>
              <w:spacing w:after="0"/>
            </w:pPr>
            <w:r>
              <w:rPr>
                <w:sz w:val="13"/>
              </w:rPr>
              <w:t>FR-005</w:t>
            </w:r>
          </w:p>
        </w:tc>
        <w:tc>
          <w:tcPr>
            <w:tcW w:type="dxa" w:w="2664"/>
            <w:tcMar>
              <w:top w:w="65" w:type="dxa"/>
              <w:start w:w="70" w:type="dxa"/>
              <w:bottom w:w="65" w:type="dxa"/>
              <w:end w:w="70" w:type="dxa"/>
            </w:tcMar>
            <w:vAlign w:val="top"/>
          </w:tcPr>
          <w:p>
            <w:pPr>
              <w:spacing w:after="0"/>
            </w:pPr>
            <w:r>
              <w:rPr>
                <w:sz w:val="13"/>
              </w:rPr>
              <w:t>Specialized laboratory capture</w:t>
            </w:r>
          </w:p>
        </w:tc>
        <w:tc>
          <w:tcPr>
            <w:tcW w:type="dxa" w:w="6336"/>
            <w:tcMar>
              <w:top w:w="65" w:type="dxa"/>
              <w:start w:w="70" w:type="dxa"/>
              <w:bottom w:w="65" w:type="dxa"/>
              <w:end w:w="70" w:type="dxa"/>
            </w:tcMar>
            <w:vAlign w:val="top"/>
          </w:tcPr>
          <w:p>
            <w:pPr>
              <w:spacing w:after="0"/>
            </w:pPr>
            <w:r>
              <w:rPr>
                <w:sz w:val="13"/>
              </w:rPr>
              <w:t>Captures hemolysis, DAT, lead/specimen, hemoglobin analysis, globin tests, G6PD timing, nutrients, renal, thyroid, and liver interpretation.</w:t>
            </w:r>
          </w:p>
        </w:tc>
      </w:tr>
      <w:tr>
        <w:trPr>
          <w:cantSplit/>
        </w:trPr>
        <w:tc>
          <w:tcPr>
            <w:tcW w:type="dxa" w:w="1080"/>
            <w:tcMar>
              <w:top w:w="65" w:type="dxa"/>
              <w:start w:w="70" w:type="dxa"/>
              <w:bottom w:w="65" w:type="dxa"/>
              <w:end w:w="70" w:type="dxa"/>
            </w:tcMar>
            <w:vAlign w:val="top"/>
            <w:shd w:fill="F7F9FA"/>
          </w:tcPr>
          <w:p>
            <w:pPr>
              <w:spacing w:after="0"/>
            </w:pPr>
            <w:r>
              <w:rPr>
                <w:sz w:val="13"/>
              </w:rPr>
              <w:t>FR-006</w:t>
            </w:r>
          </w:p>
        </w:tc>
        <w:tc>
          <w:tcPr>
            <w:tcW w:type="dxa" w:w="2664"/>
            <w:tcMar>
              <w:top w:w="65" w:type="dxa"/>
              <w:start w:w="70" w:type="dxa"/>
              <w:bottom w:w="65" w:type="dxa"/>
              <w:end w:w="70" w:type="dxa"/>
            </w:tcMar>
            <w:vAlign w:val="top"/>
            <w:shd w:fill="F7F9FA"/>
          </w:tcPr>
          <w:p>
            <w:pPr>
              <w:spacing w:after="0"/>
            </w:pPr>
            <w:r>
              <w:rPr>
                <w:sz w:val="13"/>
              </w:rPr>
              <w:t>History/exposure questionnaire</w:t>
            </w:r>
          </w:p>
        </w:tc>
        <w:tc>
          <w:tcPr>
            <w:tcW w:type="dxa" w:w="6336"/>
            <w:tcMar>
              <w:top w:w="65" w:type="dxa"/>
              <w:start w:w="70" w:type="dxa"/>
              <w:bottom w:w="65" w:type="dxa"/>
              <w:end w:w="70" w:type="dxa"/>
            </w:tcMar>
            <w:vAlign w:val="top"/>
            <w:shd w:fill="F7F9FA"/>
          </w:tcPr>
          <w:p>
            <w:pPr>
              <w:spacing w:after="0"/>
            </w:pPr>
            <w:r>
              <w:rPr>
                <w:sz w:val="13"/>
              </w:rPr>
              <w:t>Captures dietary, bleeding, inflammatory, renal, infectious, medication, toxin, travel, inherited, congenital, and prior-response factors.</w:t>
            </w:r>
          </w:p>
        </w:tc>
      </w:tr>
      <w:tr>
        <w:trPr>
          <w:cantSplit/>
        </w:trPr>
        <w:tc>
          <w:tcPr>
            <w:tcW w:type="dxa" w:w="1080"/>
            <w:tcMar>
              <w:top w:w="65" w:type="dxa"/>
              <w:start w:w="70" w:type="dxa"/>
              <w:bottom w:w="65" w:type="dxa"/>
              <w:end w:w="70" w:type="dxa"/>
            </w:tcMar>
            <w:vAlign w:val="top"/>
          </w:tcPr>
          <w:p>
            <w:pPr>
              <w:spacing w:after="0"/>
            </w:pPr>
            <w:r>
              <w:rPr>
                <w:sz w:val="13"/>
              </w:rPr>
              <w:t>FR-007</w:t>
            </w:r>
          </w:p>
        </w:tc>
        <w:tc>
          <w:tcPr>
            <w:tcW w:type="dxa" w:w="2664"/>
            <w:tcMar>
              <w:top w:w="65" w:type="dxa"/>
              <w:start w:w="70" w:type="dxa"/>
              <w:bottom w:w="65" w:type="dxa"/>
              <w:end w:w="70" w:type="dxa"/>
            </w:tcMar>
            <w:vAlign w:val="top"/>
          </w:tcPr>
          <w:p>
            <w:pPr>
              <w:spacing w:after="0"/>
            </w:pPr>
            <w:r>
              <w:rPr>
                <w:sz w:val="13"/>
              </w:rPr>
              <w:t>Smear and exam capture</w:t>
            </w:r>
          </w:p>
        </w:tc>
        <w:tc>
          <w:tcPr>
            <w:tcW w:type="dxa" w:w="6336"/>
            <w:tcMar>
              <w:top w:w="65" w:type="dxa"/>
              <w:start w:w="70" w:type="dxa"/>
              <w:bottom w:w="65" w:type="dxa"/>
              <w:end w:w="70" w:type="dxa"/>
            </w:tcMar>
            <w:vAlign w:val="top"/>
          </w:tcPr>
          <w:p>
            <w:pPr>
              <w:spacing w:after="0"/>
            </w:pPr>
            <w:r>
              <w:rPr>
                <w:sz w:val="13"/>
              </w:rPr>
              <w:t>Captures target cells, spherocytes, schistocytes, bite/blister cells, sickle cells, stippling, hypersegmentation, blasts, teardrops, nucleated RBCs, elliptocytes, organomegaly, lymphadenopathy, petechiae, and bruising.</w:t>
            </w:r>
          </w:p>
        </w:tc>
      </w:tr>
      <w:tr>
        <w:trPr>
          <w:cantSplit/>
        </w:trPr>
        <w:tc>
          <w:tcPr>
            <w:tcW w:type="dxa" w:w="1080"/>
            <w:tcMar>
              <w:top w:w="65" w:type="dxa"/>
              <w:start w:w="70" w:type="dxa"/>
              <w:bottom w:w="65" w:type="dxa"/>
              <w:end w:w="70" w:type="dxa"/>
            </w:tcMar>
            <w:vAlign w:val="top"/>
            <w:shd w:fill="F7F9FA"/>
          </w:tcPr>
          <w:p>
            <w:pPr>
              <w:spacing w:after="0"/>
            </w:pPr>
            <w:r>
              <w:rPr>
                <w:sz w:val="13"/>
              </w:rPr>
              <w:t>FR-008</w:t>
            </w:r>
          </w:p>
        </w:tc>
        <w:tc>
          <w:tcPr>
            <w:tcW w:type="dxa" w:w="2664"/>
            <w:tcMar>
              <w:top w:w="65" w:type="dxa"/>
              <w:start w:w="70" w:type="dxa"/>
              <w:bottom w:w="65" w:type="dxa"/>
              <w:end w:w="70" w:type="dxa"/>
            </w:tcMar>
            <w:vAlign w:val="top"/>
            <w:shd w:fill="F7F9FA"/>
          </w:tcPr>
          <w:p>
            <w:pPr>
              <w:spacing w:after="0"/>
            </w:pPr>
            <w:r>
              <w:rPr>
                <w:sz w:val="13"/>
              </w:rPr>
              <w:t>Reference-range selection</w:t>
            </w:r>
          </w:p>
        </w:tc>
        <w:tc>
          <w:tcPr>
            <w:tcW w:type="dxa" w:w="6336"/>
            <w:tcMar>
              <w:top w:w="65" w:type="dxa"/>
              <w:start w:w="70" w:type="dxa"/>
              <w:bottom w:w="65" w:type="dxa"/>
              <w:end w:w="70" w:type="dxa"/>
            </w:tcMar>
            <w:vAlign w:val="top"/>
            <w:shd w:fill="F7F9FA"/>
          </w:tcPr>
          <w:p>
            <w:pPr>
              <w:spacing w:after="0"/>
            </w:pPr>
            <w:r>
              <w:rPr>
                <w:sz w:val="13"/>
              </w:rPr>
              <w:t>Uses supplied local limits first; otherwise selects encoded AAP age/sex fallback when in scope.</w:t>
            </w:r>
          </w:p>
        </w:tc>
      </w:tr>
      <w:tr>
        <w:trPr>
          <w:cantSplit/>
        </w:trPr>
        <w:tc>
          <w:tcPr>
            <w:tcW w:type="dxa" w:w="1080"/>
            <w:tcMar>
              <w:top w:w="65" w:type="dxa"/>
              <w:start w:w="70" w:type="dxa"/>
              <w:bottom w:w="65" w:type="dxa"/>
              <w:end w:w="70" w:type="dxa"/>
            </w:tcMar>
            <w:vAlign w:val="top"/>
          </w:tcPr>
          <w:p>
            <w:pPr>
              <w:spacing w:after="0"/>
            </w:pPr>
            <w:r>
              <w:rPr>
                <w:sz w:val="13"/>
              </w:rPr>
              <w:t>FR-009</w:t>
            </w:r>
          </w:p>
        </w:tc>
        <w:tc>
          <w:tcPr>
            <w:tcW w:type="dxa" w:w="2664"/>
            <w:tcMar>
              <w:top w:w="65" w:type="dxa"/>
              <w:start w:w="70" w:type="dxa"/>
              <w:bottom w:w="65" w:type="dxa"/>
              <w:end w:w="70" w:type="dxa"/>
            </w:tcMar>
            <w:vAlign w:val="top"/>
          </w:tcPr>
          <w:p>
            <w:pPr>
              <w:spacing w:after="0"/>
            </w:pPr>
            <w:r>
              <w:rPr>
                <w:sz w:val="13"/>
              </w:rPr>
              <w:t>Fact derivation</w:t>
            </w:r>
          </w:p>
        </w:tc>
        <w:tc>
          <w:tcPr>
            <w:tcW w:type="dxa" w:w="6336"/>
            <w:tcMar>
              <w:top w:w="65" w:type="dxa"/>
              <w:start w:w="70" w:type="dxa"/>
              <w:bottom w:w="65" w:type="dxa"/>
              <w:end w:w="70" w:type="dxa"/>
            </w:tcMar>
            <w:vAlign w:val="top"/>
          </w:tcPr>
          <w:p>
            <w:pPr>
              <w:spacing w:after="0"/>
            </w:pPr>
            <w:r>
              <w:rPr>
                <w:sz w:val="13"/>
              </w:rPr>
              <w:t>Normalizes input into anemia presence, morphology, RDW, reticulocyte, iron, inflammation, hemolysis, cytopenia, lead, and other rule facts.</w:t>
            </w:r>
          </w:p>
        </w:tc>
      </w:tr>
      <w:tr>
        <w:trPr>
          <w:cantSplit/>
        </w:trPr>
        <w:tc>
          <w:tcPr>
            <w:tcW w:type="dxa" w:w="1080"/>
            <w:tcMar>
              <w:top w:w="65" w:type="dxa"/>
              <w:start w:w="70" w:type="dxa"/>
              <w:bottom w:w="65" w:type="dxa"/>
              <w:end w:w="70" w:type="dxa"/>
            </w:tcMar>
            <w:vAlign w:val="top"/>
            <w:shd w:fill="F7F9FA"/>
          </w:tcPr>
          <w:p>
            <w:pPr>
              <w:spacing w:after="0"/>
            </w:pPr>
            <w:r>
              <w:rPr>
                <w:sz w:val="13"/>
              </w:rPr>
              <w:t>FR-010</w:t>
            </w:r>
          </w:p>
        </w:tc>
        <w:tc>
          <w:tcPr>
            <w:tcW w:type="dxa" w:w="2664"/>
            <w:tcMar>
              <w:top w:w="65" w:type="dxa"/>
              <w:start w:w="70" w:type="dxa"/>
              <w:bottom w:w="65" w:type="dxa"/>
              <w:end w:w="70" w:type="dxa"/>
            </w:tcMar>
            <w:vAlign w:val="top"/>
            <w:shd w:fill="F7F9FA"/>
          </w:tcPr>
          <w:p>
            <w:pPr>
              <w:spacing w:after="0"/>
            </w:pPr>
            <w:r>
              <w:rPr>
                <w:sz w:val="13"/>
              </w:rPr>
              <w:t>Rule execution</w:t>
            </w:r>
          </w:p>
        </w:tc>
        <w:tc>
          <w:tcPr>
            <w:tcW w:type="dxa" w:w="6336"/>
            <w:tcMar>
              <w:top w:w="65" w:type="dxa"/>
              <w:start w:w="70" w:type="dxa"/>
              <w:bottom w:w="65" w:type="dxa"/>
              <w:end w:w="70" w:type="dxa"/>
            </w:tcMar>
            <w:vAlign w:val="top"/>
            <w:shd w:fill="F7F9FA"/>
          </w:tcPr>
          <w:p>
            <w:pPr>
              <w:spacing w:after="0"/>
            </w:pPr>
            <w:r>
              <w:rPr>
                <w:sz w:val="13"/>
              </w:rPr>
              <w:t>Evaluates every machine-readable condition and records matched/not-matched state.</w:t>
            </w:r>
          </w:p>
        </w:tc>
      </w:tr>
      <w:tr>
        <w:trPr>
          <w:cantSplit/>
        </w:trPr>
        <w:tc>
          <w:tcPr>
            <w:tcW w:type="dxa" w:w="1080"/>
            <w:tcMar>
              <w:top w:w="65" w:type="dxa"/>
              <w:start w:w="70" w:type="dxa"/>
              <w:bottom w:w="65" w:type="dxa"/>
              <w:end w:w="70" w:type="dxa"/>
            </w:tcMar>
            <w:vAlign w:val="top"/>
          </w:tcPr>
          <w:p>
            <w:pPr>
              <w:spacing w:after="0"/>
            </w:pPr>
            <w:r>
              <w:rPr>
                <w:sz w:val="13"/>
              </w:rPr>
              <w:t>FR-011</w:t>
            </w:r>
          </w:p>
        </w:tc>
        <w:tc>
          <w:tcPr>
            <w:tcW w:type="dxa" w:w="2664"/>
            <w:tcMar>
              <w:top w:w="65" w:type="dxa"/>
              <w:start w:w="70" w:type="dxa"/>
              <w:bottom w:w="65" w:type="dxa"/>
              <w:end w:w="70" w:type="dxa"/>
            </w:tcMar>
            <w:vAlign w:val="top"/>
          </w:tcPr>
          <w:p>
            <w:pPr>
              <w:spacing w:after="0"/>
            </w:pPr>
            <w:r>
              <w:rPr>
                <w:sz w:val="13"/>
              </w:rPr>
              <w:t>Pattern merge and rank</w:t>
            </w:r>
          </w:p>
        </w:tc>
        <w:tc>
          <w:tcPr>
            <w:tcW w:type="dxa" w:w="6336"/>
            <w:tcMar>
              <w:top w:w="65" w:type="dxa"/>
              <w:start w:w="70" w:type="dxa"/>
              <w:bottom w:w="65" w:type="dxa"/>
              <w:end w:w="70" w:type="dxa"/>
            </w:tcMar>
            <w:vAlign w:val="top"/>
          </w:tcPr>
          <w:p>
            <w:pPr>
              <w:spacing w:after="0"/>
            </w:pPr>
            <w:r>
              <w:rPr>
                <w:sz w:val="13"/>
              </w:rPr>
              <w:t>Merges rule support into 26 diagnostic patterns and sorts by deterministic level and points; ranking is explicitly not probability.</w:t>
            </w:r>
          </w:p>
        </w:tc>
      </w:tr>
      <w:tr>
        <w:trPr>
          <w:cantSplit/>
        </w:trPr>
        <w:tc>
          <w:tcPr>
            <w:tcW w:type="dxa" w:w="1080"/>
            <w:tcMar>
              <w:top w:w="65" w:type="dxa"/>
              <w:start w:w="70" w:type="dxa"/>
              <w:bottom w:w="65" w:type="dxa"/>
              <w:end w:w="70" w:type="dxa"/>
            </w:tcMar>
            <w:vAlign w:val="top"/>
            <w:shd w:fill="F7F9FA"/>
          </w:tcPr>
          <w:p>
            <w:pPr>
              <w:spacing w:after="0"/>
            </w:pPr>
            <w:r>
              <w:rPr>
                <w:sz w:val="13"/>
              </w:rPr>
              <w:t>FR-012</w:t>
            </w:r>
          </w:p>
        </w:tc>
        <w:tc>
          <w:tcPr>
            <w:tcW w:type="dxa" w:w="2664"/>
            <w:tcMar>
              <w:top w:w="65" w:type="dxa"/>
              <w:start w:w="70" w:type="dxa"/>
              <w:bottom w:w="65" w:type="dxa"/>
              <w:end w:w="70" w:type="dxa"/>
            </w:tcMar>
            <w:vAlign w:val="top"/>
            <w:shd w:fill="F7F9FA"/>
          </w:tcPr>
          <w:p>
            <w:pPr>
              <w:spacing w:after="0"/>
            </w:pPr>
            <w:r>
              <w:rPr>
                <w:sz w:val="13"/>
              </w:rPr>
              <w:t>Safety output</w:t>
            </w:r>
          </w:p>
        </w:tc>
        <w:tc>
          <w:tcPr>
            <w:tcW w:type="dxa" w:w="6336"/>
            <w:tcMar>
              <w:top w:w="65" w:type="dxa"/>
              <w:start w:w="70" w:type="dxa"/>
              <w:bottom w:w="65" w:type="dxa"/>
              <w:end w:w="70" w:type="dxa"/>
            </w:tcMar>
            <w:vAlign w:val="top"/>
            <w:shd w:fill="F7F9FA"/>
          </w:tcPr>
          <w:p>
            <w:pPr>
              <w:spacing w:after="0"/>
            </w:pPr>
            <w:r>
              <w:rPr>
                <w:sz w:val="13"/>
              </w:rPr>
              <w:t>Returns emergency, urgent, and important alerts before the differential.</w:t>
            </w:r>
          </w:p>
        </w:tc>
      </w:tr>
      <w:tr>
        <w:trPr>
          <w:cantSplit/>
        </w:trPr>
        <w:tc>
          <w:tcPr>
            <w:tcW w:type="dxa" w:w="1080"/>
            <w:tcMar>
              <w:top w:w="65" w:type="dxa"/>
              <w:start w:w="70" w:type="dxa"/>
              <w:bottom w:w="65" w:type="dxa"/>
              <w:end w:w="70" w:type="dxa"/>
            </w:tcMar>
            <w:vAlign w:val="top"/>
          </w:tcPr>
          <w:p>
            <w:pPr>
              <w:spacing w:after="0"/>
            </w:pPr>
            <w:r>
              <w:rPr>
                <w:sz w:val="13"/>
              </w:rPr>
              <w:t>FR-013</w:t>
            </w:r>
          </w:p>
        </w:tc>
        <w:tc>
          <w:tcPr>
            <w:tcW w:type="dxa" w:w="2664"/>
            <w:tcMar>
              <w:top w:w="65" w:type="dxa"/>
              <w:start w:w="70" w:type="dxa"/>
              <w:bottom w:w="65" w:type="dxa"/>
              <w:end w:w="70" w:type="dxa"/>
            </w:tcMar>
            <w:vAlign w:val="top"/>
          </w:tcPr>
          <w:p>
            <w:pPr>
              <w:spacing w:after="0"/>
            </w:pPr>
            <w:r>
              <w:rPr>
                <w:sz w:val="13"/>
              </w:rPr>
              <w:t>Adaptive follow-up</w:t>
            </w:r>
          </w:p>
        </w:tc>
        <w:tc>
          <w:tcPr>
            <w:tcW w:type="dxa" w:w="6336"/>
            <w:tcMar>
              <w:top w:w="65" w:type="dxa"/>
              <w:start w:w="70" w:type="dxa"/>
              <w:bottom w:w="65" w:type="dxa"/>
              <w:end w:w="70" w:type="dxa"/>
            </w:tcMar>
            <w:vAlign w:val="top"/>
          </w:tcPr>
          <w:p>
            <w:pPr>
              <w:spacing w:after="0"/>
            </w:pPr>
            <w:r>
              <w:rPr>
                <w:sz w:val="13"/>
              </w:rPr>
              <w:t>Returns the highest-priority unanswered questions according to the active branch.</w:t>
            </w:r>
          </w:p>
        </w:tc>
      </w:tr>
      <w:tr>
        <w:trPr>
          <w:cantSplit/>
        </w:trPr>
        <w:tc>
          <w:tcPr>
            <w:tcW w:type="dxa" w:w="1080"/>
            <w:tcMar>
              <w:top w:w="65" w:type="dxa"/>
              <w:start w:w="70" w:type="dxa"/>
              <w:bottom w:w="65" w:type="dxa"/>
              <w:end w:w="70" w:type="dxa"/>
            </w:tcMar>
            <w:vAlign w:val="top"/>
            <w:shd w:fill="F7F9FA"/>
          </w:tcPr>
          <w:p>
            <w:pPr>
              <w:spacing w:after="0"/>
            </w:pPr>
            <w:r>
              <w:rPr>
                <w:sz w:val="13"/>
              </w:rPr>
              <w:t>FR-014</w:t>
            </w:r>
          </w:p>
        </w:tc>
        <w:tc>
          <w:tcPr>
            <w:tcW w:type="dxa" w:w="2664"/>
            <w:tcMar>
              <w:top w:w="65" w:type="dxa"/>
              <w:start w:w="70" w:type="dxa"/>
              <w:bottom w:w="65" w:type="dxa"/>
              <w:end w:w="70" w:type="dxa"/>
            </w:tcMar>
            <w:vAlign w:val="top"/>
            <w:shd w:fill="F7F9FA"/>
          </w:tcPr>
          <w:p>
            <w:pPr>
              <w:spacing w:after="0"/>
            </w:pPr>
            <w:r>
              <w:rPr>
                <w:sz w:val="13"/>
              </w:rPr>
              <w:t>Evidence and rationale</w:t>
            </w:r>
          </w:p>
        </w:tc>
        <w:tc>
          <w:tcPr>
            <w:tcW w:type="dxa" w:w="6336"/>
            <w:tcMar>
              <w:top w:w="65" w:type="dxa"/>
              <w:start w:w="70" w:type="dxa"/>
              <w:bottom w:w="65" w:type="dxa"/>
              <w:end w:w="70" w:type="dxa"/>
            </w:tcMar>
            <w:vAlign w:val="top"/>
            <w:shd w:fill="F7F9FA"/>
          </w:tcPr>
          <w:p>
            <w:pPr>
              <w:spacing w:after="0"/>
            </w:pPr>
            <w:r>
              <w:rPr>
                <w:sz w:val="13"/>
              </w:rPr>
              <w:t>Shows supporting/conflicting findings, rule IDs, evidence chips, and suggested confirmatory steps.</w:t>
            </w:r>
          </w:p>
        </w:tc>
      </w:tr>
      <w:tr>
        <w:trPr>
          <w:cantSplit/>
        </w:trPr>
        <w:tc>
          <w:tcPr>
            <w:tcW w:type="dxa" w:w="1080"/>
            <w:tcMar>
              <w:top w:w="65" w:type="dxa"/>
              <w:start w:w="70" w:type="dxa"/>
              <w:bottom w:w="65" w:type="dxa"/>
              <w:end w:w="70" w:type="dxa"/>
            </w:tcMar>
            <w:vAlign w:val="top"/>
          </w:tcPr>
          <w:p>
            <w:pPr>
              <w:spacing w:after="0"/>
            </w:pPr>
            <w:r>
              <w:rPr>
                <w:sz w:val="13"/>
              </w:rPr>
              <w:t>FR-015</w:t>
            </w:r>
          </w:p>
        </w:tc>
        <w:tc>
          <w:tcPr>
            <w:tcW w:type="dxa" w:w="2664"/>
            <w:tcMar>
              <w:top w:w="65" w:type="dxa"/>
              <w:start w:w="70" w:type="dxa"/>
              <w:bottom w:w="65" w:type="dxa"/>
              <w:end w:w="70" w:type="dxa"/>
            </w:tcMar>
            <w:vAlign w:val="top"/>
          </w:tcPr>
          <w:p>
            <w:pPr>
              <w:spacing w:after="0"/>
            </w:pPr>
            <w:r>
              <w:rPr>
                <w:sz w:val="13"/>
              </w:rPr>
              <w:t>Audit export</w:t>
            </w:r>
          </w:p>
        </w:tc>
        <w:tc>
          <w:tcPr>
            <w:tcW w:type="dxa" w:w="6336"/>
            <w:tcMar>
              <w:top w:w="65" w:type="dxa"/>
              <w:start w:w="70" w:type="dxa"/>
              <w:bottom w:w="65" w:type="dxa"/>
              <w:end w:w="70" w:type="dxa"/>
            </w:tcMar>
            <w:vAlign w:val="top"/>
          </w:tcPr>
          <w:p>
            <w:pPr>
              <w:spacing w:after="0"/>
            </w:pPr>
            <w:r>
              <w:rPr>
                <w:sz w:val="13"/>
              </w:rPr>
              <w:t>Exposes normalized input, result, KB version, and evaluated rule trace as JSON; supports copy/download.</w:t>
            </w:r>
          </w:p>
        </w:tc>
      </w:tr>
      <w:tr>
        <w:trPr>
          <w:cantSplit/>
        </w:trPr>
        <w:tc>
          <w:tcPr>
            <w:tcW w:type="dxa" w:w="1080"/>
            <w:tcMar>
              <w:top w:w="65" w:type="dxa"/>
              <w:start w:w="70" w:type="dxa"/>
              <w:bottom w:w="65" w:type="dxa"/>
              <w:end w:w="70" w:type="dxa"/>
            </w:tcMar>
            <w:vAlign w:val="top"/>
            <w:shd w:fill="F7F9FA"/>
          </w:tcPr>
          <w:p>
            <w:pPr>
              <w:spacing w:after="0"/>
            </w:pPr>
            <w:r>
              <w:rPr>
                <w:sz w:val="13"/>
              </w:rPr>
              <w:t>FR-016</w:t>
            </w:r>
          </w:p>
        </w:tc>
        <w:tc>
          <w:tcPr>
            <w:tcW w:type="dxa" w:w="2664"/>
            <w:tcMar>
              <w:top w:w="65" w:type="dxa"/>
              <w:start w:w="70" w:type="dxa"/>
              <w:bottom w:w="65" w:type="dxa"/>
              <w:end w:w="70" w:type="dxa"/>
            </w:tcMar>
            <w:vAlign w:val="top"/>
            <w:shd w:fill="F7F9FA"/>
          </w:tcPr>
          <w:p>
            <w:pPr>
              <w:spacing w:after="0"/>
            </w:pPr>
            <w:r>
              <w:rPr>
                <w:sz w:val="13"/>
              </w:rPr>
              <w:t>Worked examples</w:t>
            </w:r>
          </w:p>
        </w:tc>
        <w:tc>
          <w:tcPr>
            <w:tcW w:type="dxa" w:w="6336"/>
            <w:tcMar>
              <w:top w:w="65" w:type="dxa"/>
              <w:start w:w="70" w:type="dxa"/>
              <w:bottom w:w="65" w:type="dxa"/>
              <w:end w:w="70" w:type="dxa"/>
            </w:tcMar>
            <w:vAlign w:val="top"/>
            <w:shd w:fill="F7F9FA"/>
          </w:tcPr>
          <w:p>
            <w:pPr>
              <w:spacing w:after="0"/>
            </w:pPr>
            <w:r>
              <w:rPr>
                <w:sz w:val="13"/>
              </w:rPr>
              <w:t>Loads six de-identified example cases spanning IDA, thalassemia, inflammation, hemolysis, lead, and marrow red flags.</w:t>
            </w:r>
          </w:p>
        </w:tc>
      </w:tr>
      <w:tr>
        <w:trPr>
          <w:cantSplit/>
        </w:trPr>
        <w:tc>
          <w:tcPr>
            <w:tcW w:type="dxa" w:w="1080"/>
            <w:tcMar>
              <w:top w:w="65" w:type="dxa"/>
              <w:start w:w="70" w:type="dxa"/>
              <w:bottom w:w="65" w:type="dxa"/>
              <w:end w:w="70" w:type="dxa"/>
            </w:tcMar>
            <w:vAlign w:val="top"/>
          </w:tcPr>
          <w:p>
            <w:pPr>
              <w:spacing w:after="0"/>
            </w:pPr>
            <w:r>
              <w:rPr>
                <w:sz w:val="13"/>
              </w:rPr>
              <w:t>FR-017</w:t>
            </w:r>
          </w:p>
        </w:tc>
        <w:tc>
          <w:tcPr>
            <w:tcW w:type="dxa" w:w="2664"/>
            <w:tcMar>
              <w:top w:w="65" w:type="dxa"/>
              <w:start w:w="70" w:type="dxa"/>
              <w:bottom w:w="65" w:type="dxa"/>
              <w:end w:w="70" w:type="dxa"/>
            </w:tcMar>
            <w:vAlign w:val="top"/>
          </w:tcPr>
          <w:p>
            <w:pPr>
              <w:spacing w:after="0"/>
            </w:pPr>
            <w:r>
              <w:rPr>
                <w:sz w:val="13"/>
              </w:rPr>
              <w:t>Algorithm Explorer</w:t>
            </w:r>
          </w:p>
        </w:tc>
        <w:tc>
          <w:tcPr>
            <w:tcW w:type="dxa" w:w="6336"/>
            <w:tcMar>
              <w:top w:w="65" w:type="dxa"/>
              <w:start w:w="70" w:type="dxa"/>
              <w:bottom w:w="65" w:type="dxa"/>
              <w:end w:w="70" w:type="dxa"/>
            </w:tcMar>
            <w:vAlign w:val="top"/>
          </w:tcPr>
          <w:p>
            <w:pPr>
              <w:spacing w:after="0"/>
            </w:pPr>
            <w:r>
              <w:rPr>
                <w:sz w:val="13"/>
              </w:rPr>
              <w:t>Expands six algorithm stages with data points, expressions, thresholds, studies, examples, branches, and live walkthrough.</w:t>
            </w:r>
          </w:p>
        </w:tc>
      </w:tr>
      <w:tr>
        <w:trPr>
          <w:cantSplit/>
        </w:trPr>
        <w:tc>
          <w:tcPr>
            <w:tcW w:type="dxa" w:w="1080"/>
            <w:tcMar>
              <w:top w:w="65" w:type="dxa"/>
              <w:start w:w="70" w:type="dxa"/>
              <w:bottom w:w="65" w:type="dxa"/>
              <w:end w:w="70" w:type="dxa"/>
            </w:tcMar>
            <w:vAlign w:val="top"/>
            <w:shd w:fill="F7F9FA"/>
          </w:tcPr>
          <w:p>
            <w:pPr>
              <w:spacing w:after="0"/>
            </w:pPr>
            <w:r>
              <w:rPr>
                <w:sz w:val="13"/>
              </w:rPr>
              <w:t>FR-018</w:t>
            </w:r>
          </w:p>
        </w:tc>
        <w:tc>
          <w:tcPr>
            <w:tcW w:type="dxa" w:w="2664"/>
            <w:tcMar>
              <w:top w:w="65" w:type="dxa"/>
              <w:start w:w="70" w:type="dxa"/>
              <w:bottom w:w="65" w:type="dxa"/>
              <w:end w:w="70" w:type="dxa"/>
            </w:tcMar>
            <w:vAlign w:val="top"/>
            <w:shd w:fill="F7F9FA"/>
          </w:tcPr>
          <w:p>
            <w:pPr>
              <w:spacing w:after="0"/>
            </w:pPr>
            <w:r>
              <w:rPr>
                <w:sz w:val="13"/>
              </w:rPr>
              <w:t>Evidence and rule catalog</w:t>
            </w:r>
          </w:p>
        </w:tc>
        <w:tc>
          <w:tcPr>
            <w:tcW w:type="dxa" w:w="6336"/>
            <w:tcMar>
              <w:top w:w="65" w:type="dxa"/>
              <w:start w:w="70" w:type="dxa"/>
              <w:bottom w:w="65" w:type="dxa"/>
              <w:end w:w="70" w:type="dxa"/>
            </w:tcMar>
            <w:vAlign w:val="top"/>
            <w:shd w:fill="F7F9FA"/>
          </w:tcPr>
          <w:p>
            <w:pPr>
              <w:spacing w:after="0"/>
            </w:pPr>
            <w:r>
              <w:rPr>
                <w:sz w:val="13"/>
              </w:rPr>
              <w:t>Displays evidence registry and searchable deterministic rules.</w:t>
            </w:r>
          </w:p>
        </w:tc>
      </w:tr>
      <w:tr>
        <w:trPr>
          <w:cantSplit/>
        </w:trPr>
        <w:tc>
          <w:tcPr>
            <w:tcW w:type="dxa" w:w="1080"/>
            <w:tcMar>
              <w:top w:w="65" w:type="dxa"/>
              <w:start w:w="70" w:type="dxa"/>
              <w:bottom w:w="65" w:type="dxa"/>
              <w:end w:w="70" w:type="dxa"/>
            </w:tcMar>
            <w:vAlign w:val="top"/>
          </w:tcPr>
          <w:p>
            <w:pPr>
              <w:spacing w:after="0"/>
            </w:pPr>
            <w:r>
              <w:rPr>
                <w:sz w:val="13"/>
              </w:rPr>
              <w:t>FR-019</w:t>
            </w:r>
          </w:p>
        </w:tc>
        <w:tc>
          <w:tcPr>
            <w:tcW w:type="dxa" w:w="2664"/>
            <w:tcMar>
              <w:top w:w="65" w:type="dxa"/>
              <w:start w:w="70" w:type="dxa"/>
              <w:bottom w:w="65" w:type="dxa"/>
              <w:end w:w="70" w:type="dxa"/>
            </w:tcMar>
            <w:vAlign w:val="top"/>
          </w:tcPr>
          <w:p>
            <w:pPr>
              <w:spacing w:after="0"/>
            </w:pPr>
            <w:r>
              <w:rPr>
                <w:sz w:val="13"/>
              </w:rPr>
              <w:t>Print/copy summary</w:t>
            </w:r>
          </w:p>
        </w:tc>
        <w:tc>
          <w:tcPr>
            <w:tcW w:type="dxa" w:w="6336"/>
            <w:tcMar>
              <w:top w:w="65" w:type="dxa"/>
              <w:start w:w="70" w:type="dxa"/>
              <w:bottom w:w="65" w:type="dxa"/>
              <w:end w:w="70" w:type="dxa"/>
            </w:tcMar>
            <w:vAlign w:val="top"/>
          </w:tcPr>
          <w:p>
            <w:pPr>
              <w:spacing w:after="0"/>
            </w:pPr>
            <w:r>
              <w:rPr>
                <w:sz w:val="13"/>
              </w:rPr>
              <w:t>Provides print and copy controls for the clinician-facing result.</w:t>
            </w:r>
          </w:p>
        </w:tc>
      </w:tr>
      <w:tr>
        <w:trPr>
          <w:cantSplit/>
        </w:trPr>
        <w:tc>
          <w:tcPr>
            <w:tcW w:type="dxa" w:w="1080"/>
            <w:tcMar>
              <w:top w:w="65" w:type="dxa"/>
              <w:start w:w="70" w:type="dxa"/>
              <w:bottom w:w="65" w:type="dxa"/>
              <w:end w:w="70" w:type="dxa"/>
            </w:tcMar>
            <w:vAlign w:val="top"/>
            <w:shd w:fill="F7F9FA"/>
          </w:tcPr>
          <w:p>
            <w:pPr>
              <w:spacing w:after="0"/>
            </w:pPr>
            <w:r>
              <w:rPr>
                <w:sz w:val="13"/>
              </w:rPr>
              <w:t>FR-020</w:t>
            </w:r>
          </w:p>
        </w:tc>
        <w:tc>
          <w:tcPr>
            <w:tcW w:type="dxa" w:w="2664"/>
            <w:tcMar>
              <w:top w:w="65" w:type="dxa"/>
              <w:start w:w="70" w:type="dxa"/>
              <w:bottom w:w="65" w:type="dxa"/>
              <w:end w:w="70" w:type="dxa"/>
            </w:tcMar>
            <w:vAlign w:val="top"/>
            <w:shd w:fill="F7F9FA"/>
          </w:tcPr>
          <w:p>
            <w:pPr>
              <w:spacing w:after="0"/>
            </w:pPr>
            <w:r>
              <w:rPr>
                <w:sz w:val="13"/>
              </w:rPr>
              <w:t>Prototype REST API</w:t>
            </w:r>
          </w:p>
        </w:tc>
        <w:tc>
          <w:tcPr>
            <w:tcW w:type="dxa" w:w="6336"/>
            <w:tcMar>
              <w:top w:w="65" w:type="dxa"/>
              <w:start w:w="70" w:type="dxa"/>
              <w:bottom w:w="65" w:type="dxa"/>
              <w:end w:w="70" w:type="dxa"/>
            </w:tcMar>
            <w:vAlign w:val="top"/>
            <w:shd w:fill="F7F9FA"/>
          </w:tcPr>
          <w:p>
            <w:pPr>
              <w:spacing w:after="0"/>
            </w:pPr>
            <w:r>
              <w:rPr>
                <w:sz w:val="13"/>
              </w:rPr>
              <w:t>Exposes health, knowledge-base summary, and deterministic assessment endpoints.</w:t>
            </w:r>
          </w:p>
        </w:tc>
      </w:tr>
    </w:tbl>
    <w:p>
      <w:pPr>
        <w:spacing w:after="20"/>
      </w:pPr>
    </w:p>
    <w:p>
      <w:pPr>
        <w:jc w:val="center"/>
      </w:pPr>
      <w:r>
        <w:drawing>
          <wp:inline xmlns:a="http://schemas.openxmlformats.org/drawingml/2006/main" xmlns:pic="http://schemas.openxmlformats.org/drawingml/2006/picture">
            <wp:extent cx="6172200" cy="3508853"/>
            <wp:docPr id="2" name="Picture 2"/>
            <wp:cNvGraphicFramePr>
              <a:graphicFrameLocks noChangeAspect="1"/>
            </wp:cNvGraphicFramePr>
            <a:graphic>
              <a:graphicData uri="http://schemas.openxmlformats.org/drawingml/2006/picture">
                <pic:pic>
                  <pic:nvPicPr>
                    <pic:cNvPr id="0" name="current-result-overview.png"/>
                    <pic:cNvPicPr/>
                  </pic:nvPicPr>
                  <pic:blipFill>
                    <a:blip r:embed="rId12"/>
                    <a:stretch>
                      <a:fillRect/>
                    </a:stretch>
                  </pic:blipFill>
                  <pic:spPr>
                    <a:xfrm>
                      <a:off x="0" y="0"/>
                      <a:ext cx="6172200" cy="3508853"/>
                    </a:xfrm>
                    <a:prstGeom prst="rect"/>
                  </pic:spPr>
                </pic:pic>
              </a:graphicData>
            </a:graphic>
          </wp:inline>
        </w:drawing>
      </w:r>
    </w:p>
    <w:p>
      <w:pPr>
        <w:pStyle w:val="CaptionCustom"/>
      </w:pPr>
      <w:r>
        <w:rPr>
          <w:sz w:val="16"/>
        </w:rPr>
        <w:t>Figure 2. Current worked assessment output: classification, safety, ranked pattern differential, rationale, citations, and next questions.</w:t>
      </w:r>
    </w:p>
    <w:p>
      <w:pPr>
        <w:pStyle w:val="Heading1"/>
      </w:pPr>
      <w:r>
        <w:t>5. Input data model</w:t>
      </w:r>
    </w:p>
    <w:p>
      <w:r>
        <w:t>The JSON input contract contains eight top-level sections. Most fields are optional so the engine can represent incomplete assessments, although the current symptom/history/exam maps use booleans and therefore do not yet distinguish false from unknown unless the UI/context does so explicitly.</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655"/>
            <w:shd w:fill="123E4A"/>
            <w:tcMar>
              <w:top w:w="75" w:type="dxa"/>
              <w:start w:w="70" w:type="dxa"/>
              <w:bottom w:w="75" w:type="dxa"/>
              <w:end w:w="70" w:type="dxa"/>
            </w:tcMar>
            <w:vAlign w:val="center"/>
          </w:tcPr>
          <w:p>
            <w:r>
              <w:rPr>
                <w:b/>
                <w:color w:val="FFFFFF"/>
                <w:sz w:val="15"/>
              </w:rPr>
              <w:t>Section</w:t>
            </w:r>
          </w:p>
        </w:tc>
        <w:tc>
          <w:tcPr>
            <w:tcW w:type="dxa" w:w="8424"/>
            <w:shd w:fill="123E4A"/>
            <w:tcMar>
              <w:top w:w="75" w:type="dxa"/>
              <w:start w:w="70" w:type="dxa"/>
              <w:bottom w:w="75" w:type="dxa"/>
              <w:end w:w="70" w:type="dxa"/>
            </w:tcMar>
            <w:vAlign w:val="center"/>
          </w:tcPr>
          <w:p>
            <w:r>
              <w:rPr>
                <w:b/>
                <w:color w:val="FFFFFF"/>
                <w:sz w:val="15"/>
              </w:rPr>
              <w:t>Representative fields</w:t>
            </w:r>
          </w:p>
        </w:tc>
      </w:tr>
      <w:tr>
        <w:trPr>
          <w:cantSplit/>
        </w:trPr>
        <w:tc>
          <w:tcPr>
            <w:tcW w:type="dxa" w:w="1655"/>
            <w:tcMar>
              <w:top w:w="65" w:type="dxa"/>
              <w:start w:w="70" w:type="dxa"/>
              <w:bottom w:w="65" w:type="dxa"/>
              <w:end w:w="70" w:type="dxa"/>
            </w:tcMar>
            <w:vAlign w:val="top"/>
          </w:tcPr>
          <w:p>
            <w:pPr>
              <w:spacing w:after="0"/>
            </w:pPr>
            <w:r>
              <w:rPr>
                <w:sz w:val="15"/>
              </w:rPr>
              <w:t>patient</w:t>
            </w:r>
          </w:p>
        </w:tc>
        <w:tc>
          <w:tcPr>
            <w:tcW w:type="dxa" w:w="8424"/>
            <w:tcMar>
              <w:top w:w="65" w:type="dxa"/>
              <w:start w:w="70" w:type="dxa"/>
              <w:bottom w:w="65" w:type="dxa"/>
              <w:end w:w="70" w:type="dxa"/>
            </w:tcMar>
            <w:vAlign w:val="top"/>
          </w:tcPr>
          <w:p>
            <w:pPr>
              <w:spacing w:after="0"/>
            </w:pPr>
            <w:r>
              <w:rPr>
                <w:sz w:val="15"/>
              </w:rPr>
              <w:t>ageMonths; sexAtBirth; menstruating; recentTransfusion; highAltitude</w:t>
            </w:r>
          </w:p>
        </w:tc>
      </w:tr>
      <w:tr>
        <w:trPr>
          <w:cantSplit/>
        </w:trPr>
        <w:tc>
          <w:tcPr>
            <w:tcW w:type="dxa" w:w="1655"/>
            <w:tcMar>
              <w:top w:w="65" w:type="dxa"/>
              <w:start w:w="70" w:type="dxa"/>
              <w:bottom w:w="65" w:type="dxa"/>
              <w:end w:w="70" w:type="dxa"/>
            </w:tcMar>
            <w:vAlign w:val="top"/>
            <w:shd w:fill="F7F9FA"/>
          </w:tcPr>
          <w:p>
            <w:pPr>
              <w:spacing w:after="0"/>
            </w:pPr>
            <w:r>
              <w:rPr>
                <w:sz w:val="15"/>
              </w:rPr>
              <w:t>cbc</w:t>
            </w:r>
          </w:p>
        </w:tc>
        <w:tc>
          <w:tcPr>
            <w:tcW w:type="dxa" w:w="8424"/>
            <w:tcMar>
              <w:top w:w="65" w:type="dxa"/>
              <w:start w:w="70" w:type="dxa"/>
              <w:bottom w:w="65" w:type="dxa"/>
              <w:end w:w="70" w:type="dxa"/>
            </w:tcMar>
            <w:vAlign w:val="top"/>
            <w:shd w:fill="F7F9FA"/>
          </w:tcPr>
          <w:p>
            <w:pPr>
              <w:spacing w:after="0"/>
            </w:pPr>
            <w:r>
              <w:rPr>
                <w:sz w:val="15"/>
              </w:rPr>
              <w:t>hemoglobin; mcv; rdw; rbc; wbc; anc; platelets; rbcInterpretation; localRanges; localFlags</w:t>
            </w:r>
          </w:p>
        </w:tc>
      </w:tr>
      <w:tr>
        <w:trPr>
          <w:cantSplit/>
        </w:trPr>
        <w:tc>
          <w:tcPr>
            <w:tcW w:type="dxa" w:w="1655"/>
            <w:tcMar>
              <w:top w:w="65" w:type="dxa"/>
              <w:start w:w="70" w:type="dxa"/>
              <w:bottom w:w="65" w:type="dxa"/>
              <w:end w:w="70" w:type="dxa"/>
            </w:tcMar>
            <w:vAlign w:val="top"/>
          </w:tcPr>
          <w:p>
            <w:pPr>
              <w:spacing w:after="0"/>
            </w:pPr>
            <w:r>
              <w:rPr>
                <w:sz w:val="15"/>
              </w:rPr>
              <w:t>reticulocytes</w:t>
            </w:r>
          </w:p>
        </w:tc>
        <w:tc>
          <w:tcPr>
            <w:tcW w:type="dxa" w:w="8424"/>
            <w:tcMar>
              <w:top w:w="65" w:type="dxa"/>
              <w:start w:w="70" w:type="dxa"/>
              <w:bottom w:w="65" w:type="dxa"/>
              <w:end w:w="70" w:type="dxa"/>
            </w:tcMar>
            <w:vAlign w:val="top"/>
          </w:tcPr>
          <w:p>
            <w:pPr>
              <w:spacing w:after="0"/>
            </w:pPr>
            <w:r>
              <w:rPr>
                <w:sz w:val="15"/>
              </w:rPr>
              <w:t>response; absolute</w:t>
            </w:r>
          </w:p>
        </w:tc>
      </w:tr>
      <w:tr>
        <w:trPr>
          <w:cantSplit/>
        </w:trPr>
        <w:tc>
          <w:tcPr>
            <w:tcW w:type="dxa" w:w="1655"/>
            <w:tcMar>
              <w:top w:w="65" w:type="dxa"/>
              <w:start w:w="70" w:type="dxa"/>
              <w:bottom w:w="65" w:type="dxa"/>
              <w:end w:w="70" w:type="dxa"/>
            </w:tcMar>
            <w:vAlign w:val="top"/>
            <w:shd w:fill="F7F9FA"/>
          </w:tcPr>
          <w:p>
            <w:pPr>
              <w:spacing w:after="0"/>
            </w:pPr>
            <w:r>
              <w:rPr>
                <w:sz w:val="15"/>
              </w:rPr>
              <w:t>symptoms</w:t>
            </w:r>
          </w:p>
        </w:tc>
        <w:tc>
          <w:tcPr>
            <w:tcW w:type="dxa" w:w="8424"/>
            <w:tcMar>
              <w:top w:w="65" w:type="dxa"/>
              <w:start w:w="70" w:type="dxa"/>
              <w:bottom w:w="65" w:type="dxa"/>
              <w:end w:w="70" w:type="dxa"/>
            </w:tcMar>
            <w:vAlign w:val="top"/>
            <w:shd w:fill="F7F9FA"/>
          </w:tcPr>
          <w:p>
            <w:pPr>
              <w:spacing w:after="0"/>
            </w:pPr>
            <w:r>
              <w:rPr>
                <w:sz w:val="15"/>
              </w:rPr>
              <w:t>instability; respiratory distress; syncope; altered mental status; chest pain; heart failure signs; bleeding; fever; neurologic/renal symptoms; jaundice; dark urine; fatigue; pallor</w:t>
            </w:r>
          </w:p>
        </w:tc>
      </w:tr>
      <w:tr>
        <w:trPr>
          <w:cantSplit/>
        </w:trPr>
        <w:tc>
          <w:tcPr>
            <w:tcW w:type="dxa" w:w="1655"/>
            <w:tcMar>
              <w:top w:w="65" w:type="dxa"/>
              <w:start w:w="70" w:type="dxa"/>
              <w:bottom w:w="65" w:type="dxa"/>
              <w:end w:w="70" w:type="dxa"/>
            </w:tcMar>
            <w:vAlign w:val="top"/>
          </w:tcPr>
          <w:p>
            <w:pPr>
              <w:spacing w:after="0"/>
            </w:pPr>
            <w:r>
              <w:rPr>
                <w:sz w:val="15"/>
              </w:rPr>
              <w:t>history</w:t>
            </w:r>
          </w:p>
        </w:tc>
        <w:tc>
          <w:tcPr>
            <w:tcW w:type="dxa" w:w="8424"/>
            <w:tcMar>
              <w:top w:w="65" w:type="dxa"/>
              <w:start w:w="70" w:type="dxa"/>
              <w:bottom w:w="65" w:type="dxa"/>
              <w:end w:w="70" w:type="dxa"/>
            </w:tcMar>
            <w:vAlign w:val="top"/>
          </w:tcPr>
          <w:p>
            <w:pPr>
              <w:spacing w:after="0"/>
            </w:pPr>
            <w:r>
              <w:rPr>
                <w:sz w:val="15"/>
              </w:rPr>
              <w:t>diet/milk; prematurity; malabsorption; menstrual/GI/nasal/other loss; inflammatory/renal/liver/thyroid/infectious disease; viral illness; travel; family/known hemoglobinopathy or hemolysis; medication/toxin/lead; congenital anomalies; prior iron response</w:t>
            </w:r>
          </w:p>
        </w:tc>
      </w:tr>
      <w:tr>
        <w:trPr>
          <w:cantSplit/>
        </w:trPr>
        <w:tc>
          <w:tcPr>
            <w:tcW w:type="dxa" w:w="1655"/>
            <w:tcMar>
              <w:top w:w="65" w:type="dxa"/>
              <w:start w:w="70" w:type="dxa"/>
              <w:bottom w:w="65" w:type="dxa"/>
              <w:end w:w="70" w:type="dxa"/>
            </w:tcMar>
            <w:vAlign w:val="top"/>
            <w:shd w:fill="F7F9FA"/>
          </w:tcPr>
          <w:p>
            <w:pPr>
              <w:spacing w:after="0"/>
            </w:pPr>
            <w:r>
              <w:rPr>
                <w:sz w:val="15"/>
              </w:rPr>
              <w:t>exam</w:t>
            </w:r>
          </w:p>
        </w:tc>
        <w:tc>
          <w:tcPr>
            <w:tcW w:type="dxa" w:w="8424"/>
            <w:tcMar>
              <w:top w:w="65" w:type="dxa"/>
              <w:start w:w="70" w:type="dxa"/>
              <w:bottom w:w="65" w:type="dxa"/>
              <w:end w:w="70" w:type="dxa"/>
            </w:tcMar>
            <w:vAlign w:val="top"/>
            <w:shd w:fill="F7F9FA"/>
          </w:tcPr>
          <w:p>
            <w:pPr>
              <w:spacing w:after="0"/>
            </w:pPr>
            <w:r>
              <w:rPr>
                <w:sz w:val="15"/>
              </w:rPr>
              <w:t>splenomegaly; hepatomegaly; lymphadenopathy; petechiae; unexplained bruising</w:t>
            </w:r>
          </w:p>
        </w:tc>
      </w:tr>
      <w:tr>
        <w:trPr>
          <w:cantSplit/>
        </w:trPr>
        <w:tc>
          <w:tcPr>
            <w:tcW w:type="dxa" w:w="1655"/>
            <w:tcMar>
              <w:top w:w="65" w:type="dxa"/>
              <w:start w:w="70" w:type="dxa"/>
              <w:bottom w:w="65" w:type="dxa"/>
              <w:end w:w="70" w:type="dxa"/>
            </w:tcMar>
            <w:vAlign w:val="top"/>
          </w:tcPr>
          <w:p>
            <w:pPr>
              <w:spacing w:after="0"/>
            </w:pPr>
            <w:r>
              <w:rPr>
                <w:sz w:val="15"/>
              </w:rPr>
              <w:t>labs</w:t>
            </w:r>
          </w:p>
        </w:tc>
        <w:tc>
          <w:tcPr>
            <w:tcW w:type="dxa" w:w="8424"/>
            <w:tcMar>
              <w:top w:w="65" w:type="dxa"/>
              <w:start w:w="70" w:type="dxa"/>
              <w:bottom w:w="65" w:type="dxa"/>
              <w:end w:w="70" w:type="dxa"/>
            </w:tcMar>
            <w:vAlign w:val="top"/>
          </w:tcPr>
          <w:p>
            <w:pPr>
              <w:spacing w:after="0"/>
            </w:pPr>
            <w:r>
              <w:rPr>
                <w:sz w:val="15"/>
              </w:rPr>
              <w:t>ferritin/CRP/TSAT/TIBC/iron/index; bilirubin/LDH/haptoglobin/DAT; lead and specimen; HbA2/Bart/sickling/globin tests; G6PD; B12/folate/copper; creatinine; TSH; liver tests</w:t>
            </w:r>
          </w:p>
        </w:tc>
      </w:tr>
      <w:tr>
        <w:trPr>
          <w:cantSplit/>
        </w:trPr>
        <w:tc>
          <w:tcPr>
            <w:tcW w:type="dxa" w:w="1655"/>
            <w:tcMar>
              <w:top w:w="65" w:type="dxa"/>
              <w:start w:w="70" w:type="dxa"/>
              <w:bottom w:w="65" w:type="dxa"/>
              <w:end w:w="70" w:type="dxa"/>
            </w:tcMar>
            <w:vAlign w:val="top"/>
            <w:shd w:fill="F7F9FA"/>
          </w:tcPr>
          <w:p>
            <w:pPr>
              <w:spacing w:after="0"/>
            </w:pPr>
            <w:r>
              <w:rPr>
                <w:sz w:val="15"/>
              </w:rPr>
              <w:t>smear</w:t>
            </w:r>
          </w:p>
        </w:tc>
        <w:tc>
          <w:tcPr>
            <w:tcW w:type="dxa" w:w="8424"/>
            <w:tcMar>
              <w:top w:w="65" w:type="dxa"/>
              <w:start w:w="70" w:type="dxa"/>
              <w:bottom w:w="65" w:type="dxa"/>
              <w:end w:w="70" w:type="dxa"/>
            </w:tcMar>
            <w:vAlign w:val="top"/>
            <w:shd w:fill="F7F9FA"/>
          </w:tcPr>
          <w:p>
            <w:pPr>
              <w:spacing w:after="0"/>
            </w:pPr>
            <w:r>
              <w:rPr>
                <w:sz w:val="15"/>
              </w:rPr>
              <w:t>target cells; spherocytes; schistocytes; bite/blister cells; sickle cells; basophilic stippling; hypersegmented neutrophils; blasts; teardrops; nucleated RBCs; elliptocytes</w:t>
            </w:r>
          </w:p>
        </w:tc>
      </w:tr>
    </w:tbl>
    <w:p>
      <w:pPr>
        <w:spacing w:after="20"/>
      </w:pPr>
    </w:p>
    <w:p>
      <w:pPr>
        <w:pStyle w:val="Heading2"/>
      </w:pPr>
      <w:r>
        <w:t>5.1 Data quality behavior</w:t>
      </w:r>
    </w:p>
    <w:p>
      <w:pPr>
        <w:pStyle w:val="ListBullet"/>
        <w:spacing w:after="50"/>
      </w:pPr>
      <w:r>
        <w:t>Local ranges override fallback ranges.</w:t>
      </w:r>
    </w:p>
    <w:p>
      <w:pPr>
        <w:pStyle w:val="ListBullet"/>
        <w:spacing w:after="50"/>
      </w:pPr>
      <w:r>
        <w:t>Assay-dependent tests often use local interpretation states (low/normal/high/unknown) rather than hard-coded universal numbers.</w:t>
      </w:r>
    </w:p>
    <w:p>
      <w:pPr>
        <w:pStyle w:val="ListBullet"/>
        <w:spacing w:after="50"/>
      </w:pPr>
      <w:r>
        <w:t>Recent transfusion, acute hemolysis, inflammation, and assay timing can generate interpretive cautions.</w:t>
      </w:r>
    </w:p>
    <w:p>
      <w:pPr>
        <w:pStyle w:val="ListBullet"/>
        <w:spacing w:after="50"/>
      </w:pPr>
      <w:r>
        <w:t>Outside-scope ages are not forced through pediatric fallback thresholds.</w:t>
      </w:r>
    </w:p>
    <w:p>
      <w:pPr>
        <w:pStyle w:val="ListBullet"/>
        <w:spacing w:after="50"/>
      </w:pPr>
      <w:r>
        <w:t>Current production gap: replace boolean maps with explicit present/absent/unknown/not-assessed and include source, timestamp, method, and provenance.</w:t>
      </w:r>
    </w:p>
    <w:p>
      <w:pPr>
        <w:pStyle w:val="Heading1"/>
      </w:pPr>
      <w:r>
        <w:t>6. Deterministic algorithm specification</w:t>
      </w:r>
    </w:p>
    <w:p>
      <w:pPr>
        <w:jc w:val="center"/>
      </w:pPr>
      <w:r>
        <w:drawing>
          <wp:inline xmlns:a="http://schemas.openxmlformats.org/drawingml/2006/main" xmlns:pic="http://schemas.openxmlformats.org/drawingml/2006/picture">
            <wp:extent cx="6309360" cy="1962912"/>
            <wp:docPr id="3" name="Picture 3"/>
            <wp:cNvGraphicFramePr>
              <a:graphicFrameLocks noChangeAspect="1"/>
            </wp:cNvGraphicFramePr>
            <a:graphic>
              <a:graphicData uri="http://schemas.openxmlformats.org/drawingml/2006/picture">
                <pic:pic>
                  <pic:nvPicPr>
                    <pic:cNvPr id="0" name="as-built-pipeline.png"/>
                    <pic:cNvPicPr/>
                  </pic:nvPicPr>
                  <pic:blipFill>
                    <a:blip r:embed="rId13"/>
                    <a:stretch>
                      <a:fillRect/>
                    </a:stretch>
                  </pic:blipFill>
                  <pic:spPr>
                    <a:xfrm>
                      <a:off x="0" y="0"/>
                      <a:ext cx="6309360" cy="1962912"/>
                    </a:xfrm>
                    <a:prstGeom prst="rect"/>
                  </pic:spPr>
                </pic:pic>
              </a:graphicData>
            </a:graphic>
          </wp:inline>
        </w:drawing>
      </w:r>
    </w:p>
    <w:p>
      <w:pPr>
        <w:pStyle w:val="CaptionCustom"/>
      </w:pPr>
      <w:r>
        <w:rPr>
          <w:sz w:val="16"/>
        </w:rPr>
        <w:t>Figure 3. Current software pipeline. The same input and knowledge-base version produce the same result.</w:t>
      </w:r>
    </w:p>
    <w:p>
      <w:pPr>
        <w:pStyle w:val="Heading2"/>
      </w:pPr>
      <w:r>
        <w:t>6.1 Stage sequence</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23E4A"/>
            <w:tcMar>
              <w:top w:w="75" w:type="dxa"/>
              <w:start w:w="70" w:type="dxa"/>
              <w:bottom w:w="75" w:type="dxa"/>
              <w:end w:w="70" w:type="dxa"/>
            </w:tcMar>
            <w:vAlign w:val="center"/>
          </w:tcPr>
          <w:p>
            <w:r>
              <w:rPr>
                <w:b/>
                <w:color w:val="FFFFFF"/>
                <w:sz w:val="14"/>
              </w:rPr>
              <w:t>Stage</w:t>
            </w:r>
          </w:p>
        </w:tc>
        <w:tc>
          <w:tcPr>
            <w:tcW w:type="dxa" w:w="5184"/>
            <w:shd w:fill="123E4A"/>
            <w:tcMar>
              <w:top w:w="75" w:type="dxa"/>
              <w:start w:w="70" w:type="dxa"/>
              <w:bottom w:w="75" w:type="dxa"/>
              <w:end w:w="70" w:type="dxa"/>
            </w:tcMar>
            <w:vAlign w:val="center"/>
          </w:tcPr>
          <w:p>
            <w:r>
              <w:rPr>
                <w:b/>
                <w:color w:val="FFFFFF"/>
                <w:sz w:val="14"/>
              </w:rPr>
              <w:t>Logic</w:t>
            </w:r>
          </w:p>
        </w:tc>
        <w:tc>
          <w:tcPr>
            <w:tcW w:type="dxa" w:w="2951"/>
            <w:shd w:fill="123E4A"/>
            <w:tcMar>
              <w:top w:w="75" w:type="dxa"/>
              <w:start w:w="70" w:type="dxa"/>
              <w:bottom w:w="75" w:type="dxa"/>
              <w:end w:w="70" w:type="dxa"/>
            </w:tcMar>
            <w:vAlign w:val="center"/>
          </w:tcPr>
          <w:p>
            <w:r>
              <w:rPr>
                <w:b/>
                <w:color w:val="FFFFFF"/>
                <w:sz w:val="14"/>
              </w:rPr>
              <w:t>Representative output</w:t>
            </w:r>
          </w:p>
        </w:tc>
      </w:tr>
      <w:tr>
        <w:trPr>
          <w:cantSplit/>
        </w:trPr>
        <w:tc>
          <w:tcPr>
            <w:tcW w:type="dxa" w:w="1944"/>
            <w:tcMar>
              <w:top w:w="65" w:type="dxa"/>
              <w:start w:w="70" w:type="dxa"/>
              <w:bottom w:w="65" w:type="dxa"/>
              <w:end w:w="70" w:type="dxa"/>
            </w:tcMar>
            <w:vAlign w:val="top"/>
          </w:tcPr>
          <w:p>
            <w:pPr>
              <w:spacing w:after="0"/>
            </w:pPr>
            <w:r>
              <w:rPr>
                <w:sz w:val="14"/>
              </w:rPr>
              <w:t>1. Establish scope and urgency</w:t>
            </w:r>
          </w:p>
        </w:tc>
        <w:tc>
          <w:tcPr>
            <w:tcW w:type="dxa" w:w="5184"/>
            <w:tcMar>
              <w:top w:w="65" w:type="dxa"/>
              <w:start w:w="70" w:type="dxa"/>
              <w:bottom w:w="65" w:type="dxa"/>
              <w:end w:w="70" w:type="dxa"/>
            </w:tcMar>
            <w:vAlign w:val="top"/>
          </w:tcPr>
          <w:p>
            <w:pPr>
              <w:spacing w:after="0"/>
            </w:pPr>
            <w:r>
              <w:rPr>
                <w:sz w:val="14"/>
              </w:rPr>
              <w:t>Validate age/units/ranges; evaluate instability, bleeding, cytopenias, blasts, schistocytes, lead urgency, and other safety rules</w:t>
            </w:r>
          </w:p>
        </w:tc>
        <w:tc>
          <w:tcPr>
            <w:tcW w:type="dxa" w:w="2951"/>
            <w:tcMar>
              <w:top w:w="65" w:type="dxa"/>
              <w:start w:w="70" w:type="dxa"/>
              <w:bottom w:w="65" w:type="dxa"/>
              <w:end w:w="70" w:type="dxa"/>
            </w:tcMar>
            <w:vAlign w:val="top"/>
          </w:tcPr>
          <w:p>
            <w:pPr>
              <w:spacing w:after="0"/>
            </w:pPr>
            <w:r>
              <w:rPr>
                <w:sz w:val="14"/>
              </w:rPr>
              <w:t>Out-of-scope note or tiered alert.</w:t>
            </w:r>
          </w:p>
        </w:tc>
      </w:tr>
      <w:tr>
        <w:trPr>
          <w:cantSplit/>
        </w:trPr>
        <w:tc>
          <w:tcPr>
            <w:tcW w:type="dxa" w:w="1944"/>
            <w:tcMar>
              <w:top w:w="65" w:type="dxa"/>
              <w:start w:w="70" w:type="dxa"/>
              <w:bottom w:w="65" w:type="dxa"/>
              <w:end w:w="70" w:type="dxa"/>
            </w:tcMar>
            <w:vAlign w:val="top"/>
            <w:shd w:fill="F7F9FA"/>
          </w:tcPr>
          <w:p>
            <w:pPr>
              <w:spacing w:after="0"/>
            </w:pPr>
            <w:r>
              <w:rPr>
                <w:sz w:val="14"/>
              </w:rPr>
              <w:t>2. Confirm anemia</w:t>
            </w:r>
          </w:p>
        </w:tc>
        <w:tc>
          <w:tcPr>
            <w:tcW w:type="dxa" w:w="5184"/>
            <w:tcMar>
              <w:top w:w="65" w:type="dxa"/>
              <w:start w:w="70" w:type="dxa"/>
              <w:bottom w:w="65" w:type="dxa"/>
              <w:end w:w="70" w:type="dxa"/>
            </w:tcMar>
            <w:vAlign w:val="top"/>
            <w:shd w:fill="F7F9FA"/>
          </w:tcPr>
          <w:p>
            <w:pPr>
              <w:spacing w:after="0"/>
            </w:pPr>
            <w:r>
              <w:rPr>
                <w:sz w:val="14"/>
              </w:rPr>
              <w:t>Compare Hb to local lower limit or applicable AAP fallback</w:t>
            </w:r>
          </w:p>
        </w:tc>
        <w:tc>
          <w:tcPr>
            <w:tcW w:type="dxa" w:w="2951"/>
            <w:tcMar>
              <w:top w:w="65" w:type="dxa"/>
              <w:start w:w="70" w:type="dxa"/>
              <w:bottom w:w="65" w:type="dxa"/>
              <w:end w:w="70" w:type="dxa"/>
            </w:tcMar>
            <w:vAlign w:val="top"/>
            <w:shd w:fill="F7F9FA"/>
          </w:tcPr>
          <w:p>
            <w:pPr>
              <w:spacing w:after="0"/>
            </w:pPr>
            <w:r>
              <w:rPr>
                <w:sz w:val="14"/>
              </w:rPr>
              <w:t>Present / absent / indeterminate and effective lower limit/source.</w:t>
            </w:r>
          </w:p>
        </w:tc>
      </w:tr>
      <w:tr>
        <w:trPr>
          <w:cantSplit/>
        </w:trPr>
        <w:tc>
          <w:tcPr>
            <w:tcW w:type="dxa" w:w="1944"/>
            <w:tcMar>
              <w:top w:w="65" w:type="dxa"/>
              <w:start w:w="70" w:type="dxa"/>
              <w:bottom w:w="65" w:type="dxa"/>
              <w:end w:w="70" w:type="dxa"/>
            </w:tcMar>
            <w:vAlign w:val="top"/>
          </w:tcPr>
          <w:p>
            <w:pPr>
              <w:spacing w:after="0"/>
            </w:pPr>
            <w:r>
              <w:rPr>
                <w:sz w:val="14"/>
              </w:rPr>
              <w:t>3. Classify morphology</w:t>
            </w:r>
          </w:p>
        </w:tc>
        <w:tc>
          <w:tcPr>
            <w:tcW w:type="dxa" w:w="5184"/>
            <w:tcMar>
              <w:top w:w="65" w:type="dxa"/>
              <w:start w:w="70" w:type="dxa"/>
              <w:bottom w:w="65" w:type="dxa"/>
              <w:end w:w="70" w:type="dxa"/>
            </w:tcMar>
            <w:vAlign w:val="top"/>
          </w:tcPr>
          <w:p>
            <w:pPr>
              <w:spacing w:after="0"/>
            </w:pPr>
            <w:r>
              <w:rPr>
                <w:sz w:val="14"/>
              </w:rPr>
              <w:t>Compare MCV and RDW to local or fallback ranges</w:t>
            </w:r>
          </w:p>
        </w:tc>
        <w:tc>
          <w:tcPr>
            <w:tcW w:type="dxa" w:w="2951"/>
            <w:tcMar>
              <w:top w:w="65" w:type="dxa"/>
              <w:start w:w="70" w:type="dxa"/>
              <w:bottom w:w="65" w:type="dxa"/>
              <w:end w:w="70" w:type="dxa"/>
            </w:tcMar>
            <w:vAlign w:val="top"/>
          </w:tcPr>
          <w:p>
            <w:pPr>
              <w:spacing w:after="0"/>
            </w:pPr>
            <w:r>
              <w:rPr>
                <w:sz w:val="14"/>
              </w:rPr>
              <w:t>Microcytic / normocytic / macrocytic / indeterminate; RDW status.</w:t>
            </w:r>
          </w:p>
        </w:tc>
      </w:tr>
      <w:tr>
        <w:trPr>
          <w:cantSplit/>
        </w:trPr>
        <w:tc>
          <w:tcPr>
            <w:tcW w:type="dxa" w:w="1944"/>
            <w:tcMar>
              <w:top w:w="65" w:type="dxa"/>
              <w:start w:w="70" w:type="dxa"/>
              <w:bottom w:w="65" w:type="dxa"/>
              <w:end w:w="70" w:type="dxa"/>
            </w:tcMar>
            <w:vAlign w:val="top"/>
            <w:shd w:fill="F7F9FA"/>
          </w:tcPr>
          <w:p>
            <w:pPr>
              <w:spacing w:after="0"/>
            </w:pPr>
            <w:r>
              <w:rPr>
                <w:sz w:val="14"/>
              </w:rPr>
              <w:t>4. Classify marrow response</w:t>
            </w:r>
          </w:p>
        </w:tc>
        <w:tc>
          <w:tcPr>
            <w:tcW w:type="dxa" w:w="5184"/>
            <w:tcMar>
              <w:top w:w="65" w:type="dxa"/>
              <w:start w:w="70" w:type="dxa"/>
              <w:bottom w:w="65" w:type="dxa"/>
              <w:end w:w="70" w:type="dxa"/>
            </w:tcMar>
            <w:vAlign w:val="top"/>
            <w:shd w:fill="F7F9FA"/>
          </w:tcPr>
          <w:p>
            <w:pPr>
              <w:spacing w:after="0"/>
            </w:pPr>
            <w:r>
              <w:rPr>
                <w:sz w:val="14"/>
              </w:rPr>
              <w:t>Use clinician-entered reticulocyte response or available absolute count/context</w:t>
            </w:r>
          </w:p>
        </w:tc>
        <w:tc>
          <w:tcPr>
            <w:tcW w:type="dxa" w:w="2951"/>
            <w:tcMar>
              <w:top w:w="65" w:type="dxa"/>
              <w:start w:w="70" w:type="dxa"/>
              <w:bottom w:w="65" w:type="dxa"/>
              <w:end w:w="70" w:type="dxa"/>
            </w:tcMar>
            <w:vAlign w:val="top"/>
            <w:shd w:fill="F7F9FA"/>
          </w:tcPr>
          <w:p>
            <w:pPr>
              <w:spacing w:after="0"/>
            </w:pPr>
            <w:r>
              <w:rPr>
                <w:sz w:val="14"/>
              </w:rPr>
              <w:t>High / low / inappropriately normal / unknown pathway.</w:t>
            </w:r>
          </w:p>
        </w:tc>
      </w:tr>
      <w:tr>
        <w:trPr>
          <w:cantSplit/>
        </w:trPr>
        <w:tc>
          <w:tcPr>
            <w:tcW w:type="dxa" w:w="1944"/>
            <w:tcMar>
              <w:top w:w="65" w:type="dxa"/>
              <w:start w:w="70" w:type="dxa"/>
              <w:bottom w:w="65" w:type="dxa"/>
              <w:end w:w="70" w:type="dxa"/>
            </w:tcMar>
            <w:vAlign w:val="top"/>
          </w:tcPr>
          <w:p>
            <w:pPr>
              <w:spacing w:after="0"/>
            </w:pPr>
            <w:r>
              <w:rPr>
                <w:sz w:val="14"/>
              </w:rPr>
              <w:t>5. Apply morphology-specific rules</w:t>
            </w:r>
          </w:p>
        </w:tc>
        <w:tc>
          <w:tcPr>
            <w:tcW w:type="dxa" w:w="5184"/>
            <w:tcMar>
              <w:top w:w="65" w:type="dxa"/>
              <w:start w:w="70" w:type="dxa"/>
              <w:bottom w:w="65" w:type="dxa"/>
              <w:end w:w="70" w:type="dxa"/>
            </w:tcMar>
            <w:vAlign w:val="top"/>
          </w:tcPr>
          <w:p>
            <w:pPr>
              <w:spacing w:after="0"/>
            </w:pPr>
            <w:r>
              <w:rPr>
                <w:sz w:val="14"/>
              </w:rPr>
              <w:t>Use iron/inflammation, globin, lead, loss/hemolysis, production, nutrient/endocrine/liver, smear, history, and exam facts</w:t>
            </w:r>
          </w:p>
        </w:tc>
        <w:tc>
          <w:tcPr>
            <w:tcW w:type="dxa" w:w="2951"/>
            <w:tcMar>
              <w:top w:w="65" w:type="dxa"/>
              <w:start w:w="70" w:type="dxa"/>
              <w:bottom w:w="65" w:type="dxa"/>
              <w:end w:w="70" w:type="dxa"/>
            </w:tcMar>
            <w:vAlign w:val="top"/>
          </w:tcPr>
          <w:p>
            <w:pPr>
              <w:spacing w:after="0"/>
            </w:pPr>
            <w:r>
              <w:rPr>
                <w:sz w:val="14"/>
              </w:rPr>
              <w:t>Matched candidate rules and adaptive questions.</w:t>
            </w:r>
          </w:p>
        </w:tc>
      </w:tr>
      <w:tr>
        <w:trPr>
          <w:cantSplit/>
        </w:trPr>
        <w:tc>
          <w:tcPr>
            <w:tcW w:type="dxa" w:w="1944"/>
            <w:tcMar>
              <w:top w:w="65" w:type="dxa"/>
              <w:start w:w="70" w:type="dxa"/>
              <w:bottom w:w="65" w:type="dxa"/>
              <w:end w:w="70" w:type="dxa"/>
            </w:tcMar>
            <w:vAlign w:val="top"/>
            <w:shd w:fill="F7F9FA"/>
          </w:tcPr>
          <w:p>
            <w:pPr>
              <w:spacing w:after="0"/>
            </w:pPr>
            <w:r>
              <w:rPr>
                <w:sz w:val="14"/>
              </w:rPr>
              <w:t>6. Merge, rank, and expose provenance</w:t>
            </w:r>
          </w:p>
        </w:tc>
        <w:tc>
          <w:tcPr>
            <w:tcW w:type="dxa" w:w="5184"/>
            <w:tcMar>
              <w:top w:w="65" w:type="dxa"/>
              <w:start w:w="70" w:type="dxa"/>
              <w:bottom w:w="65" w:type="dxa"/>
              <w:end w:w="70" w:type="dxa"/>
            </w:tcMar>
            <w:vAlign w:val="top"/>
            <w:shd w:fill="F7F9FA"/>
          </w:tcPr>
          <w:p>
            <w:pPr>
              <w:spacing w:after="0"/>
            </w:pPr>
            <w:r>
              <w:rPr>
                <w:sz w:val="14"/>
              </w:rPr>
              <w:t>Merge candidate evidence; keep highest evidence label; sort by fixed points; attach evidence, knowns/unknowns, and workup</w:t>
            </w:r>
          </w:p>
        </w:tc>
        <w:tc>
          <w:tcPr>
            <w:tcW w:type="dxa" w:w="2951"/>
            <w:tcMar>
              <w:top w:w="65" w:type="dxa"/>
              <w:start w:w="70" w:type="dxa"/>
              <w:bottom w:w="65" w:type="dxa"/>
              <w:end w:w="70" w:type="dxa"/>
            </w:tcMar>
            <w:vAlign w:val="top"/>
            <w:shd w:fill="F7F9FA"/>
          </w:tcPr>
          <w:p>
            <w:pPr>
              <w:spacing w:after="0"/>
            </w:pPr>
            <w:r>
              <w:rPr>
                <w:sz w:val="14"/>
              </w:rPr>
              <w:t>Ranked pattern list and complete rule audit.</w:t>
            </w:r>
          </w:p>
        </w:tc>
      </w:tr>
    </w:tbl>
    <w:p>
      <w:pPr>
        <w:spacing w:after="20"/>
      </w:pPr>
    </w:p>
    <w:p>
      <w:pPr>
        <w:pStyle w:val="Heading2"/>
      </w:pPr>
      <w:r>
        <w:t>6.2 Iron-deficiency rule core</w:t>
      </w:r>
    </w:p>
    <w:tbl>
      <w:tblPr>
        <w:tblW w:type="auto" w:w="0"/>
        <w:jc w:val="center"/>
        <w:tblLayout w:type="fixed"/>
        <w:tblLook w:firstColumn="1" w:firstRow="1" w:lastColumn="0" w:lastRow="0" w:noHBand="0" w:noVBand="1" w:val="04A0"/>
      </w:tblPr>
      <w:tblGrid>
        <w:gridCol w:w="10282"/>
      </w:tblGrid>
      <w:tr>
        <w:tc>
          <w:tcPr>
            <w:tcW w:type="dxa" w:w="10080"/>
            <w:shd w:fill="EEF3F5"/>
            <w:tcMar>
              <w:top w:w="90" w:type="dxa"/>
              <w:start w:w="110" w:type="dxa"/>
              <w:bottom w:w="90" w:type="dxa"/>
              <w:end w:w="110" w:type="dxa"/>
            </w:tcMar>
          </w:tcPr>
          <w:p>
            <w:pPr>
              <w:pStyle w:val="CodeSmall"/>
            </w:pPr>
            <w:r>
              <w:rPr>
                <w:rFonts w:ascii="DejaVu Sans Mono" w:hAnsi="DejaVu Sans Mono"/>
                <w:sz w:val="15"/>
              </w:rPr>
              <w:t>ferritin threshold = 30 ng/mL if menstruating or age 12 to &lt;18 years</w:t>
              <w:br/>
              <w:t xml:space="preserve">                     else 20 ng/mL for age 6 months to &lt;12 years</w:t>
              <w:br/>
              <w:br/>
              <w:t>anemia + ferritin at/below threshold -&gt; iron deficiency anemia pattern</w:t>
              <w:br/>
              <w:t>no anemia + ferritin at/below threshold -&gt; iron deficiency without anemia pattern</w:t>
              <w:br/>
              <w:t>CRP elevated + ferritin not low -&gt; iron deficiency remains not excluded</w:t>
              <w:br/>
              <w:t>sTfR/log10(ferritin) &gt; 2 -&gt; supports iron deficiency</w:t>
              <w:br/>
              <w:t>sTfR/log10(ferritin) &lt; 1 + inflammation -&gt; supports anemia of inflammation</w:t>
            </w:r>
          </w:p>
        </w:tc>
      </w:tr>
    </w:tbl>
    <w:p>
      <w:pPr>
        <w:spacing w:after="0"/>
      </w:pPr>
    </w:p>
    <w:p>
      <w:r>
        <w:t>The app does not automatically prescribe iron, infer adherence, or use a normal/high ferritin during inflammation to exclude iron deficiency. [C1]</w:t>
      </w:r>
    </w:p>
    <w:p>
      <w:pPr>
        <w:pStyle w:val="Heading2"/>
      </w:pPr>
      <w:r>
        <w:t>6.3 High-reticulocyte hemolysis core</w:t>
      </w:r>
    </w:p>
    <w:p>
      <w:pPr>
        <w:pStyle w:val="ListBullet"/>
        <w:spacing w:after="50"/>
      </w:pPr>
      <w:r>
        <w:t>Ask about overt or occult blood loss.</w:t>
      </w:r>
    </w:p>
    <w:p>
      <w:pPr>
        <w:pStyle w:val="ListBullet"/>
        <w:spacing w:after="50"/>
      </w:pPr>
      <w:r>
        <w:t>A general biochemical hemolysis pattern requires at least two of elevated indirect bilirubin, elevated LDH, or low haptoglobin.</w:t>
      </w:r>
    </w:p>
    <w:p>
      <w:pPr>
        <w:pStyle w:val="ListBullet"/>
        <w:spacing w:after="50"/>
      </w:pPr>
      <w:r>
        <w:t>DAT positive supports immune hemolysis; spherocytes with DAT negative support hereditary spherocytosis; bite/blister cells plus oxidant exposure support G6PD pathway; schistocytes trigger microangiopathic/mechanical concern; sickling evidence supports sickling hemoglobinopathy; fever plus malaria exposure supports an infectious pathway. [C3; C5]</w:t>
      </w:r>
    </w:p>
    <w:p>
      <w:pPr>
        <w:pStyle w:val="Heading2"/>
      </w:pPr>
      <w:r>
        <w:t>6.4 Low-reticulocyte and macrocytic core</w:t>
      </w:r>
    </w:p>
    <w:p>
      <w:pPr>
        <w:pStyle w:val="ListBullet"/>
        <w:spacing w:after="50"/>
      </w:pPr>
      <w:r>
        <w:t>Renal dysfunction, inflammation, viral context, age, other cell lines, blasts, organomegaly, and congenital findings route among production-limited and marrow pathways.</w:t>
      </w:r>
    </w:p>
    <w:p>
      <w:pPr>
        <w:pStyle w:val="ListBullet"/>
        <w:spacing w:after="50"/>
      </w:pPr>
      <w:r>
        <w:t>Macrocytosis with high reticulocytes redirects toward loss/hemolysis; low/inappropriate reticulocytes plus B12/folate/copper, hypersegmentation, TSH, liver tests, medication, or congenital features refine the branch. [C3]</w:t>
      </w:r>
    </w:p>
    <w:p>
      <w:pPr>
        <w:pStyle w:val="Heading2"/>
      </w:pPr>
      <w:r>
        <w:t>6.5 Ranking semantics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304"/>
            <w:shd w:fill="123E4A"/>
            <w:tcMar>
              <w:top w:w="75" w:type="dxa"/>
              <w:start w:w="70" w:type="dxa"/>
              <w:bottom w:w="75" w:type="dxa"/>
              <w:end w:w="70" w:type="dxa"/>
            </w:tcMar>
            <w:vAlign w:val="center"/>
          </w:tcPr>
          <w:p>
            <w:r>
              <w:rPr>
                <w:b/>
                <w:color w:val="FFFFFF"/>
                <w:sz w:val="16"/>
              </w:rPr>
              <w:t>Label</w:t>
            </w:r>
          </w:p>
        </w:tc>
        <w:tc>
          <w:tcPr>
            <w:tcW w:type="dxa" w:w="7776"/>
            <w:shd w:fill="123E4A"/>
            <w:tcMar>
              <w:top w:w="75" w:type="dxa"/>
              <w:start w:w="70" w:type="dxa"/>
              <w:bottom w:w="75" w:type="dxa"/>
              <w:end w:w="70" w:type="dxa"/>
            </w:tcMar>
            <w:vAlign w:val="center"/>
          </w:tcPr>
          <w:p>
            <w:r>
              <w:rPr>
                <w:b/>
                <w:color w:val="FFFFFF"/>
                <w:sz w:val="16"/>
              </w:rPr>
              <w:t>Meaning</w:t>
            </w:r>
          </w:p>
        </w:tc>
      </w:tr>
      <w:tr>
        <w:trPr>
          <w:cantSplit/>
        </w:trPr>
        <w:tc>
          <w:tcPr>
            <w:tcW w:type="dxa" w:w="2304"/>
            <w:tcMar>
              <w:top w:w="65" w:type="dxa"/>
              <w:start w:w="70" w:type="dxa"/>
              <w:bottom w:w="65" w:type="dxa"/>
              <w:end w:w="70" w:type="dxa"/>
            </w:tcMar>
            <w:vAlign w:val="top"/>
          </w:tcPr>
          <w:p>
            <w:pPr>
              <w:spacing w:after="0"/>
            </w:pPr>
            <w:r>
              <w:rPr>
                <w:sz w:val="16"/>
              </w:rPr>
              <w:t>Meets defined pattern</w:t>
            </w:r>
          </w:p>
        </w:tc>
        <w:tc>
          <w:tcPr>
            <w:tcW w:type="dxa" w:w="7776"/>
            <w:tcMar>
              <w:top w:w="65" w:type="dxa"/>
              <w:start w:w="70" w:type="dxa"/>
              <w:bottom w:w="65" w:type="dxa"/>
              <w:end w:w="70" w:type="dxa"/>
            </w:tcMar>
            <w:vAlign w:val="top"/>
          </w:tcPr>
          <w:p>
            <w:pPr>
              <w:spacing w:after="0"/>
            </w:pPr>
            <w:r>
              <w:rPr>
                <w:sz w:val="16"/>
              </w:rPr>
              <w:t>An explicit biochemical, molecular, or source-defined criterion was met.</w:t>
            </w:r>
          </w:p>
        </w:tc>
      </w:tr>
      <w:tr>
        <w:trPr>
          <w:cantSplit/>
        </w:trPr>
        <w:tc>
          <w:tcPr>
            <w:tcW w:type="dxa" w:w="2304"/>
            <w:tcMar>
              <w:top w:w="65" w:type="dxa"/>
              <w:start w:w="70" w:type="dxa"/>
              <w:bottom w:w="65" w:type="dxa"/>
              <w:end w:w="70" w:type="dxa"/>
            </w:tcMar>
            <w:vAlign w:val="top"/>
            <w:shd w:fill="F7F9FA"/>
          </w:tcPr>
          <w:p>
            <w:pPr>
              <w:spacing w:after="0"/>
            </w:pPr>
            <w:r>
              <w:rPr>
                <w:sz w:val="16"/>
              </w:rPr>
              <w:t>Strongly supported</w:t>
            </w:r>
          </w:p>
        </w:tc>
        <w:tc>
          <w:tcPr>
            <w:tcW w:type="dxa" w:w="7776"/>
            <w:tcMar>
              <w:top w:w="65" w:type="dxa"/>
              <w:start w:w="70" w:type="dxa"/>
              <w:bottom w:w="65" w:type="dxa"/>
              <w:end w:w="70" w:type="dxa"/>
            </w:tcMar>
            <w:vAlign w:val="top"/>
            <w:shd w:fill="F7F9FA"/>
          </w:tcPr>
          <w:p>
            <w:pPr>
              <w:spacing w:after="0"/>
            </w:pPr>
            <w:r>
              <w:rPr>
                <w:sz w:val="16"/>
              </w:rPr>
              <w:t>A relatively specific combination of findings was met.</w:t>
            </w:r>
          </w:p>
        </w:tc>
      </w:tr>
      <w:tr>
        <w:trPr>
          <w:cantSplit/>
        </w:trPr>
        <w:tc>
          <w:tcPr>
            <w:tcW w:type="dxa" w:w="2304"/>
            <w:tcMar>
              <w:top w:w="65" w:type="dxa"/>
              <w:start w:w="70" w:type="dxa"/>
              <w:bottom w:w="65" w:type="dxa"/>
              <w:end w:w="70" w:type="dxa"/>
            </w:tcMar>
            <w:vAlign w:val="top"/>
          </w:tcPr>
          <w:p>
            <w:pPr>
              <w:spacing w:after="0"/>
            </w:pPr>
            <w:r>
              <w:rPr>
                <w:sz w:val="16"/>
              </w:rPr>
              <w:t>Supported</w:t>
            </w:r>
          </w:p>
        </w:tc>
        <w:tc>
          <w:tcPr>
            <w:tcW w:type="dxa" w:w="7776"/>
            <w:tcMar>
              <w:top w:w="65" w:type="dxa"/>
              <w:start w:w="70" w:type="dxa"/>
              <w:bottom w:w="65" w:type="dxa"/>
              <w:end w:w="70" w:type="dxa"/>
            </w:tcMar>
            <w:vAlign w:val="top"/>
          </w:tcPr>
          <w:p>
            <w:pPr>
              <w:spacing w:after="0"/>
            </w:pPr>
            <w:r>
              <w:rPr>
                <w:sz w:val="16"/>
              </w:rPr>
              <w:t>Multiple compatible findings are present, but meaningful alternatives remain.</w:t>
            </w:r>
          </w:p>
        </w:tc>
      </w:tr>
      <w:tr>
        <w:trPr>
          <w:cantSplit/>
        </w:trPr>
        <w:tc>
          <w:tcPr>
            <w:tcW w:type="dxa" w:w="2304"/>
            <w:tcMar>
              <w:top w:w="65" w:type="dxa"/>
              <w:start w:w="70" w:type="dxa"/>
              <w:bottom w:w="65" w:type="dxa"/>
              <w:end w:w="70" w:type="dxa"/>
            </w:tcMar>
            <w:vAlign w:val="top"/>
            <w:shd w:fill="F7F9FA"/>
          </w:tcPr>
          <w:p>
            <w:pPr>
              <w:spacing w:after="0"/>
            </w:pPr>
            <w:r>
              <w:rPr>
                <w:sz w:val="16"/>
              </w:rPr>
              <w:t>Possible</w:t>
            </w:r>
          </w:p>
        </w:tc>
        <w:tc>
          <w:tcPr>
            <w:tcW w:type="dxa" w:w="7776"/>
            <w:tcMar>
              <w:top w:w="65" w:type="dxa"/>
              <w:start w:w="70" w:type="dxa"/>
              <w:bottom w:w="65" w:type="dxa"/>
              <w:end w:w="70" w:type="dxa"/>
            </w:tcMar>
            <w:vAlign w:val="top"/>
            <w:shd w:fill="F7F9FA"/>
          </w:tcPr>
          <w:p>
            <w:pPr>
              <w:spacing w:after="0"/>
            </w:pPr>
            <w:r>
              <w:rPr>
                <w:sz w:val="16"/>
              </w:rPr>
              <w:t>A lower-specificity pattern warrants a question or test.</w:t>
            </w:r>
          </w:p>
        </w:tc>
      </w:tr>
      <w:tr>
        <w:trPr>
          <w:cantSplit/>
        </w:trPr>
        <w:tc>
          <w:tcPr>
            <w:tcW w:type="dxa" w:w="2304"/>
            <w:tcMar>
              <w:top w:w="65" w:type="dxa"/>
              <w:start w:w="70" w:type="dxa"/>
              <w:bottom w:w="65" w:type="dxa"/>
              <w:end w:w="70" w:type="dxa"/>
            </w:tcMar>
            <w:vAlign w:val="top"/>
          </w:tcPr>
          <w:p>
            <w:pPr>
              <w:spacing w:after="0"/>
            </w:pPr>
            <w:r>
              <w:rPr>
                <w:sz w:val="16"/>
              </w:rPr>
              <w:t>Not excluded</w:t>
            </w:r>
          </w:p>
        </w:tc>
        <w:tc>
          <w:tcPr>
            <w:tcW w:type="dxa" w:w="7776"/>
            <w:tcMar>
              <w:top w:w="65" w:type="dxa"/>
              <w:start w:w="70" w:type="dxa"/>
              <w:bottom w:w="65" w:type="dxa"/>
              <w:end w:w="70" w:type="dxa"/>
            </w:tcMar>
            <w:vAlign w:val="top"/>
          </w:tcPr>
          <w:p>
            <w:pPr>
              <w:spacing w:after="0"/>
            </w:pPr>
            <w:r>
              <w:rPr>
                <w:sz w:val="16"/>
              </w:rPr>
              <w:t>A confounder or missing value prevents exclusion.</w:t>
            </w:r>
          </w:p>
        </w:tc>
      </w:tr>
    </w:tbl>
    <w:p>
      <w:pPr>
        <w:spacing w:after="20"/>
      </w:pPr>
    </w:p>
    <w:tbl>
      <w:tblPr>
        <w:tblW w:type="auto" w:w="0"/>
        <w:jc w:val="center"/>
        <w:tblLayout w:type="fixed"/>
        <w:tblLook w:firstColumn="1" w:firstRow="1" w:lastColumn="0" w:lastRow="0" w:noHBand="0" w:noVBand="1" w:val="04A0"/>
      </w:tblPr>
      <w:tblGrid>
        <w:gridCol w:w="10282"/>
      </w:tblGrid>
      <w:tr>
        <w:tc>
          <w:tcPr>
            <w:tcW w:type="dxa" w:w="10080"/>
            <w:shd w:fill="FFF6DA"/>
            <w:tcMar>
              <w:top w:w="130" w:type="dxa"/>
              <w:start w:w="160" w:type="dxa"/>
              <w:bottom w:w="130" w:type="dxa"/>
              <w:end w:w="160" w:type="dxa"/>
            </w:tcMar>
          </w:tcPr>
          <w:p>
            <w:r>
              <w:rPr>
                <w:b/>
                <w:color w:val="D9A526"/>
                <w:sz w:val="16"/>
              </w:rPr>
              <w:t>IMPORTANT</w:t>
            </w:r>
          </w:p>
          <w:p>
            <w:r>
              <w:rPr>
                <w:sz w:val="18"/>
              </w:rPr>
              <w:t>The internal point total only sorts candidates within deterministic levels. It has no probabilistic interpretation.</w:t>
            </w:r>
          </w:p>
        </w:tc>
      </w:tr>
    </w:tbl>
    <w:p>
      <w:pPr>
        <w:spacing w:after="0"/>
      </w:pPr>
    </w:p>
    <w:p>
      <w:pPr>
        <w:pStyle w:val="Heading1"/>
      </w:pPr>
      <w:r>
        <w:t>7. Knowledge-base inventory</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3456"/>
            <w:shd w:fill="123E4A"/>
            <w:tcMar>
              <w:top w:w="75" w:type="dxa"/>
              <w:start w:w="70" w:type="dxa"/>
              <w:bottom w:w="75" w:type="dxa"/>
              <w:end w:w="70" w:type="dxa"/>
            </w:tcMar>
            <w:vAlign w:val="center"/>
          </w:tcPr>
          <w:p>
            <w:r>
              <w:rPr>
                <w:b/>
                <w:color w:val="FFFFFF"/>
                <w:sz w:val="16"/>
              </w:rPr>
              <w:t>Artifact</w:t>
            </w:r>
          </w:p>
        </w:tc>
        <w:tc>
          <w:tcPr>
            <w:tcW w:type="dxa" w:w="6623"/>
            <w:shd w:fill="123E4A"/>
            <w:tcMar>
              <w:top w:w="75" w:type="dxa"/>
              <w:start w:w="70" w:type="dxa"/>
              <w:bottom w:w="75" w:type="dxa"/>
              <w:end w:w="70" w:type="dxa"/>
            </w:tcMar>
            <w:vAlign w:val="center"/>
          </w:tcPr>
          <w:p>
            <w:r>
              <w:rPr>
                <w:b/>
                <w:color w:val="FFFFFF"/>
                <w:sz w:val="16"/>
              </w:rPr>
              <w:t>Count / status</w:t>
            </w:r>
          </w:p>
        </w:tc>
      </w:tr>
      <w:tr>
        <w:trPr>
          <w:cantSplit/>
        </w:trPr>
        <w:tc>
          <w:tcPr>
            <w:tcW w:type="dxa" w:w="3456"/>
            <w:tcMar>
              <w:top w:w="65" w:type="dxa"/>
              <w:start w:w="70" w:type="dxa"/>
              <w:bottom w:w="65" w:type="dxa"/>
              <w:end w:w="70" w:type="dxa"/>
            </w:tcMar>
            <w:vAlign w:val="top"/>
          </w:tcPr>
          <w:p>
            <w:pPr>
              <w:spacing w:after="0"/>
            </w:pPr>
            <w:r>
              <w:rPr>
                <w:sz w:val="16"/>
              </w:rPr>
              <w:t>Deterministic rules</w:t>
            </w:r>
          </w:p>
        </w:tc>
        <w:tc>
          <w:tcPr>
            <w:tcW w:type="dxa" w:w="6623"/>
            <w:tcMar>
              <w:top w:w="65" w:type="dxa"/>
              <w:start w:w="70" w:type="dxa"/>
              <w:bottom w:w="65" w:type="dxa"/>
              <w:end w:w="70" w:type="dxa"/>
            </w:tcMar>
            <w:vAlign w:val="top"/>
          </w:tcPr>
          <w:p>
            <w:pPr>
              <w:spacing w:after="0"/>
            </w:pPr>
            <w:r>
              <w:rPr>
                <w:sz w:val="16"/>
              </w:rPr>
              <w:t>91 total: 55 differential, 17 adaptive-question, 13 safety, 6 interpretive-note</w:t>
            </w:r>
          </w:p>
        </w:tc>
      </w:tr>
      <w:tr>
        <w:trPr>
          <w:cantSplit/>
        </w:trPr>
        <w:tc>
          <w:tcPr>
            <w:tcW w:type="dxa" w:w="3456"/>
            <w:tcMar>
              <w:top w:w="65" w:type="dxa"/>
              <w:start w:w="70" w:type="dxa"/>
              <w:bottom w:w="65" w:type="dxa"/>
              <w:end w:w="70" w:type="dxa"/>
            </w:tcMar>
            <w:vAlign w:val="top"/>
            <w:shd w:fill="F7F9FA"/>
          </w:tcPr>
          <w:p>
            <w:pPr>
              <w:spacing w:after="0"/>
            </w:pPr>
            <w:r>
              <w:rPr>
                <w:sz w:val="16"/>
              </w:rPr>
              <w:t>Safety severities</w:t>
            </w:r>
          </w:p>
        </w:tc>
        <w:tc>
          <w:tcPr>
            <w:tcW w:type="dxa" w:w="6623"/>
            <w:tcMar>
              <w:top w:w="65" w:type="dxa"/>
              <w:start w:w="70" w:type="dxa"/>
              <w:bottom w:w="65" w:type="dxa"/>
              <w:end w:w="70" w:type="dxa"/>
            </w:tcMar>
            <w:vAlign w:val="top"/>
            <w:shd w:fill="F7F9FA"/>
          </w:tcPr>
          <w:p>
            <w:pPr>
              <w:spacing w:after="0"/>
            </w:pPr>
            <w:r>
              <w:rPr>
                <w:sz w:val="16"/>
              </w:rPr>
              <w:t>5 emergency, 4 urgent, 4 important</w:t>
            </w:r>
          </w:p>
        </w:tc>
      </w:tr>
      <w:tr>
        <w:trPr>
          <w:cantSplit/>
        </w:trPr>
        <w:tc>
          <w:tcPr>
            <w:tcW w:type="dxa" w:w="3456"/>
            <w:tcMar>
              <w:top w:w="65" w:type="dxa"/>
              <w:start w:w="70" w:type="dxa"/>
              <w:bottom w:w="65" w:type="dxa"/>
              <w:end w:w="70" w:type="dxa"/>
            </w:tcMar>
            <w:vAlign w:val="top"/>
          </w:tcPr>
          <w:p>
            <w:pPr>
              <w:spacing w:after="0"/>
            </w:pPr>
            <w:r>
              <w:rPr>
                <w:sz w:val="16"/>
              </w:rPr>
              <w:t>Diagnostic patterns</w:t>
            </w:r>
          </w:p>
        </w:tc>
        <w:tc>
          <w:tcPr>
            <w:tcW w:type="dxa" w:w="6623"/>
            <w:tcMar>
              <w:top w:w="65" w:type="dxa"/>
              <w:start w:w="70" w:type="dxa"/>
              <w:bottom w:w="65" w:type="dxa"/>
              <w:end w:w="70" w:type="dxa"/>
            </w:tcMar>
            <w:vAlign w:val="top"/>
          </w:tcPr>
          <w:p>
            <w:pPr>
              <w:spacing w:after="0"/>
            </w:pPr>
            <w:r>
              <w:rPr>
                <w:sz w:val="16"/>
              </w:rPr>
              <w:t>26</w:t>
            </w:r>
          </w:p>
        </w:tc>
      </w:tr>
      <w:tr>
        <w:trPr>
          <w:cantSplit/>
        </w:trPr>
        <w:tc>
          <w:tcPr>
            <w:tcW w:type="dxa" w:w="3456"/>
            <w:tcMar>
              <w:top w:w="65" w:type="dxa"/>
              <w:start w:w="70" w:type="dxa"/>
              <w:bottom w:w="65" w:type="dxa"/>
              <w:end w:w="70" w:type="dxa"/>
            </w:tcMar>
            <w:vAlign w:val="top"/>
            <w:shd w:fill="F7F9FA"/>
          </w:tcPr>
          <w:p>
            <w:pPr>
              <w:spacing w:after="0"/>
            </w:pPr>
            <w:r>
              <w:rPr>
                <w:sz w:val="16"/>
              </w:rPr>
              <w:t>Evidence records</w:t>
            </w:r>
          </w:p>
        </w:tc>
        <w:tc>
          <w:tcPr>
            <w:tcW w:type="dxa" w:w="6623"/>
            <w:tcMar>
              <w:top w:w="65" w:type="dxa"/>
              <w:start w:w="70" w:type="dxa"/>
              <w:bottom w:w="65" w:type="dxa"/>
              <w:end w:w="70" w:type="dxa"/>
            </w:tcMar>
            <w:vAlign w:val="top"/>
            <w:shd w:fill="F7F9FA"/>
          </w:tcPr>
          <w:p>
            <w:pPr>
              <w:spacing w:after="0"/>
            </w:pPr>
            <w:r>
              <w:rPr>
                <w:sz w:val="16"/>
              </w:rPr>
              <w:t>6</w:t>
            </w:r>
          </w:p>
        </w:tc>
      </w:tr>
      <w:tr>
        <w:trPr>
          <w:cantSplit/>
        </w:trPr>
        <w:tc>
          <w:tcPr>
            <w:tcW w:type="dxa" w:w="3456"/>
            <w:tcMar>
              <w:top w:w="65" w:type="dxa"/>
              <w:start w:w="70" w:type="dxa"/>
              <w:bottom w:w="65" w:type="dxa"/>
              <w:end w:w="70" w:type="dxa"/>
            </w:tcMar>
            <w:vAlign w:val="top"/>
          </w:tcPr>
          <w:p>
            <w:pPr>
              <w:spacing w:after="0"/>
            </w:pPr>
            <w:r>
              <w:rPr>
                <w:sz w:val="16"/>
              </w:rPr>
              <w:t>Worked clinical examples</w:t>
            </w:r>
          </w:p>
        </w:tc>
        <w:tc>
          <w:tcPr>
            <w:tcW w:type="dxa" w:w="6623"/>
            <w:tcMar>
              <w:top w:w="65" w:type="dxa"/>
              <w:start w:w="70" w:type="dxa"/>
              <w:bottom w:w="65" w:type="dxa"/>
              <w:end w:w="70" w:type="dxa"/>
            </w:tcMar>
            <w:vAlign w:val="top"/>
          </w:tcPr>
          <w:p>
            <w:pPr>
              <w:spacing w:after="0"/>
            </w:pPr>
            <w:r>
              <w:rPr>
                <w:sz w:val="16"/>
              </w:rPr>
              <w:t>6</w:t>
            </w:r>
          </w:p>
        </w:tc>
      </w:tr>
      <w:tr>
        <w:trPr>
          <w:cantSplit/>
        </w:trPr>
        <w:tc>
          <w:tcPr>
            <w:tcW w:type="dxa" w:w="3456"/>
            <w:tcMar>
              <w:top w:w="65" w:type="dxa"/>
              <w:start w:w="70" w:type="dxa"/>
              <w:bottom w:w="65" w:type="dxa"/>
              <w:end w:w="70" w:type="dxa"/>
            </w:tcMar>
            <w:vAlign w:val="top"/>
            <w:shd w:fill="F7F9FA"/>
          </w:tcPr>
          <w:p>
            <w:pPr>
              <w:spacing w:after="0"/>
            </w:pPr>
            <w:r>
              <w:rPr>
                <w:sz w:val="16"/>
              </w:rPr>
              <w:t>Automated engine tests</w:t>
            </w:r>
          </w:p>
        </w:tc>
        <w:tc>
          <w:tcPr>
            <w:tcW w:type="dxa" w:w="6623"/>
            <w:tcMar>
              <w:top w:w="65" w:type="dxa"/>
              <w:start w:w="70" w:type="dxa"/>
              <w:bottom w:w="65" w:type="dxa"/>
              <w:end w:w="70" w:type="dxa"/>
            </w:tcMar>
            <w:vAlign w:val="top"/>
            <w:shd w:fill="F7F9FA"/>
          </w:tcPr>
          <w:p>
            <w:pPr>
              <w:spacing w:after="0"/>
            </w:pPr>
            <w:r>
              <w:rPr>
                <w:sz w:val="16"/>
              </w:rPr>
              <w:t>10</w:t>
            </w:r>
          </w:p>
        </w:tc>
      </w:tr>
    </w:tbl>
    <w:p>
      <w:pPr>
        <w:spacing w:after="20"/>
      </w:pPr>
    </w:p>
    <w:p>
      <w:pPr>
        <w:pStyle w:val="Heading2"/>
      </w:pPr>
      <w:r>
        <w:t>7.1 Diagnostic-pattern catalog</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792"/>
            <w:shd w:fill="123E4A"/>
            <w:tcMar>
              <w:top w:w="75" w:type="dxa"/>
              <w:start w:w="70" w:type="dxa"/>
              <w:bottom w:w="75" w:type="dxa"/>
              <w:end w:w="70" w:type="dxa"/>
            </w:tcMar>
            <w:vAlign w:val="center"/>
          </w:tcPr>
          <w:p>
            <w:r>
              <w:rPr>
                <w:b/>
                <w:color w:val="FFFFFF"/>
                <w:sz w:val="15"/>
              </w:rPr>
              <w:t>#</w:t>
            </w:r>
          </w:p>
        </w:tc>
        <w:tc>
          <w:tcPr>
            <w:tcW w:type="dxa" w:w="9288"/>
            <w:shd w:fill="123E4A"/>
            <w:tcMar>
              <w:top w:w="75" w:type="dxa"/>
              <w:start w:w="70" w:type="dxa"/>
              <w:bottom w:w="75" w:type="dxa"/>
              <w:end w:w="70" w:type="dxa"/>
            </w:tcMar>
            <w:vAlign w:val="center"/>
          </w:tcPr>
          <w:p>
            <w:r>
              <w:rPr>
                <w:b/>
                <w:color w:val="FFFFFF"/>
                <w:sz w:val="15"/>
              </w:rPr>
              <w:t>Pattern</w:t>
            </w:r>
          </w:p>
        </w:tc>
      </w:tr>
      <w:tr>
        <w:trPr>
          <w:cantSplit/>
        </w:trPr>
        <w:tc>
          <w:tcPr>
            <w:tcW w:type="dxa" w:w="792"/>
            <w:tcMar>
              <w:top w:w="65" w:type="dxa"/>
              <w:start w:w="70" w:type="dxa"/>
              <w:bottom w:w="65" w:type="dxa"/>
              <w:end w:w="70" w:type="dxa"/>
            </w:tcMar>
            <w:vAlign w:val="top"/>
          </w:tcPr>
          <w:p>
            <w:pPr>
              <w:spacing w:after="0"/>
            </w:pPr>
            <w:r>
              <w:rPr>
                <w:sz w:val="15"/>
              </w:rPr>
              <w:t>1</w:t>
            </w:r>
          </w:p>
        </w:tc>
        <w:tc>
          <w:tcPr>
            <w:tcW w:type="dxa" w:w="9288"/>
            <w:tcMar>
              <w:top w:w="65" w:type="dxa"/>
              <w:start w:w="70" w:type="dxa"/>
              <w:bottom w:w="65" w:type="dxa"/>
              <w:end w:w="70" w:type="dxa"/>
            </w:tcMar>
            <w:vAlign w:val="top"/>
          </w:tcPr>
          <w:p>
            <w:pPr>
              <w:spacing w:after="0"/>
            </w:pPr>
            <w:r>
              <w:rPr>
                <w:sz w:val="15"/>
              </w:rPr>
              <w:t>Iron deficiency anemia</w:t>
            </w:r>
          </w:p>
        </w:tc>
      </w:tr>
      <w:tr>
        <w:trPr>
          <w:cantSplit/>
        </w:trPr>
        <w:tc>
          <w:tcPr>
            <w:tcW w:type="dxa" w:w="792"/>
            <w:tcMar>
              <w:top w:w="65" w:type="dxa"/>
              <w:start w:w="70" w:type="dxa"/>
              <w:bottom w:w="65" w:type="dxa"/>
              <w:end w:w="70" w:type="dxa"/>
            </w:tcMar>
            <w:vAlign w:val="top"/>
            <w:shd w:fill="F7F9FA"/>
          </w:tcPr>
          <w:p>
            <w:pPr>
              <w:spacing w:after="0"/>
            </w:pPr>
            <w:r>
              <w:rPr>
                <w:sz w:val="15"/>
              </w:rPr>
              <w:t>2</w:t>
            </w:r>
          </w:p>
        </w:tc>
        <w:tc>
          <w:tcPr>
            <w:tcW w:type="dxa" w:w="9288"/>
            <w:tcMar>
              <w:top w:w="65" w:type="dxa"/>
              <w:start w:w="70" w:type="dxa"/>
              <w:bottom w:w="65" w:type="dxa"/>
              <w:end w:w="70" w:type="dxa"/>
            </w:tcMar>
            <w:vAlign w:val="top"/>
            <w:shd w:fill="F7F9FA"/>
          </w:tcPr>
          <w:p>
            <w:pPr>
              <w:spacing w:after="0"/>
            </w:pPr>
            <w:r>
              <w:rPr>
                <w:sz w:val="15"/>
              </w:rPr>
              <w:t>Iron deficiency without anemia</w:t>
            </w:r>
          </w:p>
        </w:tc>
      </w:tr>
      <w:tr>
        <w:trPr>
          <w:cantSplit/>
        </w:trPr>
        <w:tc>
          <w:tcPr>
            <w:tcW w:type="dxa" w:w="792"/>
            <w:tcMar>
              <w:top w:w="65" w:type="dxa"/>
              <w:start w:w="70" w:type="dxa"/>
              <w:bottom w:w="65" w:type="dxa"/>
              <w:end w:w="70" w:type="dxa"/>
            </w:tcMar>
            <w:vAlign w:val="top"/>
          </w:tcPr>
          <w:p>
            <w:pPr>
              <w:spacing w:after="0"/>
            </w:pPr>
            <w:r>
              <w:rPr>
                <w:sz w:val="15"/>
              </w:rPr>
              <w:t>3</w:t>
            </w:r>
          </w:p>
        </w:tc>
        <w:tc>
          <w:tcPr>
            <w:tcW w:type="dxa" w:w="9288"/>
            <w:tcMar>
              <w:top w:w="65" w:type="dxa"/>
              <w:start w:w="70" w:type="dxa"/>
              <w:bottom w:w="65" w:type="dxa"/>
              <w:end w:w="70" w:type="dxa"/>
            </w:tcMar>
            <w:vAlign w:val="top"/>
          </w:tcPr>
          <w:p>
            <w:pPr>
              <w:spacing w:after="0"/>
            </w:pPr>
            <w:r>
              <w:rPr>
                <w:sz w:val="15"/>
              </w:rPr>
              <w:t>Anemia of inflammation / inflammatory iron restriction</w:t>
            </w:r>
          </w:p>
        </w:tc>
      </w:tr>
      <w:tr>
        <w:trPr>
          <w:cantSplit/>
        </w:trPr>
        <w:tc>
          <w:tcPr>
            <w:tcW w:type="dxa" w:w="792"/>
            <w:tcMar>
              <w:top w:w="65" w:type="dxa"/>
              <w:start w:w="70" w:type="dxa"/>
              <w:bottom w:w="65" w:type="dxa"/>
              <w:end w:w="70" w:type="dxa"/>
            </w:tcMar>
            <w:vAlign w:val="top"/>
            <w:shd w:fill="F7F9FA"/>
          </w:tcPr>
          <w:p>
            <w:pPr>
              <w:spacing w:after="0"/>
            </w:pPr>
            <w:r>
              <w:rPr>
                <w:sz w:val="15"/>
              </w:rPr>
              <w:t>4</w:t>
            </w:r>
          </w:p>
        </w:tc>
        <w:tc>
          <w:tcPr>
            <w:tcW w:type="dxa" w:w="9288"/>
            <w:tcMar>
              <w:top w:w="65" w:type="dxa"/>
              <w:start w:w="70" w:type="dxa"/>
              <w:bottom w:w="65" w:type="dxa"/>
              <w:end w:w="70" w:type="dxa"/>
            </w:tcMar>
            <w:vAlign w:val="top"/>
            <w:shd w:fill="F7F9FA"/>
          </w:tcPr>
          <w:p>
            <w:pPr>
              <w:spacing w:after="0"/>
            </w:pPr>
            <w:r>
              <w:rPr>
                <w:sz w:val="15"/>
              </w:rPr>
              <w:t>Thalassemia trait or other globin-production pattern</w:t>
            </w:r>
          </w:p>
        </w:tc>
      </w:tr>
      <w:tr>
        <w:trPr>
          <w:cantSplit/>
        </w:trPr>
        <w:tc>
          <w:tcPr>
            <w:tcW w:type="dxa" w:w="792"/>
            <w:tcMar>
              <w:top w:w="65" w:type="dxa"/>
              <w:start w:w="70" w:type="dxa"/>
              <w:bottom w:w="65" w:type="dxa"/>
              <w:end w:w="70" w:type="dxa"/>
            </w:tcMar>
            <w:vAlign w:val="top"/>
          </w:tcPr>
          <w:p>
            <w:pPr>
              <w:spacing w:after="0"/>
            </w:pPr>
            <w:r>
              <w:rPr>
                <w:sz w:val="15"/>
              </w:rPr>
              <w:t>5</w:t>
            </w:r>
          </w:p>
        </w:tc>
        <w:tc>
          <w:tcPr>
            <w:tcW w:type="dxa" w:w="9288"/>
            <w:tcMar>
              <w:top w:w="65" w:type="dxa"/>
              <w:start w:w="70" w:type="dxa"/>
              <w:bottom w:w="65" w:type="dxa"/>
              <w:end w:w="70" w:type="dxa"/>
            </w:tcMar>
            <w:vAlign w:val="top"/>
          </w:tcPr>
          <w:p>
            <w:pPr>
              <w:spacing w:after="0"/>
            </w:pPr>
            <w:r>
              <w:rPr>
                <w:sz w:val="15"/>
              </w:rPr>
              <w:t>Beta-thalassemia pattern</w:t>
            </w:r>
          </w:p>
        </w:tc>
      </w:tr>
      <w:tr>
        <w:trPr>
          <w:cantSplit/>
        </w:trPr>
        <w:tc>
          <w:tcPr>
            <w:tcW w:type="dxa" w:w="792"/>
            <w:tcMar>
              <w:top w:w="65" w:type="dxa"/>
              <w:start w:w="70" w:type="dxa"/>
              <w:bottom w:w="65" w:type="dxa"/>
              <w:end w:w="70" w:type="dxa"/>
            </w:tcMar>
            <w:vAlign w:val="top"/>
            <w:shd w:fill="F7F9FA"/>
          </w:tcPr>
          <w:p>
            <w:pPr>
              <w:spacing w:after="0"/>
            </w:pPr>
            <w:r>
              <w:rPr>
                <w:sz w:val="15"/>
              </w:rPr>
              <w:t>6</w:t>
            </w:r>
          </w:p>
        </w:tc>
        <w:tc>
          <w:tcPr>
            <w:tcW w:type="dxa" w:w="9288"/>
            <w:tcMar>
              <w:top w:w="65" w:type="dxa"/>
              <w:start w:w="70" w:type="dxa"/>
              <w:bottom w:w="65" w:type="dxa"/>
              <w:end w:w="70" w:type="dxa"/>
            </w:tcMar>
            <w:vAlign w:val="top"/>
            <w:shd w:fill="F7F9FA"/>
          </w:tcPr>
          <w:p>
            <w:pPr>
              <w:spacing w:after="0"/>
            </w:pPr>
            <w:r>
              <w:rPr>
                <w:sz w:val="15"/>
              </w:rPr>
              <w:t>Alpha-thalassemia pattern</w:t>
            </w:r>
          </w:p>
        </w:tc>
      </w:tr>
      <w:tr>
        <w:trPr>
          <w:cantSplit/>
        </w:trPr>
        <w:tc>
          <w:tcPr>
            <w:tcW w:type="dxa" w:w="792"/>
            <w:tcMar>
              <w:top w:w="65" w:type="dxa"/>
              <w:start w:w="70" w:type="dxa"/>
              <w:bottom w:w="65" w:type="dxa"/>
              <w:end w:w="70" w:type="dxa"/>
            </w:tcMar>
            <w:vAlign w:val="top"/>
          </w:tcPr>
          <w:p>
            <w:pPr>
              <w:spacing w:after="0"/>
            </w:pPr>
            <w:r>
              <w:rPr>
                <w:sz w:val="15"/>
              </w:rPr>
              <w:t>7</w:t>
            </w:r>
          </w:p>
        </w:tc>
        <w:tc>
          <w:tcPr>
            <w:tcW w:type="dxa" w:w="9288"/>
            <w:tcMar>
              <w:top w:w="65" w:type="dxa"/>
              <w:start w:w="70" w:type="dxa"/>
              <w:bottom w:w="65" w:type="dxa"/>
              <w:end w:w="70" w:type="dxa"/>
            </w:tcMar>
            <w:vAlign w:val="top"/>
          </w:tcPr>
          <w:p>
            <w:pPr>
              <w:spacing w:after="0"/>
            </w:pPr>
            <w:r>
              <w:rPr>
                <w:sz w:val="15"/>
              </w:rPr>
              <w:t>Lead exposure-associated anemia</w:t>
            </w:r>
          </w:p>
        </w:tc>
      </w:tr>
      <w:tr>
        <w:trPr>
          <w:cantSplit/>
        </w:trPr>
        <w:tc>
          <w:tcPr>
            <w:tcW w:type="dxa" w:w="792"/>
            <w:tcMar>
              <w:top w:w="65" w:type="dxa"/>
              <w:start w:w="70" w:type="dxa"/>
              <w:bottom w:w="65" w:type="dxa"/>
              <w:end w:w="70" w:type="dxa"/>
            </w:tcMar>
            <w:vAlign w:val="top"/>
            <w:shd w:fill="F7F9FA"/>
          </w:tcPr>
          <w:p>
            <w:pPr>
              <w:spacing w:after="0"/>
            </w:pPr>
            <w:r>
              <w:rPr>
                <w:sz w:val="15"/>
              </w:rPr>
              <w:t>8</w:t>
            </w:r>
          </w:p>
        </w:tc>
        <w:tc>
          <w:tcPr>
            <w:tcW w:type="dxa" w:w="9288"/>
            <w:tcMar>
              <w:top w:w="65" w:type="dxa"/>
              <w:start w:w="70" w:type="dxa"/>
              <w:bottom w:w="65" w:type="dxa"/>
              <w:end w:w="70" w:type="dxa"/>
            </w:tcMar>
            <w:vAlign w:val="top"/>
            <w:shd w:fill="F7F9FA"/>
          </w:tcPr>
          <w:p>
            <w:pPr>
              <w:spacing w:after="0"/>
            </w:pPr>
            <w:r>
              <w:rPr>
                <w:sz w:val="15"/>
              </w:rPr>
              <w:t>Sideroblastic or iron-loading microcytosis</w:t>
            </w:r>
          </w:p>
        </w:tc>
      </w:tr>
      <w:tr>
        <w:trPr>
          <w:cantSplit/>
        </w:trPr>
        <w:tc>
          <w:tcPr>
            <w:tcW w:type="dxa" w:w="792"/>
            <w:tcMar>
              <w:top w:w="65" w:type="dxa"/>
              <w:start w:w="70" w:type="dxa"/>
              <w:bottom w:w="65" w:type="dxa"/>
              <w:end w:w="70" w:type="dxa"/>
            </w:tcMar>
            <w:vAlign w:val="top"/>
          </w:tcPr>
          <w:p>
            <w:pPr>
              <w:spacing w:after="0"/>
            </w:pPr>
            <w:r>
              <w:rPr>
                <w:sz w:val="15"/>
              </w:rPr>
              <w:t>9</w:t>
            </w:r>
          </w:p>
        </w:tc>
        <w:tc>
          <w:tcPr>
            <w:tcW w:type="dxa" w:w="9288"/>
            <w:tcMar>
              <w:top w:w="65" w:type="dxa"/>
              <w:start w:w="70" w:type="dxa"/>
              <w:bottom w:w="65" w:type="dxa"/>
              <w:end w:w="70" w:type="dxa"/>
            </w:tcMar>
            <w:vAlign w:val="top"/>
          </w:tcPr>
          <w:p>
            <w:pPr>
              <w:spacing w:after="0"/>
            </w:pPr>
            <w:r>
              <w:rPr>
                <w:sz w:val="15"/>
              </w:rPr>
              <w:t>Blood loss</w:t>
            </w:r>
          </w:p>
        </w:tc>
      </w:tr>
      <w:tr>
        <w:trPr>
          <w:cantSplit/>
        </w:trPr>
        <w:tc>
          <w:tcPr>
            <w:tcW w:type="dxa" w:w="792"/>
            <w:tcMar>
              <w:top w:w="65" w:type="dxa"/>
              <w:start w:w="70" w:type="dxa"/>
              <w:bottom w:w="65" w:type="dxa"/>
              <w:end w:w="70" w:type="dxa"/>
            </w:tcMar>
            <w:vAlign w:val="top"/>
            <w:shd w:fill="F7F9FA"/>
          </w:tcPr>
          <w:p>
            <w:pPr>
              <w:spacing w:after="0"/>
            </w:pPr>
            <w:r>
              <w:rPr>
                <w:sz w:val="15"/>
              </w:rPr>
              <w:t>10</w:t>
            </w:r>
          </w:p>
        </w:tc>
        <w:tc>
          <w:tcPr>
            <w:tcW w:type="dxa" w:w="9288"/>
            <w:tcMar>
              <w:top w:w="65" w:type="dxa"/>
              <w:start w:w="70" w:type="dxa"/>
              <w:bottom w:w="65" w:type="dxa"/>
              <w:end w:w="70" w:type="dxa"/>
            </w:tcMar>
            <w:vAlign w:val="top"/>
            <w:shd w:fill="F7F9FA"/>
          </w:tcPr>
          <w:p>
            <w:pPr>
              <w:spacing w:after="0"/>
            </w:pPr>
            <w:r>
              <w:rPr>
                <w:sz w:val="15"/>
              </w:rPr>
              <w:t>Hemolysis, etiology not yet specified</w:t>
            </w:r>
          </w:p>
        </w:tc>
      </w:tr>
      <w:tr>
        <w:trPr>
          <w:cantSplit/>
        </w:trPr>
        <w:tc>
          <w:tcPr>
            <w:tcW w:type="dxa" w:w="792"/>
            <w:tcMar>
              <w:top w:w="65" w:type="dxa"/>
              <w:start w:w="70" w:type="dxa"/>
              <w:bottom w:w="65" w:type="dxa"/>
              <w:end w:w="70" w:type="dxa"/>
            </w:tcMar>
            <w:vAlign w:val="top"/>
          </w:tcPr>
          <w:p>
            <w:pPr>
              <w:spacing w:after="0"/>
            </w:pPr>
            <w:r>
              <w:rPr>
                <w:sz w:val="15"/>
              </w:rPr>
              <w:t>11</w:t>
            </w:r>
          </w:p>
        </w:tc>
        <w:tc>
          <w:tcPr>
            <w:tcW w:type="dxa" w:w="9288"/>
            <w:tcMar>
              <w:top w:w="65" w:type="dxa"/>
              <w:start w:w="70" w:type="dxa"/>
              <w:bottom w:w="65" w:type="dxa"/>
              <w:end w:w="70" w:type="dxa"/>
            </w:tcMar>
            <w:vAlign w:val="top"/>
          </w:tcPr>
          <w:p>
            <w:pPr>
              <w:spacing w:after="0"/>
            </w:pPr>
            <w:r>
              <w:rPr>
                <w:sz w:val="15"/>
              </w:rPr>
              <w:t>Autoimmune hemolytic anemia</w:t>
            </w:r>
          </w:p>
        </w:tc>
      </w:tr>
      <w:tr>
        <w:trPr>
          <w:cantSplit/>
        </w:trPr>
        <w:tc>
          <w:tcPr>
            <w:tcW w:type="dxa" w:w="792"/>
            <w:tcMar>
              <w:top w:w="65" w:type="dxa"/>
              <w:start w:w="70" w:type="dxa"/>
              <w:bottom w:w="65" w:type="dxa"/>
              <w:end w:w="70" w:type="dxa"/>
            </w:tcMar>
            <w:vAlign w:val="top"/>
            <w:shd w:fill="F7F9FA"/>
          </w:tcPr>
          <w:p>
            <w:pPr>
              <w:spacing w:after="0"/>
            </w:pPr>
            <w:r>
              <w:rPr>
                <w:sz w:val="15"/>
              </w:rPr>
              <w:t>12</w:t>
            </w:r>
          </w:p>
        </w:tc>
        <w:tc>
          <w:tcPr>
            <w:tcW w:type="dxa" w:w="9288"/>
            <w:tcMar>
              <w:top w:w="65" w:type="dxa"/>
              <w:start w:w="70" w:type="dxa"/>
              <w:bottom w:w="65" w:type="dxa"/>
              <w:end w:w="70" w:type="dxa"/>
            </w:tcMar>
            <w:vAlign w:val="top"/>
            <w:shd w:fill="F7F9FA"/>
          </w:tcPr>
          <w:p>
            <w:pPr>
              <w:spacing w:after="0"/>
            </w:pPr>
            <w:r>
              <w:rPr>
                <w:sz w:val="15"/>
              </w:rPr>
              <w:t>Hereditary spherocytosis</w:t>
            </w:r>
          </w:p>
        </w:tc>
      </w:tr>
      <w:tr>
        <w:trPr>
          <w:cantSplit/>
        </w:trPr>
        <w:tc>
          <w:tcPr>
            <w:tcW w:type="dxa" w:w="792"/>
            <w:tcMar>
              <w:top w:w="65" w:type="dxa"/>
              <w:start w:w="70" w:type="dxa"/>
              <w:bottom w:w="65" w:type="dxa"/>
              <w:end w:w="70" w:type="dxa"/>
            </w:tcMar>
            <w:vAlign w:val="top"/>
          </w:tcPr>
          <w:p>
            <w:pPr>
              <w:spacing w:after="0"/>
            </w:pPr>
            <w:r>
              <w:rPr>
                <w:sz w:val="15"/>
              </w:rPr>
              <w:t>13</w:t>
            </w:r>
          </w:p>
        </w:tc>
        <w:tc>
          <w:tcPr>
            <w:tcW w:type="dxa" w:w="9288"/>
            <w:tcMar>
              <w:top w:w="65" w:type="dxa"/>
              <w:start w:w="70" w:type="dxa"/>
              <w:bottom w:w="65" w:type="dxa"/>
              <w:end w:w="70" w:type="dxa"/>
            </w:tcMar>
            <w:vAlign w:val="top"/>
          </w:tcPr>
          <w:p>
            <w:pPr>
              <w:spacing w:after="0"/>
            </w:pPr>
            <w:r>
              <w:rPr>
                <w:sz w:val="15"/>
              </w:rPr>
              <w:t>G6PD deficiency</w:t>
            </w:r>
          </w:p>
        </w:tc>
      </w:tr>
      <w:tr>
        <w:trPr>
          <w:cantSplit/>
        </w:trPr>
        <w:tc>
          <w:tcPr>
            <w:tcW w:type="dxa" w:w="792"/>
            <w:tcMar>
              <w:top w:w="65" w:type="dxa"/>
              <w:start w:w="70" w:type="dxa"/>
              <w:bottom w:w="65" w:type="dxa"/>
              <w:end w:w="70" w:type="dxa"/>
            </w:tcMar>
            <w:vAlign w:val="top"/>
            <w:shd w:fill="F7F9FA"/>
          </w:tcPr>
          <w:p>
            <w:pPr>
              <w:spacing w:after="0"/>
            </w:pPr>
            <w:r>
              <w:rPr>
                <w:sz w:val="15"/>
              </w:rPr>
              <w:t>14</w:t>
            </w:r>
          </w:p>
        </w:tc>
        <w:tc>
          <w:tcPr>
            <w:tcW w:type="dxa" w:w="9288"/>
            <w:tcMar>
              <w:top w:w="65" w:type="dxa"/>
              <w:start w:w="70" w:type="dxa"/>
              <w:bottom w:w="65" w:type="dxa"/>
              <w:end w:w="70" w:type="dxa"/>
            </w:tcMar>
            <w:vAlign w:val="top"/>
            <w:shd w:fill="F7F9FA"/>
          </w:tcPr>
          <w:p>
            <w:pPr>
              <w:spacing w:after="0"/>
            </w:pPr>
            <w:r>
              <w:rPr>
                <w:sz w:val="15"/>
              </w:rPr>
              <w:t>Microangiopathic hemolysis</w:t>
            </w:r>
          </w:p>
        </w:tc>
      </w:tr>
      <w:tr>
        <w:trPr>
          <w:cantSplit/>
        </w:trPr>
        <w:tc>
          <w:tcPr>
            <w:tcW w:type="dxa" w:w="792"/>
            <w:tcMar>
              <w:top w:w="65" w:type="dxa"/>
              <w:start w:w="70" w:type="dxa"/>
              <w:bottom w:w="65" w:type="dxa"/>
              <w:end w:w="70" w:type="dxa"/>
            </w:tcMar>
            <w:vAlign w:val="top"/>
          </w:tcPr>
          <w:p>
            <w:pPr>
              <w:spacing w:after="0"/>
            </w:pPr>
            <w:r>
              <w:rPr>
                <w:sz w:val="15"/>
              </w:rPr>
              <w:t>15</w:t>
            </w:r>
          </w:p>
        </w:tc>
        <w:tc>
          <w:tcPr>
            <w:tcW w:type="dxa" w:w="9288"/>
            <w:tcMar>
              <w:top w:w="65" w:type="dxa"/>
              <w:start w:w="70" w:type="dxa"/>
              <w:bottom w:w="65" w:type="dxa"/>
              <w:end w:w="70" w:type="dxa"/>
            </w:tcMar>
            <w:vAlign w:val="top"/>
          </w:tcPr>
          <w:p>
            <w:pPr>
              <w:spacing w:after="0"/>
            </w:pPr>
            <w:r>
              <w:rPr>
                <w:sz w:val="15"/>
              </w:rPr>
              <w:t>Sickling hemoglobinopathy</w:t>
            </w:r>
          </w:p>
        </w:tc>
      </w:tr>
      <w:tr>
        <w:trPr>
          <w:cantSplit/>
        </w:trPr>
        <w:tc>
          <w:tcPr>
            <w:tcW w:type="dxa" w:w="792"/>
            <w:tcMar>
              <w:top w:w="65" w:type="dxa"/>
              <w:start w:w="70" w:type="dxa"/>
              <w:bottom w:w="65" w:type="dxa"/>
              <w:end w:w="70" w:type="dxa"/>
            </w:tcMar>
            <w:vAlign w:val="top"/>
            <w:shd w:fill="F7F9FA"/>
          </w:tcPr>
          <w:p>
            <w:pPr>
              <w:spacing w:after="0"/>
            </w:pPr>
            <w:r>
              <w:rPr>
                <w:sz w:val="15"/>
              </w:rPr>
              <w:t>16</w:t>
            </w:r>
          </w:p>
        </w:tc>
        <w:tc>
          <w:tcPr>
            <w:tcW w:type="dxa" w:w="9288"/>
            <w:tcMar>
              <w:top w:w="65" w:type="dxa"/>
              <w:start w:w="70" w:type="dxa"/>
              <w:bottom w:w="65" w:type="dxa"/>
              <w:end w:w="70" w:type="dxa"/>
            </w:tcMar>
            <w:vAlign w:val="top"/>
            <w:shd w:fill="F7F9FA"/>
          </w:tcPr>
          <w:p>
            <w:pPr>
              <w:spacing w:after="0"/>
            </w:pPr>
            <w:r>
              <w:rPr>
                <w:sz w:val="15"/>
              </w:rPr>
              <w:t>Malaria or parasitic hemolysis</w:t>
            </w:r>
          </w:p>
        </w:tc>
      </w:tr>
      <w:tr>
        <w:trPr>
          <w:cantSplit/>
        </w:trPr>
        <w:tc>
          <w:tcPr>
            <w:tcW w:type="dxa" w:w="792"/>
            <w:tcMar>
              <w:top w:w="65" w:type="dxa"/>
              <w:start w:w="70" w:type="dxa"/>
              <w:bottom w:w="65" w:type="dxa"/>
              <w:end w:w="70" w:type="dxa"/>
            </w:tcMar>
            <w:vAlign w:val="top"/>
          </w:tcPr>
          <w:p>
            <w:pPr>
              <w:spacing w:after="0"/>
            </w:pPr>
            <w:r>
              <w:rPr>
                <w:sz w:val="15"/>
              </w:rPr>
              <w:t>17</w:t>
            </w:r>
          </w:p>
        </w:tc>
        <w:tc>
          <w:tcPr>
            <w:tcW w:type="dxa" w:w="9288"/>
            <w:tcMar>
              <w:top w:w="65" w:type="dxa"/>
              <w:start w:w="70" w:type="dxa"/>
              <w:bottom w:w="65" w:type="dxa"/>
              <w:end w:w="70" w:type="dxa"/>
            </w:tcMar>
            <w:vAlign w:val="top"/>
          </w:tcPr>
          <w:p>
            <w:pPr>
              <w:spacing w:after="0"/>
            </w:pPr>
            <w:r>
              <w:rPr>
                <w:sz w:val="15"/>
              </w:rPr>
              <w:t>Renal anemia</w:t>
            </w:r>
          </w:p>
        </w:tc>
      </w:tr>
      <w:tr>
        <w:trPr>
          <w:cantSplit/>
        </w:trPr>
        <w:tc>
          <w:tcPr>
            <w:tcW w:type="dxa" w:w="792"/>
            <w:tcMar>
              <w:top w:w="65" w:type="dxa"/>
              <w:start w:w="70" w:type="dxa"/>
              <w:bottom w:w="65" w:type="dxa"/>
              <w:end w:w="70" w:type="dxa"/>
            </w:tcMar>
            <w:vAlign w:val="top"/>
            <w:shd w:fill="F7F9FA"/>
          </w:tcPr>
          <w:p>
            <w:pPr>
              <w:spacing w:after="0"/>
            </w:pPr>
            <w:r>
              <w:rPr>
                <w:sz w:val="15"/>
              </w:rPr>
              <w:t>18</w:t>
            </w:r>
          </w:p>
        </w:tc>
        <w:tc>
          <w:tcPr>
            <w:tcW w:type="dxa" w:w="9288"/>
            <w:tcMar>
              <w:top w:w="65" w:type="dxa"/>
              <w:start w:w="70" w:type="dxa"/>
              <w:bottom w:w="65" w:type="dxa"/>
              <w:end w:w="70" w:type="dxa"/>
            </w:tcMar>
            <w:vAlign w:val="top"/>
            <w:shd w:fill="F7F9FA"/>
          </w:tcPr>
          <w:p>
            <w:pPr>
              <w:spacing w:after="0"/>
            </w:pPr>
            <w:r>
              <w:rPr>
                <w:sz w:val="15"/>
              </w:rPr>
              <w:t>Transient erythroblastopenia of childhood</w:t>
            </w:r>
          </w:p>
        </w:tc>
      </w:tr>
      <w:tr>
        <w:trPr>
          <w:cantSplit/>
        </w:trPr>
        <w:tc>
          <w:tcPr>
            <w:tcW w:type="dxa" w:w="792"/>
            <w:tcMar>
              <w:top w:w="65" w:type="dxa"/>
              <w:start w:w="70" w:type="dxa"/>
              <w:bottom w:w="65" w:type="dxa"/>
              <w:end w:w="70" w:type="dxa"/>
            </w:tcMar>
            <w:vAlign w:val="top"/>
          </w:tcPr>
          <w:p>
            <w:pPr>
              <w:spacing w:after="0"/>
            </w:pPr>
            <w:r>
              <w:rPr>
                <w:sz w:val="15"/>
              </w:rPr>
              <w:t>19</w:t>
            </w:r>
          </w:p>
        </w:tc>
        <w:tc>
          <w:tcPr>
            <w:tcW w:type="dxa" w:w="9288"/>
            <w:tcMar>
              <w:top w:w="65" w:type="dxa"/>
              <w:start w:w="70" w:type="dxa"/>
              <w:bottom w:w="65" w:type="dxa"/>
              <w:end w:w="70" w:type="dxa"/>
            </w:tcMar>
            <w:vAlign w:val="top"/>
          </w:tcPr>
          <w:p>
            <w:pPr>
              <w:spacing w:after="0"/>
            </w:pPr>
            <w:r>
              <w:rPr>
                <w:sz w:val="15"/>
              </w:rPr>
              <w:t>Parvovirus aplastic crisis</w:t>
            </w:r>
          </w:p>
        </w:tc>
      </w:tr>
      <w:tr>
        <w:trPr>
          <w:cantSplit/>
        </w:trPr>
        <w:tc>
          <w:tcPr>
            <w:tcW w:type="dxa" w:w="792"/>
            <w:tcMar>
              <w:top w:w="65" w:type="dxa"/>
              <w:start w:w="70" w:type="dxa"/>
              <w:bottom w:w="65" w:type="dxa"/>
              <w:end w:w="70" w:type="dxa"/>
            </w:tcMar>
            <w:vAlign w:val="top"/>
            <w:shd w:fill="F7F9FA"/>
          </w:tcPr>
          <w:p>
            <w:pPr>
              <w:spacing w:after="0"/>
            </w:pPr>
            <w:r>
              <w:rPr>
                <w:sz w:val="15"/>
              </w:rPr>
              <w:t>20</w:t>
            </w:r>
          </w:p>
        </w:tc>
        <w:tc>
          <w:tcPr>
            <w:tcW w:type="dxa" w:w="9288"/>
            <w:tcMar>
              <w:top w:w="65" w:type="dxa"/>
              <w:start w:w="70" w:type="dxa"/>
              <w:bottom w:w="65" w:type="dxa"/>
              <w:end w:w="70" w:type="dxa"/>
            </w:tcMar>
            <w:vAlign w:val="top"/>
            <w:shd w:fill="F7F9FA"/>
          </w:tcPr>
          <w:p>
            <w:pPr>
              <w:spacing w:after="0"/>
            </w:pPr>
            <w:r>
              <w:rPr>
                <w:sz w:val="15"/>
              </w:rPr>
              <w:t>Marrow failure or infiltration</w:t>
            </w:r>
          </w:p>
        </w:tc>
      </w:tr>
      <w:tr>
        <w:trPr>
          <w:cantSplit/>
        </w:trPr>
        <w:tc>
          <w:tcPr>
            <w:tcW w:type="dxa" w:w="792"/>
            <w:tcMar>
              <w:top w:w="65" w:type="dxa"/>
              <w:start w:w="70" w:type="dxa"/>
              <w:bottom w:w="65" w:type="dxa"/>
              <w:end w:w="70" w:type="dxa"/>
            </w:tcMar>
            <w:vAlign w:val="top"/>
          </w:tcPr>
          <w:p>
            <w:pPr>
              <w:spacing w:after="0"/>
            </w:pPr>
            <w:r>
              <w:rPr>
                <w:sz w:val="15"/>
              </w:rPr>
              <w:t>21</w:t>
            </w:r>
          </w:p>
        </w:tc>
        <w:tc>
          <w:tcPr>
            <w:tcW w:type="dxa" w:w="9288"/>
            <w:tcMar>
              <w:top w:w="65" w:type="dxa"/>
              <w:start w:w="70" w:type="dxa"/>
              <w:bottom w:w="65" w:type="dxa"/>
              <w:end w:w="70" w:type="dxa"/>
            </w:tcMar>
            <w:vAlign w:val="top"/>
          </w:tcPr>
          <w:p>
            <w:pPr>
              <w:spacing w:after="0"/>
            </w:pPr>
            <w:r>
              <w:rPr>
                <w:sz w:val="15"/>
              </w:rPr>
              <w:t>Vitamin B12 or folate deficiency</w:t>
            </w:r>
          </w:p>
        </w:tc>
      </w:tr>
      <w:tr>
        <w:trPr>
          <w:cantSplit/>
        </w:trPr>
        <w:tc>
          <w:tcPr>
            <w:tcW w:type="dxa" w:w="792"/>
            <w:tcMar>
              <w:top w:w="65" w:type="dxa"/>
              <w:start w:w="70" w:type="dxa"/>
              <w:bottom w:w="65" w:type="dxa"/>
              <w:end w:w="70" w:type="dxa"/>
            </w:tcMar>
            <w:vAlign w:val="top"/>
            <w:shd w:fill="F7F9FA"/>
          </w:tcPr>
          <w:p>
            <w:pPr>
              <w:spacing w:after="0"/>
            </w:pPr>
            <w:r>
              <w:rPr>
                <w:sz w:val="15"/>
              </w:rPr>
              <w:t>22</w:t>
            </w:r>
          </w:p>
        </w:tc>
        <w:tc>
          <w:tcPr>
            <w:tcW w:type="dxa" w:w="9288"/>
            <w:tcMar>
              <w:top w:w="65" w:type="dxa"/>
              <w:start w:w="70" w:type="dxa"/>
              <w:bottom w:w="65" w:type="dxa"/>
              <w:end w:w="70" w:type="dxa"/>
            </w:tcMar>
            <w:vAlign w:val="top"/>
            <w:shd w:fill="F7F9FA"/>
          </w:tcPr>
          <w:p>
            <w:pPr>
              <w:spacing w:after="0"/>
            </w:pPr>
            <w:r>
              <w:rPr>
                <w:sz w:val="15"/>
              </w:rPr>
              <w:t>Copper deficiency</w:t>
            </w:r>
          </w:p>
        </w:tc>
      </w:tr>
      <w:tr>
        <w:trPr>
          <w:cantSplit/>
        </w:trPr>
        <w:tc>
          <w:tcPr>
            <w:tcW w:type="dxa" w:w="792"/>
            <w:tcMar>
              <w:top w:w="65" w:type="dxa"/>
              <w:start w:w="70" w:type="dxa"/>
              <w:bottom w:w="65" w:type="dxa"/>
              <w:end w:w="70" w:type="dxa"/>
            </w:tcMar>
            <w:vAlign w:val="top"/>
          </w:tcPr>
          <w:p>
            <w:pPr>
              <w:spacing w:after="0"/>
            </w:pPr>
            <w:r>
              <w:rPr>
                <w:sz w:val="15"/>
              </w:rPr>
              <w:t>23</w:t>
            </w:r>
          </w:p>
        </w:tc>
        <w:tc>
          <w:tcPr>
            <w:tcW w:type="dxa" w:w="9288"/>
            <w:tcMar>
              <w:top w:w="65" w:type="dxa"/>
              <w:start w:w="70" w:type="dxa"/>
              <w:bottom w:w="65" w:type="dxa"/>
              <w:end w:w="70" w:type="dxa"/>
            </w:tcMar>
            <w:vAlign w:val="top"/>
          </w:tcPr>
          <w:p>
            <w:pPr>
              <w:spacing w:after="0"/>
            </w:pPr>
            <w:r>
              <w:rPr>
                <w:sz w:val="15"/>
              </w:rPr>
              <w:t>Thyroid-, liver-, or medication-associated macrocytosis</w:t>
            </w:r>
          </w:p>
        </w:tc>
      </w:tr>
      <w:tr>
        <w:trPr>
          <w:cantSplit/>
        </w:trPr>
        <w:tc>
          <w:tcPr>
            <w:tcW w:type="dxa" w:w="792"/>
            <w:tcMar>
              <w:top w:w="65" w:type="dxa"/>
              <w:start w:w="70" w:type="dxa"/>
              <w:bottom w:w="65" w:type="dxa"/>
              <w:end w:w="70" w:type="dxa"/>
            </w:tcMar>
            <w:vAlign w:val="top"/>
            <w:shd w:fill="F7F9FA"/>
          </w:tcPr>
          <w:p>
            <w:pPr>
              <w:spacing w:after="0"/>
            </w:pPr>
            <w:r>
              <w:rPr>
                <w:sz w:val="15"/>
              </w:rPr>
              <w:t>24</w:t>
            </w:r>
          </w:p>
        </w:tc>
        <w:tc>
          <w:tcPr>
            <w:tcW w:type="dxa" w:w="9288"/>
            <w:tcMar>
              <w:top w:w="65" w:type="dxa"/>
              <w:start w:w="70" w:type="dxa"/>
              <w:bottom w:w="65" w:type="dxa"/>
              <w:end w:w="70" w:type="dxa"/>
            </w:tcMar>
            <w:vAlign w:val="top"/>
            <w:shd w:fill="F7F9FA"/>
          </w:tcPr>
          <w:p>
            <w:pPr>
              <w:spacing w:after="0"/>
            </w:pPr>
            <w:r>
              <w:rPr>
                <w:sz w:val="15"/>
              </w:rPr>
              <w:t>Inherited marrow failure</w:t>
            </w:r>
          </w:p>
        </w:tc>
      </w:tr>
      <w:tr>
        <w:trPr>
          <w:cantSplit/>
        </w:trPr>
        <w:tc>
          <w:tcPr>
            <w:tcW w:type="dxa" w:w="792"/>
            <w:tcMar>
              <w:top w:w="65" w:type="dxa"/>
              <w:start w:w="70" w:type="dxa"/>
              <w:bottom w:w="65" w:type="dxa"/>
              <w:end w:w="70" w:type="dxa"/>
            </w:tcMar>
            <w:vAlign w:val="top"/>
          </w:tcPr>
          <w:p>
            <w:pPr>
              <w:spacing w:after="0"/>
            </w:pPr>
            <w:r>
              <w:rPr>
                <w:sz w:val="15"/>
              </w:rPr>
              <w:t>25</w:t>
            </w:r>
          </w:p>
        </w:tc>
        <w:tc>
          <w:tcPr>
            <w:tcW w:type="dxa" w:w="9288"/>
            <w:tcMar>
              <w:top w:w="65" w:type="dxa"/>
              <w:start w:w="70" w:type="dxa"/>
              <w:bottom w:w="65" w:type="dxa"/>
              <w:end w:w="70" w:type="dxa"/>
            </w:tcMar>
            <w:vAlign w:val="top"/>
          </w:tcPr>
          <w:p>
            <w:pPr>
              <w:spacing w:after="0"/>
            </w:pPr>
            <w:r>
              <w:rPr>
                <w:sz w:val="15"/>
              </w:rPr>
              <w:t>Mixed anemia or transfusion effect</w:t>
            </w:r>
          </w:p>
        </w:tc>
      </w:tr>
      <w:tr>
        <w:trPr>
          <w:cantSplit/>
        </w:trPr>
        <w:tc>
          <w:tcPr>
            <w:tcW w:type="dxa" w:w="792"/>
            <w:tcMar>
              <w:top w:w="65" w:type="dxa"/>
              <w:start w:w="70" w:type="dxa"/>
              <w:bottom w:w="65" w:type="dxa"/>
              <w:end w:w="70" w:type="dxa"/>
            </w:tcMar>
            <w:vAlign w:val="top"/>
            <w:shd w:fill="F7F9FA"/>
          </w:tcPr>
          <w:p>
            <w:pPr>
              <w:spacing w:after="0"/>
            </w:pPr>
            <w:r>
              <w:rPr>
                <w:sz w:val="15"/>
              </w:rPr>
              <w:t>26</w:t>
            </w:r>
          </w:p>
        </w:tc>
        <w:tc>
          <w:tcPr>
            <w:tcW w:type="dxa" w:w="9288"/>
            <w:tcMar>
              <w:top w:w="65" w:type="dxa"/>
              <w:start w:w="70" w:type="dxa"/>
              <w:bottom w:w="65" w:type="dxa"/>
              <w:end w:w="70" w:type="dxa"/>
            </w:tcMar>
            <w:vAlign w:val="top"/>
            <w:shd w:fill="F7F9FA"/>
          </w:tcPr>
          <w:p>
            <w:pPr>
              <w:spacing w:after="0"/>
            </w:pPr>
            <w:r>
              <w:rPr>
                <w:sz w:val="15"/>
              </w:rPr>
              <w:t>Iron-refractory iron deficiency anemia / rare iron handling disorder</w:t>
            </w:r>
          </w:p>
        </w:tc>
      </w:tr>
    </w:tbl>
    <w:p>
      <w:pPr>
        <w:spacing w:after="20"/>
      </w:pPr>
    </w:p>
    <w:p>
      <w:pPr>
        <w:pStyle w:val="Heading1"/>
      </w:pPr>
      <w:r>
        <w:t>8. User interface and workflow</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880"/>
            <w:shd w:fill="123E4A"/>
            <w:tcMar>
              <w:top w:w="75" w:type="dxa"/>
              <w:start w:w="70" w:type="dxa"/>
              <w:bottom w:w="75" w:type="dxa"/>
              <w:end w:w="70" w:type="dxa"/>
            </w:tcMar>
            <w:vAlign w:val="center"/>
          </w:tcPr>
          <w:p>
            <w:r>
              <w:rPr>
                <w:b/>
                <w:color w:val="FFFFFF"/>
                <w:sz w:val="15"/>
              </w:rPr>
              <w:t>Tab / area</w:t>
            </w:r>
          </w:p>
        </w:tc>
        <w:tc>
          <w:tcPr>
            <w:tcW w:type="dxa" w:w="7200"/>
            <w:shd w:fill="123E4A"/>
            <w:tcMar>
              <w:top w:w="75" w:type="dxa"/>
              <w:start w:w="70" w:type="dxa"/>
              <w:bottom w:w="75" w:type="dxa"/>
              <w:end w:w="70" w:type="dxa"/>
            </w:tcMar>
            <w:vAlign w:val="center"/>
          </w:tcPr>
          <w:p>
            <w:r>
              <w:rPr>
                <w:b/>
                <w:color w:val="FFFFFF"/>
                <w:sz w:val="15"/>
              </w:rPr>
              <w:t>Current behavior</w:t>
            </w:r>
          </w:p>
        </w:tc>
      </w:tr>
      <w:tr>
        <w:trPr>
          <w:cantSplit/>
        </w:trPr>
        <w:tc>
          <w:tcPr>
            <w:tcW w:type="dxa" w:w="2880"/>
            <w:tcMar>
              <w:top w:w="65" w:type="dxa"/>
              <w:start w:w="70" w:type="dxa"/>
              <w:bottom w:w="65" w:type="dxa"/>
              <w:end w:w="70" w:type="dxa"/>
            </w:tcMar>
            <w:vAlign w:val="top"/>
          </w:tcPr>
          <w:p>
            <w:pPr>
              <w:spacing w:after="0"/>
            </w:pPr>
            <w:r>
              <w:rPr>
                <w:sz w:val="15"/>
              </w:rPr>
              <w:t>Assessment</w:t>
            </w:r>
          </w:p>
        </w:tc>
        <w:tc>
          <w:tcPr>
            <w:tcW w:type="dxa" w:w="7200"/>
            <w:tcMar>
              <w:top w:w="65" w:type="dxa"/>
              <w:start w:w="70" w:type="dxa"/>
              <w:bottom w:w="65" w:type="dxa"/>
              <w:end w:w="70" w:type="dxa"/>
            </w:tcMar>
            <w:vAlign w:val="top"/>
          </w:tcPr>
          <w:p>
            <w:pPr>
              <w:spacing w:after="0"/>
            </w:pPr>
            <w:r>
              <w:rPr>
                <w:sz w:val="15"/>
              </w:rPr>
              <w:t>Six-stage intake, worked examples, live de-identified snapshot, input-depth indicator, sticky run action, independent results pane.</w:t>
            </w:r>
          </w:p>
        </w:tc>
      </w:tr>
      <w:tr>
        <w:trPr>
          <w:cantSplit/>
        </w:trPr>
        <w:tc>
          <w:tcPr>
            <w:tcW w:type="dxa" w:w="2880"/>
            <w:tcMar>
              <w:top w:w="65" w:type="dxa"/>
              <w:start w:w="70" w:type="dxa"/>
              <w:bottom w:w="65" w:type="dxa"/>
              <w:end w:w="70" w:type="dxa"/>
            </w:tcMar>
            <w:vAlign w:val="top"/>
            <w:shd w:fill="F7F9FA"/>
          </w:tcPr>
          <w:p>
            <w:pPr>
              <w:spacing w:after="0"/>
            </w:pPr>
            <w:r>
              <w:rPr>
                <w:sz w:val="15"/>
              </w:rPr>
              <w:t>Clinical logic / Algorithm Explorer</w:t>
            </w:r>
          </w:p>
        </w:tc>
        <w:tc>
          <w:tcPr>
            <w:tcW w:type="dxa" w:w="7200"/>
            <w:tcMar>
              <w:top w:w="65" w:type="dxa"/>
              <w:start w:w="70" w:type="dxa"/>
              <w:bottom w:w="65" w:type="dxa"/>
              <w:end w:w="70" w:type="dxa"/>
            </w:tcMar>
            <w:vAlign w:val="top"/>
            <w:shd w:fill="F7F9FA"/>
          </w:tcPr>
          <w:p>
            <w:pPr>
              <w:spacing w:after="0"/>
            </w:pPr>
            <w:r>
              <w:rPr>
                <w:sz w:val="15"/>
              </w:rPr>
              <w:t>Six expanded stages with explanations, data fields, expressions, thresholds, evidence links, examples, morphology branches, and live engine walkthrough.</w:t>
            </w:r>
          </w:p>
        </w:tc>
      </w:tr>
      <w:tr>
        <w:trPr>
          <w:cantSplit/>
        </w:trPr>
        <w:tc>
          <w:tcPr>
            <w:tcW w:type="dxa" w:w="2880"/>
            <w:tcMar>
              <w:top w:w="65" w:type="dxa"/>
              <w:start w:w="70" w:type="dxa"/>
              <w:bottom w:w="65" w:type="dxa"/>
              <w:end w:w="70" w:type="dxa"/>
            </w:tcMar>
            <w:vAlign w:val="top"/>
          </w:tcPr>
          <w:p>
            <w:pPr>
              <w:spacing w:after="0"/>
            </w:pPr>
            <w:r>
              <w:rPr>
                <w:sz w:val="15"/>
              </w:rPr>
              <w:t>Evidence</w:t>
            </w:r>
          </w:p>
        </w:tc>
        <w:tc>
          <w:tcPr>
            <w:tcW w:type="dxa" w:w="7200"/>
            <w:tcMar>
              <w:top w:w="65" w:type="dxa"/>
              <w:start w:w="70" w:type="dxa"/>
              <w:bottom w:w="65" w:type="dxa"/>
              <w:end w:w="70" w:type="dxa"/>
            </w:tcMar>
            <w:vAlign w:val="top"/>
          </w:tcPr>
          <w:p>
            <w:pPr>
              <w:spacing w:after="0"/>
            </w:pPr>
            <w:r>
              <w:rPr>
                <w:sz w:val="15"/>
              </w:rPr>
              <w:t>Displays evidence registry, source metadata, review recency, and links.</w:t>
            </w:r>
          </w:p>
        </w:tc>
      </w:tr>
      <w:tr>
        <w:trPr>
          <w:cantSplit/>
        </w:trPr>
        <w:tc>
          <w:tcPr>
            <w:tcW w:type="dxa" w:w="2880"/>
            <w:tcMar>
              <w:top w:w="65" w:type="dxa"/>
              <w:start w:w="70" w:type="dxa"/>
              <w:bottom w:w="65" w:type="dxa"/>
              <w:end w:w="70" w:type="dxa"/>
            </w:tcMar>
            <w:vAlign w:val="top"/>
            <w:shd w:fill="F7F9FA"/>
          </w:tcPr>
          <w:p>
            <w:pPr>
              <w:spacing w:after="0"/>
            </w:pPr>
            <w:r>
              <w:rPr>
                <w:sz w:val="15"/>
              </w:rPr>
              <w:t>Rule catalog</w:t>
            </w:r>
          </w:p>
        </w:tc>
        <w:tc>
          <w:tcPr>
            <w:tcW w:type="dxa" w:w="7200"/>
            <w:tcMar>
              <w:top w:w="65" w:type="dxa"/>
              <w:start w:w="70" w:type="dxa"/>
              <w:bottom w:w="65" w:type="dxa"/>
              <w:end w:w="70" w:type="dxa"/>
            </w:tcMar>
            <w:vAlign w:val="top"/>
            <w:shd w:fill="F7F9FA"/>
          </w:tcPr>
          <w:p>
            <w:pPr>
              <w:spacing w:after="0"/>
            </w:pPr>
            <w:r>
              <w:rPr>
                <w:sz w:val="15"/>
              </w:rPr>
              <w:t>Searchable 91-rule catalog with IDs, categories, output behavior, priorities, and evidence references.</w:t>
            </w:r>
          </w:p>
        </w:tc>
      </w:tr>
      <w:tr>
        <w:trPr>
          <w:cantSplit/>
        </w:trPr>
        <w:tc>
          <w:tcPr>
            <w:tcW w:type="dxa" w:w="2880"/>
            <w:tcMar>
              <w:top w:w="65" w:type="dxa"/>
              <w:start w:w="70" w:type="dxa"/>
              <w:bottom w:w="65" w:type="dxa"/>
              <w:end w:w="70" w:type="dxa"/>
            </w:tcMar>
            <w:vAlign w:val="top"/>
          </w:tcPr>
          <w:p>
            <w:pPr>
              <w:spacing w:after="0"/>
            </w:pPr>
            <w:r>
              <w:rPr>
                <w:sz w:val="15"/>
              </w:rPr>
              <w:t>Safety and validation</w:t>
            </w:r>
          </w:p>
        </w:tc>
        <w:tc>
          <w:tcPr>
            <w:tcW w:type="dxa" w:w="7200"/>
            <w:tcMar>
              <w:top w:w="65" w:type="dxa"/>
              <w:start w:w="70" w:type="dxa"/>
              <w:bottom w:w="65" w:type="dxa"/>
              <w:end w:w="70" w:type="dxa"/>
            </w:tcMar>
            <w:vAlign w:val="top"/>
          </w:tcPr>
          <w:p>
            <w:pPr>
              <w:spacing w:after="0"/>
            </w:pPr>
            <w:r>
              <w:rPr>
                <w:sz w:val="15"/>
              </w:rPr>
              <w:t>Research status, limitations, clinical boundaries, and production gate.</w:t>
            </w:r>
          </w:p>
        </w:tc>
      </w:tr>
      <w:tr>
        <w:trPr>
          <w:cantSplit/>
        </w:trPr>
        <w:tc>
          <w:tcPr>
            <w:tcW w:type="dxa" w:w="2880"/>
            <w:tcMar>
              <w:top w:w="65" w:type="dxa"/>
              <w:start w:w="70" w:type="dxa"/>
              <w:bottom w:w="65" w:type="dxa"/>
              <w:end w:w="70" w:type="dxa"/>
            </w:tcMar>
            <w:vAlign w:val="top"/>
            <w:shd w:fill="F7F9FA"/>
          </w:tcPr>
          <w:p>
            <w:pPr>
              <w:spacing w:after="0"/>
            </w:pPr>
            <w:r>
              <w:rPr>
                <w:sz w:val="15"/>
              </w:rPr>
              <w:t>Audit JSON</w:t>
            </w:r>
          </w:p>
        </w:tc>
        <w:tc>
          <w:tcPr>
            <w:tcW w:type="dxa" w:w="7200"/>
            <w:tcMar>
              <w:top w:w="65" w:type="dxa"/>
              <w:start w:w="70" w:type="dxa"/>
              <w:bottom w:w="65" w:type="dxa"/>
              <w:end w:w="70" w:type="dxa"/>
            </w:tcMar>
            <w:vAlign w:val="top"/>
            <w:shd w:fill="F7F9FA"/>
          </w:tcPr>
          <w:p>
            <w:pPr>
              <w:spacing w:after="0"/>
            </w:pPr>
            <w:r>
              <w:rPr>
                <w:sz w:val="15"/>
              </w:rPr>
              <w:t>Normalized input, deterministic output, KB version, matched/evaluated rules, copy and download.</w:t>
            </w:r>
          </w:p>
        </w:tc>
      </w:tr>
      <w:tr>
        <w:trPr>
          <w:cantSplit/>
        </w:trPr>
        <w:tc>
          <w:tcPr>
            <w:tcW w:type="dxa" w:w="2880"/>
            <w:tcMar>
              <w:top w:w="65" w:type="dxa"/>
              <w:start w:w="70" w:type="dxa"/>
              <w:bottom w:w="65" w:type="dxa"/>
              <w:end w:w="70" w:type="dxa"/>
            </w:tcMar>
            <w:vAlign w:val="top"/>
          </w:tcPr>
          <w:p>
            <w:pPr>
              <w:spacing w:after="0"/>
            </w:pPr>
            <w:r>
              <w:rPr>
                <w:sz w:val="15"/>
              </w:rPr>
              <w:t>Responsive behavior</w:t>
            </w:r>
          </w:p>
        </w:tc>
        <w:tc>
          <w:tcPr>
            <w:tcW w:type="dxa" w:w="7200"/>
            <w:tcMar>
              <w:top w:w="65" w:type="dxa"/>
              <w:start w:w="70" w:type="dxa"/>
              <w:bottom w:w="65" w:type="dxa"/>
              <w:end w:w="70" w:type="dxa"/>
            </w:tcMar>
            <w:vAlign w:val="top"/>
          </w:tcPr>
          <w:p>
            <w:pPr>
              <w:spacing w:after="0"/>
            </w:pPr>
            <w:r>
              <w:rPr>
                <w:sz w:val="15"/>
              </w:rPr>
              <w:t>Desktop sidebar/two-column workflow and compact mobile navigation; print-friendly result.</w:t>
            </w:r>
          </w:p>
        </w:tc>
      </w:tr>
    </w:tbl>
    <w:p>
      <w:pPr>
        <w:spacing w:after="20"/>
      </w:pPr>
    </w:p>
    <w:p>
      <w:pPr>
        <w:pStyle w:val="Heading2"/>
      </w:pPr>
      <w:r>
        <w:t>8.1 Algorithm Explorer six stages</w:t>
      </w:r>
    </w:p>
    <w:p>
      <w:pPr>
        <w:pStyle w:val="ListBullet"/>
        <w:spacing w:after="50"/>
      </w:pPr>
      <w:r>
        <w:t>Establish scope and urgency.</w:t>
      </w:r>
    </w:p>
    <w:p>
      <w:pPr>
        <w:pStyle w:val="ListBullet"/>
        <w:spacing w:after="50"/>
      </w:pPr>
      <w:r>
        <w:t>Confirm anemia.</w:t>
      </w:r>
    </w:p>
    <w:p>
      <w:pPr>
        <w:pStyle w:val="ListBullet"/>
        <w:spacing w:after="50"/>
      </w:pPr>
      <w:r>
        <w:t>Classify red-cell morphology.</w:t>
      </w:r>
    </w:p>
    <w:p>
      <w:pPr>
        <w:pStyle w:val="ListBullet"/>
        <w:spacing w:after="50"/>
      </w:pPr>
      <w:r>
        <w:t>Classify marrow response.</w:t>
      </w:r>
    </w:p>
    <w:p>
      <w:pPr>
        <w:pStyle w:val="ListBullet"/>
        <w:spacing w:after="50"/>
      </w:pPr>
      <w:r>
        <w:t>Apply morphology-specific rules.</w:t>
      </w:r>
    </w:p>
    <w:p>
      <w:pPr>
        <w:pStyle w:val="ListBullet"/>
        <w:spacing w:after="50"/>
      </w:pPr>
      <w:r>
        <w:t>Rank and expose provenance.</w:t>
      </w:r>
    </w:p>
    <w:p>
      <w:r>
        <w:t>The Explorer update changes educational and explanatory presentation only. It does not alter the 91-rule clinical knowledge base.</w:t>
      </w:r>
    </w:p>
    <w:p>
      <w:pPr>
        <w:pStyle w:val="Heading1"/>
      </w:pPr>
      <w:r>
        <w:t>9. Technical architecture</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3528"/>
            <w:shd w:fill="123E4A"/>
            <w:tcMar>
              <w:top w:w="75" w:type="dxa"/>
              <w:start w:w="70" w:type="dxa"/>
              <w:bottom w:w="75" w:type="dxa"/>
              <w:end w:w="70" w:type="dxa"/>
            </w:tcMar>
            <w:vAlign w:val="center"/>
          </w:tcPr>
          <w:p>
            <w:r>
              <w:rPr>
                <w:b/>
                <w:color w:val="FFFFFF"/>
                <w:sz w:val="14"/>
              </w:rPr>
              <w:t>Layer / file</w:t>
            </w:r>
          </w:p>
        </w:tc>
        <w:tc>
          <w:tcPr>
            <w:tcW w:type="dxa" w:w="6552"/>
            <w:shd w:fill="123E4A"/>
            <w:tcMar>
              <w:top w:w="75" w:type="dxa"/>
              <w:start w:w="70" w:type="dxa"/>
              <w:bottom w:w="75" w:type="dxa"/>
              <w:end w:w="70" w:type="dxa"/>
            </w:tcMar>
            <w:vAlign w:val="center"/>
          </w:tcPr>
          <w:p>
            <w:r>
              <w:rPr>
                <w:b/>
                <w:color w:val="FFFFFF"/>
                <w:sz w:val="14"/>
              </w:rPr>
              <w:t>Responsibility</w:t>
            </w:r>
          </w:p>
        </w:tc>
      </w:tr>
      <w:tr>
        <w:trPr>
          <w:cantSplit/>
        </w:trPr>
        <w:tc>
          <w:tcPr>
            <w:tcW w:type="dxa" w:w="3528"/>
            <w:tcMar>
              <w:top w:w="65" w:type="dxa"/>
              <w:start w:w="70" w:type="dxa"/>
              <w:bottom w:w="65" w:type="dxa"/>
              <w:end w:w="70" w:type="dxa"/>
            </w:tcMar>
            <w:vAlign w:val="top"/>
          </w:tcPr>
          <w:p>
            <w:pPr>
              <w:spacing w:after="0"/>
            </w:pPr>
            <w:r>
              <w:rPr>
                <w:sz w:val="14"/>
              </w:rPr>
              <w:t>index.html; styles.css; site-overrides.css</w:t>
            </w:r>
          </w:p>
        </w:tc>
        <w:tc>
          <w:tcPr>
            <w:tcW w:type="dxa" w:w="6552"/>
            <w:tcMar>
              <w:top w:w="65" w:type="dxa"/>
              <w:start w:w="70" w:type="dxa"/>
              <w:bottom w:w="65" w:type="dxa"/>
              <w:end w:w="70" w:type="dxa"/>
            </w:tcMar>
            <w:vAlign w:val="top"/>
          </w:tcPr>
          <w:p>
            <w:pPr>
              <w:spacing w:after="0"/>
            </w:pPr>
            <w:r>
              <w:rPr>
                <w:sz w:val="14"/>
              </w:rPr>
              <w:t>Responsive clinician SPA, tabs, forms, cards, print layout, warnings.</w:t>
            </w:r>
          </w:p>
        </w:tc>
      </w:tr>
      <w:tr>
        <w:trPr>
          <w:cantSplit/>
        </w:trPr>
        <w:tc>
          <w:tcPr>
            <w:tcW w:type="dxa" w:w="3528"/>
            <w:tcMar>
              <w:top w:w="65" w:type="dxa"/>
              <w:start w:w="70" w:type="dxa"/>
              <w:bottom w:w="65" w:type="dxa"/>
              <w:end w:w="70" w:type="dxa"/>
            </w:tcMar>
            <w:vAlign w:val="top"/>
            <w:shd w:fill="F7F9FA"/>
          </w:tcPr>
          <w:p>
            <w:pPr>
              <w:spacing w:after="0"/>
            </w:pPr>
            <w:r>
              <w:rPr>
                <w:sz w:val="14"/>
              </w:rPr>
              <w:t>src/app.js</w:t>
            </w:r>
          </w:p>
        </w:tc>
        <w:tc>
          <w:tcPr>
            <w:tcW w:type="dxa" w:w="6552"/>
            <w:tcMar>
              <w:top w:w="65" w:type="dxa"/>
              <w:start w:w="70" w:type="dxa"/>
              <w:bottom w:w="65" w:type="dxa"/>
              <w:end w:w="70" w:type="dxa"/>
            </w:tcMar>
            <w:vAlign w:val="top"/>
            <w:shd w:fill="F7F9FA"/>
          </w:tcPr>
          <w:p>
            <w:pPr>
              <w:spacing w:after="0"/>
            </w:pPr>
            <w:r>
              <w:rPr>
                <w:sz w:val="14"/>
              </w:rPr>
              <w:t>UI state, field mapping, examples, assessment rendering, copy/print/audit actions.</w:t>
            </w:r>
          </w:p>
        </w:tc>
      </w:tr>
      <w:tr>
        <w:trPr>
          <w:cantSplit/>
        </w:trPr>
        <w:tc>
          <w:tcPr>
            <w:tcW w:type="dxa" w:w="3528"/>
            <w:tcMar>
              <w:top w:w="65" w:type="dxa"/>
              <w:start w:w="70" w:type="dxa"/>
              <w:bottom w:w="65" w:type="dxa"/>
              <w:end w:w="70" w:type="dxa"/>
            </w:tcMar>
            <w:vAlign w:val="top"/>
          </w:tcPr>
          <w:p>
            <w:pPr>
              <w:spacing w:after="0"/>
            </w:pPr>
            <w:r>
              <w:rPr>
                <w:sz w:val="14"/>
              </w:rPr>
              <w:t>src/algorithmExplorer.js</w:t>
            </w:r>
          </w:p>
        </w:tc>
        <w:tc>
          <w:tcPr>
            <w:tcW w:type="dxa" w:w="6552"/>
            <w:tcMar>
              <w:top w:w="65" w:type="dxa"/>
              <w:start w:w="70" w:type="dxa"/>
              <w:bottom w:w="65" w:type="dxa"/>
              <w:end w:w="70" w:type="dxa"/>
            </w:tcMar>
            <w:vAlign w:val="top"/>
          </w:tcPr>
          <w:p>
            <w:pPr>
              <w:spacing w:after="0"/>
            </w:pPr>
            <w:r>
              <w:rPr>
                <w:sz w:val="14"/>
              </w:rPr>
              <w:t>Expanded algorithm explanations and live walkthrough.</w:t>
            </w:r>
          </w:p>
        </w:tc>
      </w:tr>
      <w:tr>
        <w:trPr>
          <w:cantSplit/>
        </w:trPr>
        <w:tc>
          <w:tcPr>
            <w:tcW w:type="dxa" w:w="3528"/>
            <w:tcMar>
              <w:top w:w="65" w:type="dxa"/>
              <w:start w:w="70" w:type="dxa"/>
              <w:bottom w:w="65" w:type="dxa"/>
              <w:end w:w="70" w:type="dxa"/>
            </w:tcMar>
            <w:vAlign w:val="top"/>
            <w:shd w:fill="F7F9FA"/>
          </w:tcPr>
          <w:p>
            <w:pPr>
              <w:spacing w:after="0"/>
            </w:pPr>
            <w:r>
              <w:rPr>
                <w:sz w:val="14"/>
              </w:rPr>
              <w:t>src/facts.js</w:t>
            </w:r>
          </w:p>
        </w:tc>
        <w:tc>
          <w:tcPr>
            <w:tcW w:type="dxa" w:w="6552"/>
            <w:tcMar>
              <w:top w:w="65" w:type="dxa"/>
              <w:start w:w="70" w:type="dxa"/>
              <w:bottom w:w="65" w:type="dxa"/>
              <w:end w:w="70" w:type="dxa"/>
            </w:tcMar>
            <w:vAlign w:val="top"/>
            <w:shd w:fill="F7F9FA"/>
          </w:tcPr>
          <w:p>
            <w:pPr>
              <w:spacing w:after="0"/>
            </w:pPr>
            <w:r>
              <w:rPr>
                <w:sz w:val="14"/>
              </w:rPr>
              <w:t>Input normalization and derived clinical facts.</w:t>
            </w:r>
          </w:p>
        </w:tc>
      </w:tr>
      <w:tr>
        <w:trPr>
          <w:cantSplit/>
        </w:trPr>
        <w:tc>
          <w:tcPr>
            <w:tcW w:type="dxa" w:w="3528"/>
            <w:tcMar>
              <w:top w:w="65" w:type="dxa"/>
              <w:start w:w="70" w:type="dxa"/>
              <w:bottom w:w="65" w:type="dxa"/>
              <w:end w:w="70" w:type="dxa"/>
            </w:tcMar>
            <w:vAlign w:val="top"/>
          </w:tcPr>
          <w:p>
            <w:pPr>
              <w:spacing w:after="0"/>
            </w:pPr>
            <w:r>
              <w:rPr>
                <w:sz w:val="14"/>
              </w:rPr>
              <w:t>src/ruleEngine.js</w:t>
            </w:r>
          </w:p>
        </w:tc>
        <w:tc>
          <w:tcPr>
            <w:tcW w:type="dxa" w:w="6552"/>
            <w:tcMar>
              <w:top w:w="65" w:type="dxa"/>
              <w:start w:w="70" w:type="dxa"/>
              <w:bottom w:w="65" w:type="dxa"/>
              <w:end w:w="70" w:type="dxa"/>
            </w:tcMar>
            <w:vAlign w:val="top"/>
          </w:tcPr>
          <w:p>
            <w:pPr>
              <w:spacing w:after="0"/>
            </w:pPr>
            <w:r>
              <w:rPr>
                <w:sz w:val="14"/>
              </w:rPr>
              <w:t>Generic JSON condition evaluator, candidate merge, deterministic sorting.</w:t>
            </w:r>
          </w:p>
        </w:tc>
      </w:tr>
      <w:tr>
        <w:trPr>
          <w:cantSplit/>
        </w:trPr>
        <w:tc>
          <w:tcPr>
            <w:tcW w:type="dxa" w:w="3528"/>
            <w:tcMar>
              <w:top w:w="65" w:type="dxa"/>
              <w:start w:w="70" w:type="dxa"/>
              <w:bottom w:w="65" w:type="dxa"/>
              <w:end w:w="70" w:type="dxa"/>
            </w:tcMar>
            <w:vAlign w:val="top"/>
            <w:shd w:fill="F7F9FA"/>
          </w:tcPr>
          <w:p>
            <w:pPr>
              <w:spacing w:after="0"/>
            </w:pPr>
            <w:r>
              <w:rPr>
                <w:sz w:val="14"/>
              </w:rPr>
              <w:t>src/engine.js</w:t>
            </w:r>
          </w:p>
        </w:tc>
        <w:tc>
          <w:tcPr>
            <w:tcW w:type="dxa" w:w="6552"/>
            <w:tcMar>
              <w:top w:w="65" w:type="dxa"/>
              <w:start w:w="70" w:type="dxa"/>
              <w:bottom w:w="65" w:type="dxa"/>
              <w:end w:w="70" w:type="dxa"/>
            </w:tcMar>
            <w:vAlign w:val="top"/>
            <w:shd w:fill="F7F9FA"/>
          </w:tcPr>
          <w:p>
            <w:pPr>
              <w:spacing w:after="0"/>
            </w:pPr>
            <w:r>
              <w:rPr>
                <w:sz w:val="14"/>
              </w:rPr>
              <w:t>Assessment contract and evidence-linked result assembly.</w:t>
            </w:r>
          </w:p>
        </w:tc>
      </w:tr>
      <w:tr>
        <w:trPr>
          <w:cantSplit/>
        </w:trPr>
        <w:tc>
          <w:tcPr>
            <w:tcW w:type="dxa" w:w="3528"/>
            <w:tcMar>
              <w:top w:w="65" w:type="dxa"/>
              <w:start w:w="70" w:type="dxa"/>
              <w:bottom w:w="65" w:type="dxa"/>
              <w:end w:w="70" w:type="dxa"/>
            </w:tcMar>
            <w:vAlign w:val="top"/>
          </w:tcPr>
          <w:p>
            <w:pPr>
              <w:spacing w:after="0"/>
            </w:pPr>
            <w:r>
              <w:rPr>
                <w:sz w:val="14"/>
              </w:rPr>
              <w:t>src/referenceRanges.js</w:t>
            </w:r>
          </w:p>
        </w:tc>
        <w:tc>
          <w:tcPr>
            <w:tcW w:type="dxa" w:w="6552"/>
            <w:tcMar>
              <w:top w:w="65" w:type="dxa"/>
              <w:start w:w="70" w:type="dxa"/>
              <w:bottom w:w="65" w:type="dxa"/>
              <w:end w:w="70" w:type="dxa"/>
            </w:tcMar>
            <w:vAlign w:val="top"/>
          </w:tcPr>
          <w:p>
            <w:pPr>
              <w:spacing w:after="0"/>
            </w:pPr>
            <w:r>
              <w:rPr>
                <w:sz w:val="14"/>
              </w:rPr>
              <w:t>AAP fallback interval selection and range provenance.</w:t>
            </w:r>
          </w:p>
        </w:tc>
      </w:tr>
      <w:tr>
        <w:trPr>
          <w:cantSplit/>
        </w:trPr>
        <w:tc>
          <w:tcPr>
            <w:tcW w:type="dxa" w:w="3528"/>
            <w:tcMar>
              <w:top w:w="65" w:type="dxa"/>
              <w:start w:w="70" w:type="dxa"/>
              <w:bottom w:w="65" w:type="dxa"/>
              <w:end w:w="70" w:type="dxa"/>
            </w:tcMar>
            <w:vAlign w:val="top"/>
            <w:shd w:fill="F7F9FA"/>
          </w:tcPr>
          <w:p>
            <w:pPr>
              <w:spacing w:after="0"/>
            </w:pPr>
            <w:r>
              <w:rPr>
                <w:sz w:val="14"/>
              </w:rPr>
              <w:t>src/evidence.js</w:t>
            </w:r>
          </w:p>
        </w:tc>
        <w:tc>
          <w:tcPr>
            <w:tcW w:type="dxa" w:w="6552"/>
            <w:tcMar>
              <w:top w:w="65" w:type="dxa"/>
              <w:start w:w="70" w:type="dxa"/>
              <w:bottom w:w="65" w:type="dxa"/>
              <w:end w:w="70" w:type="dxa"/>
            </w:tcMar>
            <w:vAlign w:val="top"/>
            <w:shd w:fill="F7F9FA"/>
          </w:tcPr>
          <w:p>
            <w:pPr>
              <w:spacing w:after="0"/>
            </w:pPr>
            <w:r>
              <w:rPr>
                <w:sz w:val="14"/>
              </w:rPr>
              <w:t>Evidence registry loading and citation resolution.</w:t>
            </w:r>
          </w:p>
        </w:tc>
      </w:tr>
      <w:tr>
        <w:trPr>
          <w:cantSplit/>
        </w:trPr>
        <w:tc>
          <w:tcPr>
            <w:tcW w:type="dxa" w:w="3528"/>
            <w:tcMar>
              <w:top w:w="65" w:type="dxa"/>
              <w:start w:w="70" w:type="dxa"/>
              <w:bottom w:w="65" w:type="dxa"/>
              <w:end w:w="70" w:type="dxa"/>
            </w:tcMar>
            <w:vAlign w:val="top"/>
          </w:tcPr>
          <w:p>
            <w:pPr>
              <w:spacing w:after="0"/>
            </w:pPr>
            <w:r>
              <w:rPr>
                <w:sz w:val="14"/>
              </w:rPr>
              <w:t>data/rules.json</w:t>
            </w:r>
          </w:p>
        </w:tc>
        <w:tc>
          <w:tcPr>
            <w:tcW w:type="dxa" w:w="6552"/>
            <w:tcMar>
              <w:top w:w="65" w:type="dxa"/>
              <w:start w:w="70" w:type="dxa"/>
              <w:bottom w:w="65" w:type="dxa"/>
              <w:end w:w="70" w:type="dxa"/>
            </w:tcMar>
            <w:vAlign w:val="top"/>
          </w:tcPr>
          <w:p>
            <w:pPr>
              <w:spacing w:after="0"/>
            </w:pPr>
            <w:r>
              <w:rPr>
                <w:sz w:val="14"/>
              </w:rPr>
              <w:t>91 deterministic rules.</w:t>
            </w:r>
          </w:p>
        </w:tc>
      </w:tr>
      <w:tr>
        <w:trPr>
          <w:cantSplit/>
        </w:trPr>
        <w:tc>
          <w:tcPr>
            <w:tcW w:type="dxa" w:w="3528"/>
            <w:tcMar>
              <w:top w:w="65" w:type="dxa"/>
              <w:start w:w="70" w:type="dxa"/>
              <w:bottom w:w="65" w:type="dxa"/>
              <w:end w:w="70" w:type="dxa"/>
            </w:tcMar>
            <w:vAlign w:val="top"/>
            <w:shd w:fill="F7F9FA"/>
          </w:tcPr>
          <w:p>
            <w:pPr>
              <w:spacing w:after="0"/>
            </w:pPr>
            <w:r>
              <w:rPr>
                <w:sz w:val="14"/>
              </w:rPr>
              <w:t>data/candidates.json</w:t>
            </w:r>
          </w:p>
        </w:tc>
        <w:tc>
          <w:tcPr>
            <w:tcW w:type="dxa" w:w="6552"/>
            <w:tcMar>
              <w:top w:w="65" w:type="dxa"/>
              <w:start w:w="70" w:type="dxa"/>
              <w:bottom w:w="65" w:type="dxa"/>
              <w:end w:w="70" w:type="dxa"/>
            </w:tcMar>
            <w:vAlign w:val="top"/>
            <w:shd w:fill="F7F9FA"/>
          </w:tcPr>
          <w:p>
            <w:pPr>
              <w:spacing w:after="0"/>
            </w:pPr>
            <w:r>
              <w:rPr>
                <w:sz w:val="14"/>
              </w:rPr>
              <w:t>26 merged pattern definitions and default next steps.</w:t>
            </w:r>
          </w:p>
        </w:tc>
      </w:tr>
      <w:tr>
        <w:trPr>
          <w:cantSplit/>
        </w:trPr>
        <w:tc>
          <w:tcPr>
            <w:tcW w:type="dxa" w:w="3528"/>
            <w:tcMar>
              <w:top w:w="65" w:type="dxa"/>
              <w:start w:w="70" w:type="dxa"/>
              <w:bottom w:w="65" w:type="dxa"/>
              <w:end w:w="70" w:type="dxa"/>
            </w:tcMar>
            <w:vAlign w:val="top"/>
          </w:tcPr>
          <w:p>
            <w:pPr>
              <w:spacing w:after="0"/>
            </w:pPr>
            <w:r>
              <w:rPr>
                <w:sz w:val="14"/>
              </w:rPr>
              <w:t>data/evidence.json</w:t>
            </w:r>
          </w:p>
        </w:tc>
        <w:tc>
          <w:tcPr>
            <w:tcW w:type="dxa" w:w="6552"/>
            <w:tcMar>
              <w:top w:w="65" w:type="dxa"/>
              <w:start w:w="70" w:type="dxa"/>
              <w:bottom w:w="65" w:type="dxa"/>
              <w:end w:w="70" w:type="dxa"/>
            </w:tcMar>
            <w:vAlign w:val="top"/>
          </w:tcPr>
          <w:p>
            <w:pPr>
              <w:spacing w:after="0"/>
            </w:pPr>
            <w:r>
              <w:rPr>
                <w:sz w:val="14"/>
              </w:rPr>
              <w:t>Versioned source metadata.</w:t>
            </w:r>
          </w:p>
        </w:tc>
      </w:tr>
      <w:tr>
        <w:trPr>
          <w:cantSplit/>
        </w:trPr>
        <w:tc>
          <w:tcPr>
            <w:tcW w:type="dxa" w:w="3528"/>
            <w:tcMar>
              <w:top w:w="65" w:type="dxa"/>
              <w:start w:w="70" w:type="dxa"/>
              <w:bottom w:w="65" w:type="dxa"/>
              <w:end w:w="70" w:type="dxa"/>
            </w:tcMar>
            <w:vAlign w:val="top"/>
            <w:shd w:fill="F7F9FA"/>
          </w:tcPr>
          <w:p>
            <w:pPr>
              <w:spacing w:after="0"/>
            </w:pPr>
            <w:r>
              <w:rPr>
                <w:sz w:val="14"/>
              </w:rPr>
              <w:t>data/reference-ranges.json</w:t>
            </w:r>
          </w:p>
        </w:tc>
        <w:tc>
          <w:tcPr>
            <w:tcW w:type="dxa" w:w="6552"/>
            <w:tcMar>
              <w:top w:w="65" w:type="dxa"/>
              <w:start w:w="70" w:type="dxa"/>
              <w:bottom w:w="65" w:type="dxa"/>
              <w:end w:w="70" w:type="dxa"/>
            </w:tcMar>
            <w:vAlign w:val="top"/>
            <w:shd w:fill="F7F9FA"/>
          </w:tcPr>
          <w:p>
            <w:pPr>
              <w:spacing w:after="0"/>
            </w:pPr>
            <w:r>
              <w:rPr>
                <w:sz w:val="14"/>
              </w:rPr>
              <w:t>Machine-readable fallback ranges.</w:t>
            </w:r>
          </w:p>
        </w:tc>
      </w:tr>
      <w:tr>
        <w:trPr>
          <w:cantSplit/>
        </w:trPr>
        <w:tc>
          <w:tcPr>
            <w:tcW w:type="dxa" w:w="3528"/>
            <w:tcMar>
              <w:top w:w="65" w:type="dxa"/>
              <w:start w:w="70" w:type="dxa"/>
              <w:bottom w:w="65" w:type="dxa"/>
              <w:end w:w="70" w:type="dxa"/>
            </w:tcMar>
            <w:vAlign w:val="top"/>
          </w:tcPr>
          <w:p>
            <w:pPr>
              <w:spacing w:after="0"/>
            </w:pPr>
            <w:r>
              <w:rPr>
                <w:sz w:val="14"/>
              </w:rPr>
              <w:t>data/algorithm-explainers.json</w:t>
            </w:r>
          </w:p>
        </w:tc>
        <w:tc>
          <w:tcPr>
            <w:tcW w:type="dxa" w:w="6552"/>
            <w:tcMar>
              <w:top w:w="65" w:type="dxa"/>
              <w:start w:w="70" w:type="dxa"/>
              <w:bottom w:w="65" w:type="dxa"/>
              <w:end w:w="70" w:type="dxa"/>
            </w:tcMar>
            <w:vAlign w:val="top"/>
          </w:tcPr>
          <w:p>
            <w:pPr>
              <w:spacing w:after="0"/>
            </w:pPr>
            <w:r>
              <w:rPr>
                <w:sz w:val="14"/>
              </w:rPr>
              <w:t>Educational stage explanations, examples, equations, and source IDs.</w:t>
            </w:r>
          </w:p>
        </w:tc>
      </w:tr>
      <w:tr>
        <w:trPr>
          <w:cantSplit/>
        </w:trPr>
        <w:tc>
          <w:tcPr>
            <w:tcW w:type="dxa" w:w="3528"/>
            <w:tcMar>
              <w:top w:w="65" w:type="dxa"/>
              <w:start w:w="70" w:type="dxa"/>
              <w:bottom w:w="65" w:type="dxa"/>
              <w:end w:w="70" w:type="dxa"/>
            </w:tcMar>
            <w:vAlign w:val="top"/>
            <w:shd w:fill="F7F9FA"/>
          </w:tcPr>
          <w:p>
            <w:pPr>
              <w:spacing w:after="0"/>
            </w:pPr>
            <w:r>
              <w:rPr>
                <w:sz w:val="14"/>
              </w:rPr>
              <w:t>schemas/*.json</w:t>
            </w:r>
          </w:p>
        </w:tc>
        <w:tc>
          <w:tcPr>
            <w:tcW w:type="dxa" w:w="6552"/>
            <w:tcMar>
              <w:top w:w="65" w:type="dxa"/>
              <w:start w:w="70" w:type="dxa"/>
              <w:bottom w:w="65" w:type="dxa"/>
              <w:end w:w="70" w:type="dxa"/>
            </w:tcMar>
            <w:vAlign w:val="top"/>
            <w:shd w:fill="F7F9FA"/>
          </w:tcPr>
          <w:p>
            <w:pPr>
              <w:spacing w:after="0"/>
            </w:pPr>
            <w:r>
              <w:rPr>
                <w:sz w:val="14"/>
              </w:rPr>
              <w:t>Patient input, assessment output, rule, and candidate contracts.</w:t>
            </w:r>
          </w:p>
        </w:tc>
      </w:tr>
      <w:tr>
        <w:trPr>
          <w:cantSplit/>
        </w:trPr>
        <w:tc>
          <w:tcPr>
            <w:tcW w:type="dxa" w:w="3528"/>
            <w:tcMar>
              <w:top w:w="65" w:type="dxa"/>
              <w:start w:w="70" w:type="dxa"/>
              <w:bottom w:w="65" w:type="dxa"/>
              <w:end w:w="70" w:type="dxa"/>
            </w:tcMar>
            <w:vAlign w:val="top"/>
          </w:tcPr>
          <w:p>
            <w:pPr>
              <w:spacing w:after="0"/>
            </w:pPr>
            <w:r>
              <w:rPr>
                <w:sz w:val="14"/>
              </w:rPr>
              <w:t>server.mjs; openapi.yaml</w:t>
            </w:r>
          </w:p>
        </w:tc>
        <w:tc>
          <w:tcPr>
            <w:tcW w:type="dxa" w:w="6552"/>
            <w:tcMar>
              <w:top w:w="65" w:type="dxa"/>
              <w:start w:w="70" w:type="dxa"/>
              <w:bottom w:w="65" w:type="dxa"/>
              <w:end w:w="70" w:type="dxa"/>
            </w:tcMar>
            <w:vAlign w:val="top"/>
          </w:tcPr>
          <w:p>
            <w:pPr>
              <w:spacing w:after="0"/>
            </w:pPr>
            <w:r>
              <w:rPr>
                <w:sz w:val="14"/>
              </w:rPr>
              <w:t>Static server and prototype REST API.</w:t>
            </w:r>
          </w:p>
        </w:tc>
      </w:tr>
      <w:tr>
        <w:trPr>
          <w:cantSplit/>
        </w:trPr>
        <w:tc>
          <w:tcPr>
            <w:tcW w:type="dxa" w:w="3528"/>
            <w:tcMar>
              <w:top w:w="65" w:type="dxa"/>
              <w:start w:w="70" w:type="dxa"/>
              <w:bottom w:w="65" w:type="dxa"/>
              <w:end w:w="70" w:type="dxa"/>
            </w:tcMar>
            <w:vAlign w:val="top"/>
            <w:shd w:fill="F7F9FA"/>
          </w:tcPr>
          <w:p>
            <w:pPr>
              <w:spacing w:after="0"/>
            </w:pPr>
            <w:r>
              <w:rPr>
                <w:sz w:val="14"/>
              </w:rPr>
              <w:t>scripts/</w:t>
            </w:r>
            <w:r>
              <w:rPr>
                <w:i/>
                <w:sz w:val="14"/>
              </w:rPr>
              <w:t>; tests/</w:t>
            </w:r>
          </w:p>
        </w:tc>
        <w:tc>
          <w:tcPr>
            <w:tcW w:type="dxa" w:w="6552"/>
            <w:tcMar>
              <w:top w:w="65" w:type="dxa"/>
              <w:start w:w="70" w:type="dxa"/>
              <w:bottom w:w="65" w:type="dxa"/>
              <w:end w:w="70" w:type="dxa"/>
            </w:tcMar>
            <w:vAlign w:val="top"/>
            <w:shd w:fill="F7F9FA"/>
          </w:tcPr>
          <w:p>
            <w:pPr>
              <w:spacing w:after="0"/>
            </w:pPr>
            <w:r>
              <w:rPr>
                <w:sz w:val="14"/>
              </w:rPr>
              <w:t>Static build, knowledge-base validation, smoke test, and deterministic engine tests.</w:t>
            </w:r>
          </w:p>
        </w:tc>
      </w:tr>
    </w:tbl>
    <w:p>
      <w:pPr>
        <w:spacing w:after="20"/>
      </w:pPr>
    </w:p>
    <w:p>
      <w:pPr>
        <w:pStyle w:val="Heading2"/>
      </w:pPr>
      <w:r>
        <w:t>9.1 Runtime behavior</w:t>
      </w:r>
    </w:p>
    <w:p>
      <w:pPr>
        <w:pStyle w:val="ListBullet"/>
        <w:spacing w:after="50"/>
      </w:pPr>
      <w:r>
        <w:t>The browser downloads static JavaScript and JSON assets and runs the assessment locally.</w:t>
      </w:r>
    </w:p>
    <w:p>
      <w:pPr>
        <w:pStyle w:val="ListBullet"/>
        <w:spacing w:after="50"/>
      </w:pPr>
      <w:r>
        <w:t>The browser interface does not call the included API and does not automatically persist entered data.</w:t>
      </w:r>
    </w:p>
    <w:p>
      <w:pPr>
        <w:pStyle w:val="ListBullet"/>
        <w:spacing w:after="50"/>
      </w:pPr>
      <w:r>
        <w:t>The Node API mirrors the deterministic engine for integration testing and returns results without intentional body logging or persistence.</w:t>
      </w:r>
    </w:p>
    <w:p>
      <w:pPr>
        <w:pStyle w:val="ListBullet"/>
        <w:spacing w:after="50"/>
      </w:pPr>
      <w:r>
        <w:t>Opening index.html directly from disk fails because browsers block local fetch of JSON; use the included server or static host.</w:t>
      </w:r>
    </w:p>
    <w:p>
      <w:pPr>
        <w:pStyle w:val="ListBullet"/>
        <w:spacing w:after="50"/>
      </w:pPr>
      <w:r>
        <w:t>Node.js 20 or later is specified for local server/build/test scripts.</w:t>
      </w:r>
    </w:p>
    <w:p>
      <w:pPr>
        <w:pStyle w:val="Heading2"/>
      </w:pPr>
      <w:r>
        <w:t>9.2 REST API</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440"/>
            <w:shd w:fill="123E4A"/>
            <w:tcMar>
              <w:top w:w="75" w:type="dxa"/>
              <w:start w:w="70" w:type="dxa"/>
              <w:bottom w:w="75" w:type="dxa"/>
              <w:end w:w="70" w:type="dxa"/>
            </w:tcMar>
            <w:vAlign w:val="center"/>
          </w:tcPr>
          <w:p>
            <w:r>
              <w:rPr>
                <w:b/>
                <w:color w:val="FFFFFF"/>
                <w:sz w:val="16"/>
              </w:rPr>
              <w:t>Method</w:t>
            </w:r>
          </w:p>
        </w:tc>
        <w:tc>
          <w:tcPr>
            <w:tcW w:type="dxa" w:w="3456"/>
            <w:shd w:fill="123E4A"/>
            <w:tcMar>
              <w:top w:w="75" w:type="dxa"/>
              <w:start w:w="70" w:type="dxa"/>
              <w:bottom w:w="75" w:type="dxa"/>
              <w:end w:w="70" w:type="dxa"/>
            </w:tcMar>
            <w:vAlign w:val="center"/>
          </w:tcPr>
          <w:p>
            <w:r>
              <w:rPr>
                <w:b/>
                <w:color w:val="FFFFFF"/>
                <w:sz w:val="16"/>
              </w:rPr>
              <w:t>Path</w:t>
            </w:r>
          </w:p>
        </w:tc>
        <w:tc>
          <w:tcPr>
            <w:tcW w:type="dxa" w:w="5184"/>
            <w:shd w:fill="123E4A"/>
            <w:tcMar>
              <w:top w:w="75" w:type="dxa"/>
              <w:start w:w="70" w:type="dxa"/>
              <w:bottom w:w="75" w:type="dxa"/>
              <w:end w:w="70" w:type="dxa"/>
            </w:tcMar>
            <w:vAlign w:val="center"/>
          </w:tcPr>
          <w:p>
            <w:r>
              <w:rPr>
                <w:b/>
                <w:color w:val="FFFFFF"/>
                <w:sz w:val="16"/>
              </w:rPr>
              <w:t>Purpose</w:t>
            </w:r>
          </w:p>
        </w:tc>
      </w:tr>
      <w:tr>
        <w:trPr>
          <w:cantSplit/>
        </w:trPr>
        <w:tc>
          <w:tcPr>
            <w:tcW w:type="dxa" w:w="1440"/>
            <w:tcMar>
              <w:top w:w="65" w:type="dxa"/>
              <w:start w:w="70" w:type="dxa"/>
              <w:bottom w:w="65" w:type="dxa"/>
              <w:end w:w="70" w:type="dxa"/>
            </w:tcMar>
            <w:vAlign w:val="top"/>
          </w:tcPr>
          <w:p>
            <w:pPr>
              <w:spacing w:after="0"/>
            </w:pPr>
            <w:r>
              <w:rPr>
                <w:sz w:val="16"/>
              </w:rPr>
              <w:t>GET</w:t>
            </w:r>
          </w:p>
        </w:tc>
        <w:tc>
          <w:tcPr>
            <w:tcW w:type="dxa" w:w="3456"/>
            <w:tcMar>
              <w:top w:w="65" w:type="dxa"/>
              <w:start w:w="70" w:type="dxa"/>
              <w:bottom w:w="65" w:type="dxa"/>
              <w:end w:w="70" w:type="dxa"/>
            </w:tcMar>
            <w:vAlign w:val="top"/>
          </w:tcPr>
          <w:p>
            <w:pPr>
              <w:spacing w:after="0"/>
            </w:pPr>
            <w:r>
              <w:rPr>
                <w:sz w:val="16"/>
              </w:rPr>
              <w:t>/health</w:t>
            </w:r>
          </w:p>
        </w:tc>
        <w:tc>
          <w:tcPr>
            <w:tcW w:type="dxa" w:w="5184"/>
            <w:tcMar>
              <w:top w:w="65" w:type="dxa"/>
              <w:start w:w="70" w:type="dxa"/>
              <w:bottom w:w="65" w:type="dxa"/>
              <w:end w:w="70" w:type="dxa"/>
            </w:tcMar>
            <w:vAlign w:val="top"/>
          </w:tcPr>
          <w:p>
            <w:pPr>
              <w:spacing w:after="0"/>
            </w:pPr>
            <w:r>
              <w:rPr>
                <w:sz w:val="16"/>
              </w:rPr>
              <w:t>Health and knowledge-base version.</w:t>
            </w:r>
          </w:p>
        </w:tc>
      </w:tr>
      <w:tr>
        <w:trPr>
          <w:cantSplit/>
        </w:trPr>
        <w:tc>
          <w:tcPr>
            <w:tcW w:type="dxa" w:w="1440"/>
            <w:tcMar>
              <w:top w:w="65" w:type="dxa"/>
              <w:start w:w="70" w:type="dxa"/>
              <w:bottom w:w="65" w:type="dxa"/>
              <w:end w:w="70" w:type="dxa"/>
            </w:tcMar>
            <w:vAlign w:val="top"/>
            <w:shd w:fill="F7F9FA"/>
          </w:tcPr>
          <w:p>
            <w:pPr>
              <w:spacing w:after="0"/>
            </w:pPr>
            <w:r>
              <w:rPr>
                <w:sz w:val="16"/>
              </w:rPr>
              <w:t>GET</w:t>
            </w:r>
          </w:p>
        </w:tc>
        <w:tc>
          <w:tcPr>
            <w:tcW w:type="dxa" w:w="3456"/>
            <w:tcMar>
              <w:top w:w="65" w:type="dxa"/>
              <w:start w:w="70" w:type="dxa"/>
              <w:bottom w:w="65" w:type="dxa"/>
              <w:end w:w="70" w:type="dxa"/>
            </w:tcMar>
            <w:vAlign w:val="top"/>
            <w:shd w:fill="F7F9FA"/>
          </w:tcPr>
          <w:p>
            <w:pPr>
              <w:spacing w:after="0"/>
            </w:pPr>
            <w:r>
              <w:rPr>
                <w:sz w:val="16"/>
              </w:rPr>
              <w:t>/api/v1/knowledge-base</w:t>
            </w:r>
          </w:p>
        </w:tc>
        <w:tc>
          <w:tcPr>
            <w:tcW w:type="dxa" w:w="5184"/>
            <w:tcMar>
              <w:top w:w="65" w:type="dxa"/>
              <w:start w:w="70" w:type="dxa"/>
              <w:bottom w:w="65" w:type="dxa"/>
              <w:end w:w="70" w:type="dxa"/>
            </w:tcMar>
            <w:vAlign w:val="top"/>
            <w:shd w:fill="F7F9FA"/>
          </w:tcPr>
          <w:p>
            <w:pPr>
              <w:spacing w:after="0"/>
            </w:pPr>
            <w:r>
              <w:rPr>
                <w:sz w:val="16"/>
              </w:rPr>
              <w:t>Evidence registry and rule/pattern counts.</w:t>
            </w:r>
          </w:p>
        </w:tc>
      </w:tr>
      <w:tr>
        <w:trPr>
          <w:cantSplit/>
        </w:trPr>
        <w:tc>
          <w:tcPr>
            <w:tcW w:type="dxa" w:w="1440"/>
            <w:tcMar>
              <w:top w:w="65" w:type="dxa"/>
              <w:start w:w="70" w:type="dxa"/>
              <w:bottom w:w="65" w:type="dxa"/>
              <w:end w:w="70" w:type="dxa"/>
            </w:tcMar>
            <w:vAlign w:val="top"/>
          </w:tcPr>
          <w:p>
            <w:pPr>
              <w:spacing w:after="0"/>
            </w:pPr>
            <w:r>
              <w:rPr>
                <w:sz w:val="16"/>
              </w:rPr>
              <w:t>POST</w:t>
            </w:r>
          </w:p>
        </w:tc>
        <w:tc>
          <w:tcPr>
            <w:tcW w:type="dxa" w:w="3456"/>
            <w:tcMar>
              <w:top w:w="65" w:type="dxa"/>
              <w:start w:w="70" w:type="dxa"/>
              <w:bottom w:w="65" w:type="dxa"/>
              <w:end w:w="70" w:type="dxa"/>
            </w:tcMar>
            <w:vAlign w:val="top"/>
          </w:tcPr>
          <w:p>
            <w:pPr>
              <w:spacing w:after="0"/>
            </w:pPr>
            <w:r>
              <w:rPr>
                <w:sz w:val="16"/>
              </w:rPr>
              <w:t>/api/v1/assess</w:t>
            </w:r>
          </w:p>
        </w:tc>
        <w:tc>
          <w:tcPr>
            <w:tcW w:type="dxa" w:w="5184"/>
            <w:tcMar>
              <w:top w:w="65" w:type="dxa"/>
              <w:start w:w="70" w:type="dxa"/>
              <w:bottom w:w="65" w:type="dxa"/>
              <w:end w:w="70" w:type="dxa"/>
            </w:tcMar>
            <w:vAlign w:val="top"/>
          </w:tcPr>
          <w:p>
            <w:pPr>
              <w:spacing w:after="0"/>
            </w:pPr>
            <w:r>
              <w:rPr>
                <w:sz w:val="16"/>
              </w:rPr>
              <w:t>Validate and execute a deterministic assessment.</w:t>
            </w:r>
          </w:p>
        </w:tc>
      </w:tr>
    </w:tbl>
    <w:p>
      <w:pPr>
        <w:spacing w:after="20"/>
      </w:pPr>
    </w:p>
    <w:p>
      <w:pPr>
        <w:pStyle w:val="Heading1"/>
      </w:pPr>
      <w:r>
        <w:t>10. Deployment and security posture</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728"/>
            <w:shd w:fill="123E4A"/>
            <w:tcMar>
              <w:top w:w="75" w:type="dxa"/>
              <w:start w:w="70" w:type="dxa"/>
              <w:bottom w:w="75" w:type="dxa"/>
              <w:end w:w="70" w:type="dxa"/>
            </w:tcMar>
            <w:vAlign w:val="center"/>
          </w:tcPr>
          <w:p>
            <w:r>
              <w:rPr>
                <w:b/>
                <w:color w:val="FFFFFF"/>
                <w:sz w:val="15"/>
              </w:rPr>
              <w:t>Mode</w:t>
            </w:r>
          </w:p>
        </w:tc>
        <w:tc>
          <w:tcPr>
            <w:tcW w:type="dxa" w:w="3960"/>
            <w:shd w:fill="123E4A"/>
            <w:tcMar>
              <w:top w:w="75" w:type="dxa"/>
              <w:start w:w="70" w:type="dxa"/>
              <w:bottom w:w="75" w:type="dxa"/>
              <w:end w:w="70" w:type="dxa"/>
            </w:tcMar>
            <w:vAlign w:val="center"/>
          </w:tcPr>
          <w:p>
            <w:r>
              <w:rPr>
                <w:b/>
                <w:color w:val="FFFFFF"/>
                <w:sz w:val="15"/>
              </w:rPr>
              <w:t>As-built support</w:t>
            </w:r>
          </w:p>
        </w:tc>
        <w:tc>
          <w:tcPr>
            <w:tcW w:type="dxa" w:w="4392"/>
            <w:shd w:fill="123E4A"/>
            <w:tcMar>
              <w:top w:w="75" w:type="dxa"/>
              <w:start w:w="70" w:type="dxa"/>
              <w:bottom w:w="75" w:type="dxa"/>
              <w:end w:w="70" w:type="dxa"/>
            </w:tcMar>
            <w:vAlign w:val="center"/>
          </w:tcPr>
          <w:p>
            <w:r>
              <w:rPr>
                <w:b/>
                <w:color w:val="FFFFFF"/>
                <w:sz w:val="15"/>
              </w:rPr>
              <w:t>Limitations</w:t>
            </w:r>
          </w:p>
        </w:tc>
      </w:tr>
      <w:tr>
        <w:trPr>
          <w:cantSplit/>
        </w:trPr>
        <w:tc>
          <w:tcPr>
            <w:tcW w:type="dxa" w:w="1728"/>
            <w:tcMar>
              <w:top w:w="65" w:type="dxa"/>
              <w:start w:w="70" w:type="dxa"/>
              <w:bottom w:w="65" w:type="dxa"/>
              <w:end w:w="70" w:type="dxa"/>
            </w:tcMar>
            <w:vAlign w:val="top"/>
          </w:tcPr>
          <w:p>
            <w:pPr>
              <w:spacing w:after="0"/>
            </w:pPr>
            <w:r>
              <w:rPr>
                <w:sz w:val="15"/>
              </w:rPr>
              <w:t>Static hosting</w:t>
            </w:r>
          </w:p>
        </w:tc>
        <w:tc>
          <w:tcPr>
            <w:tcW w:type="dxa" w:w="3960"/>
            <w:tcMar>
              <w:top w:w="65" w:type="dxa"/>
              <w:start w:w="70" w:type="dxa"/>
              <w:bottom w:w="65" w:type="dxa"/>
              <w:end w:w="70" w:type="dxa"/>
            </w:tcMar>
            <w:vAlign w:val="top"/>
          </w:tcPr>
          <w:p>
            <w:pPr>
              <w:spacing w:after="0"/>
            </w:pPr>
            <w:r>
              <w:rPr>
                <w:sz w:val="15"/>
              </w:rPr>
              <w:t>Publish dist/ to Cloudflare Pages, GitHub Pages, Netlify, Vercel, S3/CloudFront, or equivalent</w:t>
            </w:r>
          </w:p>
        </w:tc>
        <w:tc>
          <w:tcPr>
            <w:tcW w:type="dxa" w:w="4392"/>
            <w:tcMar>
              <w:top w:w="65" w:type="dxa"/>
              <w:start w:w="70" w:type="dxa"/>
              <w:bottom w:w="65" w:type="dxa"/>
              <w:end w:w="70" w:type="dxa"/>
            </w:tcMar>
            <w:vAlign w:val="top"/>
          </w:tcPr>
          <w:p>
            <w:pPr>
              <w:spacing w:after="0"/>
            </w:pPr>
            <w:r>
              <w:rPr>
                <w:sz w:val="15"/>
              </w:rPr>
              <w:t>No API; security headers depend on host; public site must not be treated as approved PHI environment.</w:t>
            </w:r>
          </w:p>
        </w:tc>
      </w:tr>
      <w:tr>
        <w:trPr>
          <w:cantSplit/>
        </w:trPr>
        <w:tc>
          <w:tcPr>
            <w:tcW w:type="dxa" w:w="1728"/>
            <w:tcMar>
              <w:top w:w="65" w:type="dxa"/>
              <w:start w:w="70" w:type="dxa"/>
              <w:bottom w:w="65" w:type="dxa"/>
              <w:end w:w="70" w:type="dxa"/>
            </w:tcMar>
            <w:vAlign w:val="top"/>
            <w:shd w:fill="F7F9FA"/>
          </w:tcPr>
          <w:p>
            <w:pPr>
              <w:spacing w:after="0"/>
            </w:pPr>
            <w:r>
              <w:rPr>
                <w:sz w:val="15"/>
              </w:rPr>
              <w:t>Node server</w:t>
            </w:r>
          </w:p>
        </w:tc>
        <w:tc>
          <w:tcPr>
            <w:tcW w:type="dxa" w:w="3960"/>
            <w:tcMar>
              <w:top w:w="65" w:type="dxa"/>
              <w:start w:w="70" w:type="dxa"/>
              <w:bottom w:w="65" w:type="dxa"/>
              <w:end w:w="70" w:type="dxa"/>
            </w:tcMar>
            <w:vAlign w:val="top"/>
            <w:shd w:fill="F7F9FA"/>
          </w:tcPr>
          <w:p>
            <w:pPr>
              <w:spacing w:after="0"/>
            </w:pPr>
            <w:r>
              <w:rPr>
                <w:sz w:val="15"/>
              </w:rPr>
              <w:t>Static site plus prototype REST endpoints</w:t>
            </w:r>
          </w:p>
        </w:tc>
        <w:tc>
          <w:tcPr>
            <w:tcW w:type="dxa" w:w="4392"/>
            <w:tcMar>
              <w:top w:w="65" w:type="dxa"/>
              <w:start w:w="70" w:type="dxa"/>
              <w:bottom w:w="65" w:type="dxa"/>
              <w:end w:w="70" w:type="dxa"/>
            </w:tcMar>
            <w:vAlign w:val="top"/>
            <w:shd w:fill="F7F9FA"/>
          </w:tcPr>
          <w:p>
            <w:pPr>
              <w:spacing w:after="0"/>
            </w:pPr>
            <w:r>
              <w:rPr>
                <w:sz w:val="15"/>
              </w:rPr>
              <w:t>No authentication, tenant isolation, durable audit, production observability, BAA, or PHI governance.</w:t>
            </w:r>
          </w:p>
        </w:tc>
      </w:tr>
      <w:tr>
        <w:trPr>
          <w:cantSplit/>
        </w:trPr>
        <w:tc>
          <w:tcPr>
            <w:tcW w:type="dxa" w:w="1728"/>
            <w:tcMar>
              <w:top w:w="65" w:type="dxa"/>
              <w:start w:w="70" w:type="dxa"/>
              <w:bottom w:w="65" w:type="dxa"/>
              <w:end w:w="70" w:type="dxa"/>
            </w:tcMar>
            <w:vAlign w:val="top"/>
          </w:tcPr>
          <w:p>
            <w:pPr>
              <w:spacing w:after="0"/>
            </w:pPr>
            <w:r>
              <w:rPr>
                <w:sz w:val="15"/>
              </w:rPr>
              <w:t>Docker</w:t>
            </w:r>
          </w:p>
        </w:tc>
        <w:tc>
          <w:tcPr>
            <w:tcW w:type="dxa" w:w="3960"/>
            <w:tcMar>
              <w:top w:w="65" w:type="dxa"/>
              <w:start w:w="70" w:type="dxa"/>
              <w:bottom w:w="65" w:type="dxa"/>
              <w:end w:w="70" w:type="dxa"/>
            </w:tcMar>
            <w:vAlign w:val="top"/>
          </w:tcPr>
          <w:p>
            <w:pPr>
              <w:spacing w:after="0"/>
            </w:pPr>
            <w:r>
              <w:rPr>
                <w:sz w:val="15"/>
              </w:rPr>
              <w:t>Containerized Node server</w:t>
            </w:r>
          </w:p>
        </w:tc>
        <w:tc>
          <w:tcPr>
            <w:tcW w:type="dxa" w:w="4392"/>
            <w:tcMar>
              <w:top w:w="65" w:type="dxa"/>
              <w:start w:w="70" w:type="dxa"/>
              <w:bottom w:w="65" w:type="dxa"/>
              <w:end w:w="70" w:type="dxa"/>
            </w:tcMar>
            <w:vAlign w:val="top"/>
          </w:tcPr>
          <w:p>
            <w:pPr>
              <w:spacing w:after="0"/>
            </w:pPr>
            <w:r>
              <w:rPr>
                <w:sz w:val="15"/>
              </w:rPr>
              <w:t>Containerization alone does not establish security, privacy, compliance, or clinical readiness.</w:t>
            </w:r>
          </w:p>
        </w:tc>
      </w:tr>
      <w:tr>
        <w:trPr>
          <w:cantSplit/>
        </w:trPr>
        <w:tc>
          <w:tcPr>
            <w:tcW w:type="dxa" w:w="1728"/>
            <w:tcMar>
              <w:top w:w="65" w:type="dxa"/>
              <w:start w:w="70" w:type="dxa"/>
              <w:bottom w:w="65" w:type="dxa"/>
              <w:end w:w="70" w:type="dxa"/>
            </w:tcMar>
            <w:vAlign w:val="top"/>
            <w:shd w:fill="F7F9FA"/>
          </w:tcPr>
          <w:p>
            <w:pPr>
              <w:spacing w:after="0"/>
            </w:pPr>
            <w:r>
              <w:rPr>
                <w:sz w:val="15"/>
              </w:rPr>
              <w:t>Browser-local</w:t>
            </w:r>
          </w:p>
        </w:tc>
        <w:tc>
          <w:tcPr>
            <w:tcW w:type="dxa" w:w="3960"/>
            <w:tcMar>
              <w:top w:w="65" w:type="dxa"/>
              <w:start w:w="70" w:type="dxa"/>
              <w:bottom w:w="65" w:type="dxa"/>
              <w:end w:w="70" w:type="dxa"/>
            </w:tcMar>
            <w:vAlign w:val="top"/>
            <w:shd w:fill="F7F9FA"/>
          </w:tcPr>
          <w:p>
            <w:pPr>
              <w:spacing w:after="0"/>
            </w:pPr>
            <w:r>
              <w:rPr>
                <w:sz w:val="15"/>
              </w:rPr>
              <w:t>No automatic server transmission or persistence from assessment UI</w:t>
            </w:r>
          </w:p>
        </w:tc>
        <w:tc>
          <w:tcPr>
            <w:tcW w:type="dxa" w:w="4392"/>
            <w:tcMar>
              <w:top w:w="65" w:type="dxa"/>
              <w:start w:w="70" w:type="dxa"/>
              <w:bottom w:w="65" w:type="dxa"/>
              <w:end w:w="70" w:type="dxa"/>
            </w:tcMar>
            <w:vAlign w:val="top"/>
            <w:shd w:fill="F7F9FA"/>
          </w:tcPr>
          <w:p>
            <w:pPr>
              <w:spacing w:after="0"/>
            </w:pPr>
            <w:r>
              <w:rPr>
                <w:sz w:val="15"/>
              </w:rPr>
              <w:t>Browser/device, extensions, screenshots, printing, and hosting still require a threat model.</w:t>
            </w:r>
          </w:p>
        </w:tc>
      </w:tr>
    </w:tbl>
    <w:p>
      <w:pPr>
        <w:spacing w:after="20"/>
      </w:pPr>
    </w:p>
    <w:p>
      <w:pPr>
        <w:pStyle w:val="Heading2"/>
      </w:pPr>
      <w:r>
        <w:t>10.1 Existing privacy-oriented design</w:t>
      </w:r>
    </w:p>
    <w:p>
      <w:pPr>
        <w:pStyle w:val="ListBullet"/>
        <w:spacing w:after="50"/>
      </w:pPr>
      <w:r>
        <w:t>No name, date of birth, medical record number, or contact fields in the interface.</w:t>
      </w:r>
    </w:p>
    <w:p>
      <w:pPr>
        <w:pStyle w:val="ListBullet"/>
        <w:spacing w:after="50"/>
      </w:pPr>
      <w:r>
        <w:t>No third-party fonts, scripts, analytics, or trackers in the packaged site.</w:t>
      </w:r>
    </w:p>
    <w:p>
      <w:pPr>
        <w:pStyle w:val="ListBullet"/>
        <w:spacing w:after="50"/>
      </w:pPr>
      <w:r>
        <w:t>robots.txt requests that search engines not index the prototype.</w:t>
      </w:r>
    </w:p>
    <w:p>
      <w:pPr>
        <w:pStyle w:val="ListBullet"/>
        <w:spacing w:after="50"/>
      </w:pPr>
      <w:r>
        <w:t>Assessment values remain browser-local in the current UI and are not automatically saved.</w:t>
      </w:r>
    </w:p>
    <w:p>
      <w:pPr>
        <w:pStyle w:val="Heading2"/>
      </w:pPr>
      <w:r>
        <w:t>10.2 Production security gaps</w:t>
      </w:r>
    </w:p>
    <w:p>
      <w:pPr>
        <w:pStyle w:val="ListBullet"/>
        <w:spacing w:after="50"/>
      </w:pPr>
      <w:r>
        <w:t>Authentication, SSO, RBAC, MFA, tenant isolation, authorization, key management, encryption-at-rest, audited access, retention/deletion, backup/restore, incident response, vulnerability management, and penetration testing are not implemented.</w:t>
      </w:r>
    </w:p>
    <w:p>
      <w:pPr>
        <w:pStyle w:val="ListBullet"/>
        <w:spacing w:after="50"/>
      </w:pPr>
      <w:r>
        <w:t>No HIPAA or FTC applicability assessment has been completed for a production business model. [R7-R8]</w:t>
      </w:r>
    </w:p>
    <w:p>
      <w:pPr>
        <w:pStyle w:val="ListBullet"/>
        <w:spacing w:after="50"/>
      </w:pPr>
      <w:r>
        <w:t>No production secure-SDLC, SBOM governance, quality system, or regulated change-control process is implemented.</w:t>
      </w:r>
    </w:p>
    <w:p>
      <w:pPr>
        <w:pStyle w:val="Heading1"/>
      </w:pPr>
      <w:r>
        <w:t>11. Verification status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3096"/>
            <w:shd w:fill="123E4A"/>
            <w:tcMar>
              <w:top w:w="75" w:type="dxa"/>
              <w:start w:w="70" w:type="dxa"/>
              <w:bottom w:w="75" w:type="dxa"/>
              <w:end w:w="70" w:type="dxa"/>
            </w:tcMar>
            <w:vAlign w:val="center"/>
          </w:tcPr>
          <w:p>
            <w:r>
              <w:rPr>
                <w:b/>
                <w:color w:val="FFFFFF"/>
                <w:sz w:val="16"/>
              </w:rPr>
              <w:t>Check</w:t>
            </w:r>
          </w:p>
        </w:tc>
        <w:tc>
          <w:tcPr>
            <w:tcW w:type="dxa" w:w="6983"/>
            <w:shd w:fill="123E4A"/>
            <w:tcMar>
              <w:top w:w="75" w:type="dxa"/>
              <w:start w:w="70" w:type="dxa"/>
              <w:bottom w:w="75" w:type="dxa"/>
              <w:end w:w="70" w:type="dxa"/>
            </w:tcMar>
            <w:vAlign w:val="center"/>
          </w:tcPr>
          <w:p>
            <w:r>
              <w:rPr>
                <w:b/>
                <w:color w:val="FFFFFF"/>
                <w:sz w:val="16"/>
              </w:rPr>
              <w:t>Current result</w:t>
            </w:r>
          </w:p>
        </w:tc>
      </w:tr>
      <w:tr>
        <w:trPr>
          <w:cantSplit/>
        </w:trPr>
        <w:tc>
          <w:tcPr>
            <w:tcW w:type="dxa" w:w="3096"/>
            <w:tcMar>
              <w:top w:w="65" w:type="dxa"/>
              <w:start w:w="70" w:type="dxa"/>
              <w:bottom w:w="65" w:type="dxa"/>
              <w:end w:w="70" w:type="dxa"/>
            </w:tcMar>
            <w:vAlign w:val="top"/>
          </w:tcPr>
          <w:p>
            <w:pPr>
              <w:spacing w:after="0"/>
            </w:pPr>
            <w:r>
              <w:rPr>
                <w:sz w:val="16"/>
              </w:rPr>
              <w:t>Engine tests</w:t>
            </w:r>
          </w:p>
        </w:tc>
        <w:tc>
          <w:tcPr>
            <w:tcW w:type="dxa" w:w="6983"/>
            <w:tcMar>
              <w:top w:w="65" w:type="dxa"/>
              <w:start w:w="70" w:type="dxa"/>
              <w:bottom w:w="65" w:type="dxa"/>
              <w:end w:w="70" w:type="dxa"/>
            </w:tcMar>
            <w:vAlign w:val="top"/>
          </w:tcPr>
          <w:p>
            <w:pPr>
              <w:spacing w:after="0"/>
            </w:pPr>
            <w:r>
              <w:rPr>
                <w:sz w:val="16"/>
              </w:rPr>
              <w:t>10 of 10 passed.</w:t>
            </w:r>
          </w:p>
        </w:tc>
      </w:tr>
      <w:tr>
        <w:trPr>
          <w:cantSplit/>
        </w:trPr>
        <w:tc>
          <w:tcPr>
            <w:tcW w:type="dxa" w:w="3096"/>
            <w:tcMar>
              <w:top w:w="65" w:type="dxa"/>
              <w:start w:w="70" w:type="dxa"/>
              <w:bottom w:w="65" w:type="dxa"/>
              <w:end w:w="70" w:type="dxa"/>
            </w:tcMar>
            <w:vAlign w:val="top"/>
            <w:shd w:fill="F7F9FA"/>
          </w:tcPr>
          <w:p>
            <w:pPr>
              <w:spacing w:after="0"/>
            </w:pPr>
            <w:r>
              <w:rPr>
                <w:sz w:val="16"/>
              </w:rPr>
              <w:t>Knowledge-base validation</w:t>
            </w:r>
          </w:p>
        </w:tc>
        <w:tc>
          <w:tcPr>
            <w:tcW w:type="dxa" w:w="6983"/>
            <w:tcMar>
              <w:top w:w="65" w:type="dxa"/>
              <w:start w:w="70" w:type="dxa"/>
              <w:bottom w:w="65" w:type="dxa"/>
              <w:end w:w="70" w:type="dxa"/>
            </w:tcMar>
            <w:vAlign w:val="top"/>
            <w:shd w:fill="F7F9FA"/>
          </w:tcPr>
          <w:p>
            <w:pPr>
              <w:spacing w:after="0"/>
            </w:pPr>
            <w:r>
              <w:rPr>
                <w:sz w:val="16"/>
              </w:rPr>
              <w:t>91 rules, 26 candidates, and 6 evidence records validated.</w:t>
            </w:r>
          </w:p>
        </w:tc>
      </w:tr>
      <w:tr>
        <w:trPr>
          <w:cantSplit/>
        </w:trPr>
        <w:tc>
          <w:tcPr>
            <w:tcW w:type="dxa" w:w="3096"/>
            <w:tcMar>
              <w:top w:w="65" w:type="dxa"/>
              <w:start w:w="70" w:type="dxa"/>
              <w:bottom w:w="65" w:type="dxa"/>
              <w:end w:w="70" w:type="dxa"/>
            </w:tcMar>
            <w:vAlign w:val="top"/>
          </w:tcPr>
          <w:p>
            <w:pPr>
              <w:spacing w:after="0"/>
            </w:pPr>
            <w:r>
              <w:rPr>
                <w:sz w:val="16"/>
              </w:rPr>
              <w:t>Static build</w:t>
            </w:r>
          </w:p>
        </w:tc>
        <w:tc>
          <w:tcPr>
            <w:tcW w:type="dxa" w:w="6983"/>
            <w:tcMar>
              <w:top w:w="65" w:type="dxa"/>
              <w:start w:w="70" w:type="dxa"/>
              <w:bottom w:w="65" w:type="dxa"/>
              <w:end w:w="70" w:type="dxa"/>
            </w:tcMar>
            <w:vAlign w:val="top"/>
          </w:tcPr>
          <w:p>
            <w:pPr>
              <w:spacing w:after="0"/>
            </w:pPr>
            <w:r>
              <w:rPr>
                <w:sz w:val="16"/>
              </w:rPr>
              <w:t>Passed; current Algorithm Explorer assets included.</w:t>
            </w:r>
          </w:p>
        </w:tc>
      </w:tr>
      <w:tr>
        <w:trPr>
          <w:cantSplit/>
        </w:trPr>
        <w:tc>
          <w:tcPr>
            <w:tcW w:type="dxa" w:w="3096"/>
            <w:tcMar>
              <w:top w:w="65" w:type="dxa"/>
              <w:start w:w="70" w:type="dxa"/>
              <w:bottom w:w="65" w:type="dxa"/>
              <w:end w:w="70" w:type="dxa"/>
            </w:tcMar>
            <w:vAlign w:val="top"/>
            <w:shd w:fill="F7F9FA"/>
          </w:tcPr>
          <w:p>
            <w:pPr>
              <w:spacing w:after="0"/>
            </w:pPr>
            <w:r>
              <w:rPr>
                <w:sz w:val="16"/>
              </w:rPr>
              <w:t>Live server/API smoke test</w:t>
            </w:r>
          </w:p>
        </w:tc>
        <w:tc>
          <w:tcPr>
            <w:tcW w:type="dxa" w:w="6983"/>
            <w:tcMar>
              <w:top w:w="65" w:type="dxa"/>
              <w:start w:w="70" w:type="dxa"/>
              <w:bottom w:w="65" w:type="dxa"/>
              <w:end w:w="70" w:type="dxa"/>
            </w:tcMar>
            <w:vAlign w:val="top"/>
            <w:shd w:fill="F7F9FA"/>
          </w:tcPr>
          <w:p>
            <w:pPr>
              <w:spacing w:after="0"/>
            </w:pPr>
            <w:r>
              <w:rPr>
                <w:sz w:val="16"/>
              </w:rPr>
              <w:t>Passed; expected health and deterministic assessment response.</w:t>
            </w:r>
          </w:p>
        </w:tc>
      </w:tr>
      <w:tr>
        <w:trPr>
          <w:cantSplit/>
        </w:trPr>
        <w:tc>
          <w:tcPr>
            <w:tcW w:type="dxa" w:w="3096"/>
            <w:tcMar>
              <w:top w:w="65" w:type="dxa"/>
              <w:start w:w="70" w:type="dxa"/>
              <w:bottom w:w="65" w:type="dxa"/>
              <w:end w:w="70" w:type="dxa"/>
            </w:tcMar>
            <w:vAlign w:val="top"/>
          </w:tcPr>
          <w:p>
            <w:pPr>
              <w:spacing w:after="0"/>
            </w:pPr>
            <w:r>
              <w:rPr>
                <w:sz w:val="16"/>
              </w:rPr>
              <w:t>Browser testing</w:t>
            </w:r>
          </w:p>
        </w:tc>
        <w:tc>
          <w:tcPr>
            <w:tcW w:type="dxa" w:w="6983"/>
            <w:tcMar>
              <w:top w:w="65" w:type="dxa"/>
              <w:start w:w="70" w:type="dxa"/>
              <w:bottom w:w="65" w:type="dxa"/>
              <w:end w:w="70" w:type="dxa"/>
            </w:tcMar>
            <w:vAlign w:val="top"/>
          </w:tcPr>
          <w:p>
            <w:pPr>
              <w:spacing w:after="0"/>
            </w:pPr>
            <w:r>
              <w:rPr>
                <w:sz w:val="16"/>
              </w:rPr>
              <w:t>Desktop and mobile interaction checks previously passed for example loading, assessment rendering, citations, navigation, print, and audit.</w:t>
            </w:r>
          </w:p>
        </w:tc>
      </w:tr>
      <w:tr>
        <w:trPr>
          <w:cantSplit/>
        </w:trPr>
        <w:tc>
          <w:tcPr>
            <w:tcW w:type="dxa" w:w="3096"/>
            <w:tcMar>
              <w:top w:w="65" w:type="dxa"/>
              <w:start w:w="70" w:type="dxa"/>
              <w:bottom w:w="65" w:type="dxa"/>
              <w:end w:w="70" w:type="dxa"/>
            </w:tcMar>
            <w:vAlign w:val="top"/>
            <w:shd w:fill="F7F9FA"/>
          </w:tcPr>
          <w:p>
            <w:pPr>
              <w:spacing w:after="0"/>
            </w:pPr>
            <w:r>
              <w:rPr>
                <w:sz w:val="16"/>
              </w:rPr>
              <w:t>Interpretation</w:t>
            </w:r>
          </w:p>
        </w:tc>
        <w:tc>
          <w:tcPr>
            <w:tcW w:type="dxa" w:w="6983"/>
            <w:tcMar>
              <w:top w:w="65" w:type="dxa"/>
              <w:start w:w="70" w:type="dxa"/>
              <w:bottom w:w="65" w:type="dxa"/>
              <w:end w:w="70" w:type="dxa"/>
            </w:tcMar>
            <w:vAlign w:val="top"/>
            <w:shd w:fill="F7F9FA"/>
          </w:tcPr>
          <w:p>
            <w:pPr>
              <w:spacing w:after="0"/>
            </w:pPr>
            <w:r>
              <w:rPr>
                <w:sz w:val="16"/>
              </w:rPr>
              <w:t>Verifies software behavior and packaging only; does not establish clinical validity, safety, diagnostic accuracy, or utility.</w:t>
            </w:r>
          </w:p>
        </w:tc>
      </w:tr>
    </w:tbl>
    <w:p>
      <w:pPr>
        <w:spacing w:after="20"/>
      </w:pPr>
    </w:p>
    <w:p>
      <w:pPr>
        <w:pStyle w:val="Heading2"/>
      </w:pPr>
      <w:r>
        <w:t>11.1 Current test scenarios</w:t>
      </w:r>
    </w:p>
    <w:p>
      <w:pPr>
        <w:pStyle w:val="ListBullet"/>
        <w:spacing w:after="50"/>
      </w:pPr>
      <w:r>
        <w:t>AAP fallback interval by age and sex.</w:t>
      </w:r>
    </w:p>
    <w:p>
      <w:pPr>
        <w:pStyle w:val="ListBullet"/>
        <w:spacing w:after="50"/>
      </w:pPr>
      <w:r>
        <w:t>Local ranges override built-in ranges.</w:t>
      </w:r>
    </w:p>
    <w:p>
      <w:pPr>
        <w:pStyle w:val="ListBullet"/>
        <w:spacing w:after="50"/>
      </w:pPr>
      <w:r>
        <w:t>Iron deficiency anemia example reaches the defined pattern.</w:t>
      </w:r>
    </w:p>
    <w:p>
      <w:pPr>
        <w:pStyle w:val="ListBullet"/>
        <w:spacing w:after="50"/>
      </w:pPr>
      <w:r>
        <w:t>Beta-thalassemia example ranks a beta-thalassemia pattern.</w:t>
      </w:r>
    </w:p>
    <w:p>
      <w:pPr>
        <w:pStyle w:val="ListBullet"/>
        <w:spacing w:after="50"/>
      </w:pPr>
      <w:r>
        <w:t>Inflammatory example ranks anemia of inflammation.</w:t>
      </w:r>
    </w:p>
    <w:p>
      <w:pPr>
        <w:pStyle w:val="ListBullet"/>
        <w:spacing w:after="50"/>
      </w:pPr>
      <w:r>
        <w:t>DAT-negative spherocytic hemolysis includes hereditary spherocytosis.</w:t>
      </w:r>
    </w:p>
    <w:p>
      <w:pPr>
        <w:pStyle w:val="ListBullet"/>
        <w:spacing w:after="50"/>
      </w:pPr>
      <w:r>
        <w:t>Marrow red flags trigger emergency and urgent alerts.</w:t>
      </w:r>
    </w:p>
    <w:p>
      <w:pPr>
        <w:pStyle w:val="ListBullet"/>
        <w:spacing w:after="50"/>
      </w:pPr>
      <w:r>
        <w:t>Elevated capillary lead triggers confirmation and lead pathway.</w:t>
      </w:r>
    </w:p>
    <w:p>
      <w:pPr>
        <w:pStyle w:val="ListBullet"/>
        <w:spacing w:after="50"/>
      </w:pPr>
      <w:r>
        <w:t>Young infant is not forced through built-in thresholds.</w:t>
      </w:r>
    </w:p>
    <w:p>
      <w:pPr>
        <w:pStyle w:val="ListBullet"/>
        <w:spacing w:after="50"/>
      </w:pPr>
      <w:r>
        <w:t>Identical input produces identical output.</w:t>
      </w:r>
    </w:p>
    <w:p>
      <w:pPr>
        <w:pStyle w:val="Heading1"/>
      </w:pPr>
      <w:r>
        <w:t>12. Known limitations and production gates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3024"/>
            <w:shd w:fill="123E4A"/>
            <w:tcMar>
              <w:top w:w="75" w:type="dxa"/>
              <w:start w:w="70" w:type="dxa"/>
              <w:bottom w:w="75" w:type="dxa"/>
              <w:end w:w="70" w:type="dxa"/>
            </w:tcMar>
            <w:vAlign w:val="center"/>
          </w:tcPr>
          <w:p>
            <w:r>
              <w:rPr>
                <w:b/>
                <w:color w:val="FFFFFF"/>
                <w:sz w:val="15"/>
              </w:rPr>
              <w:t>Limitation</w:t>
            </w:r>
          </w:p>
        </w:tc>
        <w:tc>
          <w:tcPr>
            <w:tcW w:type="dxa" w:w="7056"/>
            <w:shd w:fill="123E4A"/>
            <w:tcMar>
              <w:top w:w="75" w:type="dxa"/>
              <w:start w:w="70" w:type="dxa"/>
              <w:bottom w:w="75" w:type="dxa"/>
              <w:end w:w="70" w:type="dxa"/>
            </w:tcMar>
            <w:vAlign w:val="center"/>
          </w:tcPr>
          <w:p>
            <w:r>
              <w:rPr>
                <w:b/>
                <w:color w:val="FFFFFF"/>
                <w:sz w:val="15"/>
              </w:rPr>
              <w:t>Required production gate</w:t>
            </w:r>
          </w:p>
        </w:tc>
      </w:tr>
      <w:tr>
        <w:trPr>
          <w:cantSplit/>
        </w:trPr>
        <w:tc>
          <w:tcPr>
            <w:tcW w:type="dxa" w:w="3024"/>
            <w:tcMar>
              <w:top w:w="65" w:type="dxa"/>
              <w:start w:w="70" w:type="dxa"/>
              <w:bottom w:w="65" w:type="dxa"/>
              <w:end w:w="70" w:type="dxa"/>
            </w:tcMar>
            <w:vAlign w:val="top"/>
          </w:tcPr>
          <w:p>
            <w:pPr>
              <w:spacing w:after="0"/>
            </w:pPr>
            <w:r>
              <w:rPr>
                <w:sz w:val="15"/>
              </w:rPr>
              <w:t>No clinical validation</w:t>
            </w:r>
          </w:p>
        </w:tc>
        <w:tc>
          <w:tcPr>
            <w:tcW w:type="dxa" w:w="7056"/>
            <w:tcMar>
              <w:top w:w="65" w:type="dxa"/>
              <w:start w:w="70" w:type="dxa"/>
              <w:bottom w:w="65" w:type="dxa"/>
              <w:end w:w="70" w:type="dxa"/>
            </w:tcMar>
            <w:vAlign w:val="top"/>
          </w:tcPr>
          <w:p>
            <w:pPr>
              <w:spacing w:after="0"/>
            </w:pPr>
            <w:r>
              <w:rPr>
                <w:sz w:val="15"/>
              </w:rPr>
              <w:t>Dual specialist review, multi-site retrospective validation, prospective silent mode, and controlled rollout.</w:t>
            </w:r>
          </w:p>
        </w:tc>
      </w:tr>
      <w:tr>
        <w:trPr>
          <w:cantSplit/>
        </w:trPr>
        <w:tc>
          <w:tcPr>
            <w:tcW w:type="dxa" w:w="3024"/>
            <w:tcMar>
              <w:top w:w="65" w:type="dxa"/>
              <w:start w:w="70" w:type="dxa"/>
              <w:bottom w:w="65" w:type="dxa"/>
              <w:end w:w="70" w:type="dxa"/>
            </w:tcMar>
            <w:vAlign w:val="top"/>
            <w:shd w:fill="F7F9FA"/>
          </w:tcPr>
          <w:p>
            <w:pPr>
              <w:spacing w:after="0"/>
            </w:pPr>
            <w:r>
              <w:rPr>
                <w:sz w:val="15"/>
              </w:rPr>
              <w:t>Incomplete neonatal logic</w:t>
            </w:r>
          </w:p>
        </w:tc>
        <w:tc>
          <w:tcPr>
            <w:tcW w:type="dxa" w:w="7056"/>
            <w:tcMar>
              <w:top w:w="65" w:type="dxa"/>
              <w:start w:w="70" w:type="dxa"/>
              <w:bottom w:w="65" w:type="dxa"/>
              <w:end w:w="70" w:type="dxa"/>
            </w:tcMar>
            <w:vAlign w:val="top"/>
            <w:shd w:fill="F7F9FA"/>
          </w:tcPr>
          <w:p>
            <w:pPr>
              <w:spacing w:after="0"/>
            </w:pPr>
            <w:r>
              <w:rPr>
                <w:sz w:val="15"/>
              </w:rPr>
              <w:t>Dedicated neonatal research, postnatal/gestational model, local ranges, and specialist validation before inclusion.</w:t>
            </w:r>
          </w:p>
        </w:tc>
      </w:tr>
      <w:tr>
        <w:trPr>
          <w:cantSplit/>
        </w:trPr>
        <w:tc>
          <w:tcPr>
            <w:tcW w:type="dxa" w:w="3024"/>
            <w:tcMar>
              <w:top w:w="65" w:type="dxa"/>
              <w:start w:w="70" w:type="dxa"/>
              <w:bottom w:w="65" w:type="dxa"/>
              <w:end w:w="70" w:type="dxa"/>
            </w:tcMar>
            <w:vAlign w:val="top"/>
          </w:tcPr>
          <w:p>
            <w:pPr>
              <w:spacing w:after="0"/>
            </w:pPr>
            <w:r>
              <w:rPr>
                <w:sz w:val="15"/>
              </w:rPr>
              <w:t>Assay and lab dependence</w:t>
            </w:r>
          </w:p>
        </w:tc>
        <w:tc>
          <w:tcPr>
            <w:tcW w:type="dxa" w:w="7056"/>
            <w:tcMar>
              <w:top w:w="65" w:type="dxa"/>
              <w:start w:w="70" w:type="dxa"/>
              <w:bottom w:w="65" w:type="dxa"/>
              <w:end w:w="70" w:type="dxa"/>
            </w:tcMar>
            <w:vAlign w:val="top"/>
          </w:tcPr>
          <w:p>
            <w:pPr>
              <w:spacing w:after="0"/>
            </w:pPr>
            <w:r>
              <w:rPr>
                <w:sz w:val="15"/>
              </w:rPr>
              <w:t>UCUM units, method metadata, laboratory medicine review, site-specific mapping and validation.</w:t>
            </w:r>
          </w:p>
        </w:tc>
      </w:tr>
      <w:tr>
        <w:trPr>
          <w:cantSplit/>
        </w:trPr>
        <w:tc>
          <w:tcPr>
            <w:tcW w:type="dxa" w:w="3024"/>
            <w:tcMar>
              <w:top w:w="65" w:type="dxa"/>
              <w:start w:w="70" w:type="dxa"/>
              <w:bottom w:w="65" w:type="dxa"/>
              <w:end w:w="70" w:type="dxa"/>
            </w:tcMar>
            <w:vAlign w:val="top"/>
            <w:shd w:fill="F7F9FA"/>
          </w:tcPr>
          <w:p>
            <w:pPr>
              <w:spacing w:after="0"/>
            </w:pPr>
            <w:r>
              <w:rPr>
                <w:sz w:val="15"/>
              </w:rPr>
              <w:t>Boolean missingness</w:t>
            </w:r>
          </w:p>
        </w:tc>
        <w:tc>
          <w:tcPr>
            <w:tcW w:type="dxa" w:w="7056"/>
            <w:tcMar>
              <w:top w:w="65" w:type="dxa"/>
              <w:start w:w="70" w:type="dxa"/>
              <w:bottom w:w="65" w:type="dxa"/>
              <w:end w:w="70" w:type="dxa"/>
            </w:tcMar>
            <w:vAlign w:val="top"/>
            <w:shd w:fill="F7F9FA"/>
          </w:tcPr>
          <w:p>
            <w:pPr>
              <w:spacing w:after="0"/>
            </w:pPr>
            <w:r>
              <w:rPr>
                <w:sz w:val="15"/>
              </w:rPr>
              <w:t>Explicit tri-state or four-state answers, source, timestamp, and completeness checks.</w:t>
            </w:r>
          </w:p>
        </w:tc>
      </w:tr>
      <w:tr>
        <w:trPr>
          <w:cantSplit/>
        </w:trPr>
        <w:tc>
          <w:tcPr>
            <w:tcW w:type="dxa" w:w="3024"/>
            <w:tcMar>
              <w:top w:w="65" w:type="dxa"/>
              <w:start w:w="70" w:type="dxa"/>
              <w:bottom w:w="65" w:type="dxa"/>
              <w:end w:w="70" w:type="dxa"/>
            </w:tcMar>
            <w:vAlign w:val="top"/>
          </w:tcPr>
          <w:p>
            <w:pPr>
              <w:spacing w:after="0"/>
            </w:pPr>
            <w:r>
              <w:rPr>
                <w:sz w:val="15"/>
              </w:rPr>
              <w:t>Rare disease resolution</w:t>
            </w:r>
          </w:p>
        </w:tc>
        <w:tc>
          <w:tcPr>
            <w:tcW w:type="dxa" w:w="7056"/>
            <w:tcMar>
              <w:top w:w="65" w:type="dxa"/>
              <w:start w:w="70" w:type="dxa"/>
              <w:bottom w:w="65" w:type="dxa"/>
              <w:end w:w="70" w:type="dxa"/>
            </w:tcMar>
            <w:vAlign w:val="top"/>
          </w:tcPr>
          <w:p>
            <w:pPr>
              <w:spacing w:after="0"/>
            </w:pPr>
            <w:r>
              <w:rPr>
                <w:sz w:val="15"/>
              </w:rPr>
              <w:t>Specialist confirmation and explicit limits for marrow, molecular, membrane, enzyme, and hemoglobinopathy diagnoses.</w:t>
            </w:r>
          </w:p>
        </w:tc>
      </w:tr>
      <w:tr>
        <w:trPr>
          <w:cantSplit/>
        </w:trPr>
        <w:tc>
          <w:tcPr>
            <w:tcW w:type="dxa" w:w="3024"/>
            <w:tcMar>
              <w:top w:w="65" w:type="dxa"/>
              <w:start w:w="70" w:type="dxa"/>
              <w:bottom w:w="65" w:type="dxa"/>
              <w:end w:w="70" w:type="dxa"/>
            </w:tcMar>
            <w:vAlign w:val="top"/>
            <w:shd w:fill="F7F9FA"/>
          </w:tcPr>
          <w:p>
            <w:pPr>
              <w:spacing w:after="0"/>
            </w:pPr>
            <w:r>
              <w:rPr>
                <w:sz w:val="15"/>
              </w:rPr>
              <w:t>No probability model</w:t>
            </w:r>
          </w:p>
        </w:tc>
        <w:tc>
          <w:tcPr>
            <w:tcW w:type="dxa" w:w="7056"/>
            <w:tcMar>
              <w:top w:w="65" w:type="dxa"/>
              <w:start w:w="70" w:type="dxa"/>
              <w:bottom w:w="65" w:type="dxa"/>
              <w:end w:w="70" w:type="dxa"/>
            </w:tcMar>
            <w:vAlign w:val="top"/>
            <w:shd w:fill="F7F9FA"/>
          </w:tcPr>
          <w:p>
            <w:pPr>
              <w:spacing w:after="0"/>
            </w:pPr>
            <w:r>
              <w:rPr>
                <w:sz w:val="15"/>
              </w:rPr>
              <w:t>Retain ordinal language unless a separately validated probabilistic model is developed and calibrated.</w:t>
            </w:r>
          </w:p>
        </w:tc>
      </w:tr>
      <w:tr>
        <w:trPr>
          <w:cantSplit/>
        </w:trPr>
        <w:tc>
          <w:tcPr>
            <w:tcW w:type="dxa" w:w="3024"/>
            <w:tcMar>
              <w:top w:w="65" w:type="dxa"/>
              <w:start w:w="70" w:type="dxa"/>
              <w:bottom w:w="65" w:type="dxa"/>
              <w:end w:w="70" w:type="dxa"/>
            </w:tcMar>
            <w:vAlign w:val="top"/>
          </w:tcPr>
          <w:p>
            <w:pPr>
              <w:spacing w:after="0"/>
            </w:pPr>
            <w:r>
              <w:rPr>
                <w:sz w:val="15"/>
              </w:rPr>
              <w:t>Regulatory status unknown</w:t>
            </w:r>
          </w:p>
        </w:tc>
        <w:tc>
          <w:tcPr>
            <w:tcW w:type="dxa" w:w="7056"/>
            <w:tcMar>
              <w:top w:w="65" w:type="dxa"/>
              <w:start w:w="70" w:type="dxa"/>
              <w:bottom w:w="65" w:type="dxa"/>
              <w:end w:w="70" w:type="dxa"/>
            </w:tcMar>
            <w:vAlign w:val="top"/>
          </w:tcPr>
          <w:p>
            <w:pPr>
              <w:spacing w:after="0"/>
            </w:pPr>
            <w:r>
              <w:rPr>
                <w:sz w:val="15"/>
              </w:rPr>
              <w:t>Final intended-use/claims analysis, specialized counsel, and possible FDA interaction. [R1]</w:t>
            </w:r>
          </w:p>
        </w:tc>
      </w:tr>
      <w:tr>
        <w:trPr>
          <w:cantSplit/>
        </w:trPr>
        <w:tc>
          <w:tcPr>
            <w:tcW w:type="dxa" w:w="3024"/>
            <w:tcMar>
              <w:top w:w="65" w:type="dxa"/>
              <w:start w:w="70" w:type="dxa"/>
              <w:bottom w:w="65" w:type="dxa"/>
              <w:end w:w="70" w:type="dxa"/>
            </w:tcMar>
            <w:vAlign w:val="top"/>
            <w:shd w:fill="F7F9FA"/>
          </w:tcPr>
          <w:p>
            <w:pPr>
              <w:spacing w:after="0"/>
            </w:pPr>
            <w:r>
              <w:rPr>
                <w:sz w:val="15"/>
              </w:rPr>
              <w:t>No production content operations</w:t>
            </w:r>
          </w:p>
        </w:tc>
        <w:tc>
          <w:tcPr>
            <w:tcW w:type="dxa" w:w="7056"/>
            <w:tcMar>
              <w:top w:w="65" w:type="dxa"/>
              <w:start w:w="70" w:type="dxa"/>
              <w:bottom w:w="65" w:type="dxa"/>
              <w:end w:w="70" w:type="dxa"/>
            </w:tcMar>
            <w:vAlign w:val="top"/>
            <w:shd w:fill="F7F9FA"/>
          </w:tcPr>
          <w:p>
            <w:pPr>
              <w:spacing w:after="0"/>
            </w:pPr>
            <w:r>
              <w:rPr>
                <w:sz w:val="15"/>
              </w:rPr>
              <w:t>Exact source passages, evidence grade, dual approval, expiry, surveillance, semantic diffs, signed releases, rollback.</w:t>
            </w:r>
          </w:p>
        </w:tc>
      </w:tr>
      <w:tr>
        <w:trPr>
          <w:cantSplit/>
        </w:trPr>
        <w:tc>
          <w:tcPr>
            <w:tcW w:type="dxa" w:w="3024"/>
            <w:tcMar>
              <w:top w:w="65" w:type="dxa"/>
              <w:start w:w="70" w:type="dxa"/>
              <w:bottom w:w="65" w:type="dxa"/>
              <w:end w:w="70" w:type="dxa"/>
            </w:tcMar>
            <w:vAlign w:val="top"/>
          </w:tcPr>
          <w:p>
            <w:pPr>
              <w:spacing w:after="0"/>
            </w:pPr>
            <w:r>
              <w:rPr>
                <w:sz w:val="15"/>
              </w:rPr>
              <w:t>No production security/privacy</w:t>
            </w:r>
          </w:p>
        </w:tc>
        <w:tc>
          <w:tcPr>
            <w:tcW w:type="dxa" w:w="7056"/>
            <w:tcMar>
              <w:top w:w="65" w:type="dxa"/>
              <w:start w:w="70" w:type="dxa"/>
              <w:bottom w:w="65" w:type="dxa"/>
              <w:end w:w="70" w:type="dxa"/>
            </w:tcMar>
            <w:vAlign w:val="top"/>
          </w:tcPr>
          <w:p>
            <w:pPr>
              <w:spacing w:after="0"/>
            </w:pPr>
            <w:r>
              <w:rPr>
                <w:sz w:val="15"/>
              </w:rPr>
              <w:t>Enterprise security architecture, contracts, threat model, controls, testing, and legal assessment. [R7-R8]</w:t>
            </w:r>
          </w:p>
        </w:tc>
      </w:tr>
      <w:tr>
        <w:trPr>
          <w:cantSplit/>
        </w:trPr>
        <w:tc>
          <w:tcPr>
            <w:tcW w:type="dxa" w:w="3024"/>
            <w:tcMar>
              <w:top w:w="65" w:type="dxa"/>
              <w:start w:w="70" w:type="dxa"/>
              <w:bottom w:w="65" w:type="dxa"/>
              <w:end w:w="70" w:type="dxa"/>
            </w:tcMar>
            <w:vAlign w:val="top"/>
            <w:shd w:fill="F7F9FA"/>
          </w:tcPr>
          <w:p>
            <w:pPr>
              <w:spacing w:after="0"/>
            </w:pPr>
            <w:r>
              <w:rPr>
                <w:sz w:val="15"/>
              </w:rPr>
              <w:t>Content reuse rights not resolved</w:t>
            </w:r>
          </w:p>
        </w:tc>
        <w:tc>
          <w:tcPr>
            <w:tcW w:type="dxa" w:w="7056"/>
            <w:tcMar>
              <w:top w:w="65" w:type="dxa"/>
              <w:start w:w="70" w:type="dxa"/>
              <w:bottom w:w="65" w:type="dxa"/>
              <w:end w:w="70" w:type="dxa"/>
            </w:tcMar>
            <w:vAlign w:val="top"/>
            <w:shd w:fill="F7F9FA"/>
          </w:tcPr>
          <w:p>
            <w:pPr>
              <w:spacing w:after="0"/>
            </w:pPr>
            <w:r>
              <w:rPr>
                <w:sz w:val="15"/>
              </w:rPr>
              <w:t>Copyright and license review for guideline tables, excerpts, and derived content.</w:t>
            </w:r>
          </w:p>
        </w:tc>
      </w:tr>
    </w:tbl>
    <w:p>
      <w:pPr>
        <w:spacing w:after="20"/>
      </w:pPr>
    </w:p>
    <w:tbl>
      <w:tblPr>
        <w:tblW w:type="auto" w:w="0"/>
        <w:jc w:val="center"/>
        <w:tblLayout w:type="fixed"/>
        <w:tblLook w:firstColumn="1" w:firstRow="1" w:lastColumn="0" w:lastRow="0" w:noHBand="0" w:noVBand="1" w:val="04A0"/>
      </w:tblPr>
      <w:tblGrid>
        <w:gridCol w:w="10282"/>
      </w:tblGrid>
      <w:tr>
        <w:tc>
          <w:tcPr>
            <w:tcW w:type="dxa" w:w="10080"/>
            <w:shd w:fill="FCECEC"/>
            <w:tcMar>
              <w:top w:w="130" w:type="dxa"/>
              <w:start w:w="160" w:type="dxa"/>
              <w:bottom w:w="130" w:type="dxa"/>
              <w:end w:w="160" w:type="dxa"/>
            </w:tcMar>
          </w:tcPr>
          <w:p>
            <w:r>
              <w:rPr>
                <w:b/>
                <w:color w:val="B23A3A"/>
                <w:sz w:val="16"/>
              </w:rPr>
              <w:t>RELEASE PROHIBITION</w:t>
            </w:r>
          </w:p>
          <w:p>
            <w:r>
              <w:rPr>
                <w:sz w:val="18"/>
              </w:rPr>
              <w:t>Do not use the current prototype for live patient care or market it as clinically validated until the production gates are completed and documented.</w:t>
            </w:r>
          </w:p>
        </w:tc>
      </w:tr>
    </w:tbl>
    <w:p>
      <w:pPr>
        <w:spacing w:after="0"/>
      </w:pPr>
    </w:p>
    <w:p>
      <w:pPr>
        <w:pStyle w:val="Heading1"/>
      </w:pPr>
      <w:r>
        <w:t>13. Recommended acceptance criteria for the next controlled release</w:t>
      </w:r>
    </w:p>
    <w:p>
      <w:pPr>
        <w:pStyle w:val="ListBullet"/>
        <w:spacing w:after="50"/>
      </w:pPr>
      <w:r>
        <w:t>Every rule has exact source passage, page/section, applicability, effective date, review date, and two clinical approvals.</w:t>
      </w:r>
    </w:p>
    <w:p>
      <w:pPr>
        <w:pStyle w:val="ListBullet"/>
        <w:spacing w:after="50"/>
      </w:pPr>
      <w:r>
        <w:t>Every rule has at least one positive and one negative activation test; every numeric cutoff has boundary tests; dangerous pathways have explicit miss tests.</w:t>
      </w:r>
    </w:p>
    <w:p>
      <w:pPr>
        <w:pStyle w:val="ListBullet"/>
        <w:spacing w:after="50"/>
      </w:pPr>
      <w:r>
        <w:t>All clinical booleans use explicit present/absent/unknown/not-assessed semantics.</w:t>
      </w:r>
    </w:p>
    <w:p>
      <w:pPr>
        <w:pStyle w:val="ListBullet"/>
        <w:spacing w:after="50"/>
      </w:pPr>
      <w:r>
        <w:t>The knowledge package is immutable, signed, reproducible, semantically diffed, and rollback-capable.</w:t>
      </w:r>
    </w:p>
    <w:p>
      <w:pPr>
        <w:pStyle w:val="ListBullet"/>
        <w:spacing w:after="50"/>
      </w:pPr>
      <w:r>
        <w:t>An external pediatric hematologist, general pediatrician, and laboratory medicine reviewer approve the module.</w:t>
      </w:r>
    </w:p>
    <w:p>
      <w:pPr>
        <w:pStyle w:val="ListBullet"/>
        <w:spacing w:after="50"/>
      </w:pPr>
      <w:r>
        <w:t>Retrospective and silent-mode protocol, reference standard, statistical plan, subgroup plan, and incident process are approved.</w:t>
      </w:r>
    </w:p>
    <w:p>
      <w:pPr>
        <w:pStyle w:val="ListBullet"/>
        <w:spacing w:after="50"/>
      </w:pPr>
      <w:r>
        <w:t>Intended use, labeling, privacy/security architecture, and regulatory assessment are approved for the target deployment.</w:t>
      </w:r>
    </w:p>
    <w:p>
      <w:pPr>
        <w:pStyle w:val="Heading1"/>
      </w:pPr>
      <w:r>
        <w:t>14. Source package inventory</w:t>
      </w:r>
    </w:p>
    <w:p>
      <w:r>
        <w:t>The verified working package contains 73 files and is approximately 742 KB before screenshots or report artifacts. Key deliverables include the web interface, source modules, JSON knowledge base, schemas, examples, tests, documentation, Node server, static build, Dockerfile, OpenAPI contract, deployment headers, and release verification.</w:t>
      </w:r>
    </w:p>
    <w:tbl>
      <w:tblPr>
        <w:tblW w:type="auto" w:w="0"/>
        <w:jc w:val="center"/>
        <w:tblLayout w:type="fixed"/>
        <w:tblLook w:firstColumn="1" w:firstRow="1" w:lastColumn="0" w:lastRow="0" w:noHBand="0" w:noVBand="1" w:val="04A0"/>
      </w:tblPr>
      <w:tblGrid>
        <w:gridCol w:w="10282"/>
      </w:tblGrid>
      <w:tr>
        <w:tc>
          <w:tcPr>
            <w:tcW w:type="dxa" w:w="10080"/>
            <w:shd w:fill="EEF3F5"/>
            <w:tcMar>
              <w:top w:w="90" w:type="dxa"/>
              <w:start w:w="110" w:type="dxa"/>
              <w:bottom w:w="90" w:type="dxa"/>
              <w:end w:w="110" w:type="dxa"/>
            </w:tcMar>
          </w:tcPr>
          <w:p>
            <w:pPr>
              <w:pStyle w:val="CodeSmall"/>
            </w:pPr>
            <w:r>
              <w:rPr>
                <w:rFonts w:ascii="DejaVu Sans Mono" w:hAnsi="DejaVu Sans Mono"/>
                <w:sz w:val="15"/>
              </w:rPr>
              <w:t>pediatric-anemia-site/</w:t>
              <w:br/>
              <w:t xml:space="preserve">  index.html, styles.css, site-overrides.css</w:t>
              <w:br/>
              <w:t xml:space="preserve">  src/{app,algorithmExplorer,engine,facts,ruleEngine,referenceRanges,evidence}.js</w:t>
              <w:br/>
              <w:t xml:space="preserve">  data/{rules,candidates,evidence,reference-ranges,algorithm-explainers}.json</w:t>
              <w:br/>
              <w:t xml:space="preserve">  schemas/{patient-input,assessment-output,rule,candidate}.schema.json</w:t>
              <w:br/>
              <w:t xml:space="preserve">  examples/*.json</w:t>
              <w:br/>
              <w:t xml:space="preserve">  tests/engine.test.mjs</w:t>
              <w:br/>
              <w:t xml:space="preserve">  scripts/{build-static,validate-kb,smoke-test}.mjs</w:t>
              <w:br/>
              <w:t xml:space="preserve">  server.mjs, openapi.yaml, Dockerfile, _headers, robots.txt</w:t>
              <w:br/>
              <w:t xml:space="preserve">  docs/*.md</w:t>
              <w:br/>
              <w:t xml:space="preserve">  dist/</w:t>
            </w:r>
          </w:p>
        </w:tc>
      </w:tr>
    </w:tbl>
    <w:p>
      <w:pPr>
        <w:spacing w:after="0"/>
      </w:pPr>
    </w:p>
    <w:p>
      <w:pPr>
        <w:pStyle w:val="Heading1"/>
      </w:pPr>
      <w:r>
        <w:t>References</w:t>
      </w:r>
    </w:p>
    <w:p>
      <w:pPr>
        <w:spacing w:after="100"/>
        <w:ind w:left="259" w:hanging="259"/>
      </w:pPr>
      <w:r>
        <w:rPr>
          <w:b/>
          <w:color w:val="0E7582"/>
        </w:rPr>
        <w:t xml:space="preserve">[C1] </w:t>
      </w:r>
      <w:r>
        <w:rPr>
          <w:sz w:val="16"/>
        </w:rPr>
        <w:t xml:space="preserve">American Academy of Pediatrics. Prevention, Screening, Diagnosis, and Treatment of Iron Deficiency and Iron Deficiency Anemia in Infants, Children, and Adolescents: Clinical Report. 2026. </w:t>
      </w:r>
      <w:hyperlink r:id="rId14">
        <w:r>
          <w:rPr>
            <w:color w:val="0E7582"/>
            <w:u w:val="single"/>
          </w:rPr>
          <w:t>https://publications.aap.org/pediatrics/article/158/1/e2026077414/207901/Prevention-Screening-Diagnosis-and-Treatment-of</w:t>
        </w:r>
      </w:hyperlink>
      <w:r>
        <w:rPr>
          <w:i/>
          <w:color w:val="667780"/>
          <w:sz w:val="16"/>
        </w:rPr>
        <w:t xml:space="preserve"> Primary current clinical source in the app.</w:t>
      </w:r>
    </w:p>
    <w:p>
      <w:pPr>
        <w:spacing w:after="100"/>
        <w:ind w:left="259" w:hanging="259"/>
      </w:pPr>
      <w:r>
        <w:rPr>
          <w:b/>
          <w:color w:val="0E7582"/>
        </w:rPr>
        <w:t xml:space="preserve">[C2] </w:t>
      </w:r>
      <w:r>
        <w:rPr>
          <w:sz w:val="16"/>
        </w:rPr>
        <w:t xml:space="preserve">World Health Organization. Guideline on haemoglobin cutoffs to define anaemia in individuals and populations. 2024. </w:t>
      </w:r>
      <w:hyperlink r:id="rId15">
        <w:r>
          <w:rPr>
            <w:color w:val="0E7582"/>
            <w:u w:val="single"/>
          </w:rPr>
          <w:t>https://www.who.int/publications/i/item/9789240088542</w:t>
        </w:r>
      </w:hyperlink>
      <w:r>
        <w:rPr>
          <w:i/>
          <w:color w:val="667780"/>
          <w:sz w:val="16"/>
        </w:rPr>
        <w:t xml:space="preserve"> Supports age- and population-aware cutoff governance.</w:t>
      </w:r>
    </w:p>
    <w:p>
      <w:pPr>
        <w:spacing w:after="100"/>
        <w:ind w:left="259" w:hanging="259"/>
      </w:pPr>
      <w:r>
        <w:rPr>
          <w:b/>
          <w:color w:val="0E7582"/>
        </w:rPr>
        <w:t xml:space="preserve">[C3] </w:t>
      </w:r>
      <w:r>
        <w:rPr>
          <w:sz w:val="16"/>
        </w:rPr>
        <w:t xml:space="preserve">Blood / American Society of Hematology. Anemia in the pediatric patient. 2022. </w:t>
      </w:r>
      <w:hyperlink r:id="rId16">
        <w:r>
          <w:rPr>
            <w:color w:val="0E7582"/>
            <w:u w:val="single"/>
          </w:rPr>
          <w:t>https://doi.org/10.1182/blood.2021013018</w:t>
        </w:r>
      </w:hyperlink>
      <w:r>
        <w:rPr>
          <w:i/>
          <w:color w:val="667780"/>
          <w:sz w:val="16"/>
        </w:rPr>
        <w:t xml:space="preserve"> Recent peer-reviewed morphology and reticulocyte framework.</w:t>
      </w:r>
    </w:p>
    <w:p>
      <w:pPr>
        <w:spacing w:after="100"/>
        <w:ind w:left="259" w:hanging="259"/>
      </w:pPr>
      <w:r>
        <w:rPr>
          <w:b/>
          <w:color w:val="0E7582"/>
        </w:rPr>
        <w:t xml:space="preserve">[C4] </w:t>
      </w:r>
      <w:r>
        <w:rPr>
          <w:sz w:val="16"/>
        </w:rPr>
        <w:t xml:space="preserve">US Centers for Disease Control and Prevention. Recommended Actions Based on Blood Lead Level. 2025. </w:t>
      </w:r>
      <w:hyperlink r:id="rId17">
        <w:r>
          <w:rPr>
            <w:color w:val="0E7582"/>
            <w:u w:val="single"/>
          </w:rPr>
          <w:t>https://www.cdc.gov/lead-prevention/hcp/clinical-guidance/index.html</w:t>
        </w:r>
      </w:hyperlink>
      <w:r>
        <w:rPr>
          <w:i/>
          <w:color w:val="667780"/>
          <w:sz w:val="16"/>
        </w:rPr>
        <w:t xml:space="preserve"> Current lead reference value, confirmation, and escalation pathways.</w:t>
      </w:r>
    </w:p>
    <w:p>
      <w:pPr>
        <w:spacing w:after="100"/>
        <w:ind w:left="259" w:hanging="259"/>
      </w:pPr>
      <w:r>
        <w:rPr>
          <w:b/>
          <w:color w:val="0E7582"/>
        </w:rPr>
        <w:t xml:space="preserve">[C5] </w:t>
      </w:r>
      <w:r>
        <w:rPr>
          <w:sz w:val="16"/>
        </w:rPr>
        <w:t xml:space="preserve">British Society for Haematology. Laboratory diagnosis of G6PD deficiency: A British Society for Haematology Guideline. 2020. </w:t>
      </w:r>
      <w:hyperlink r:id="rId18">
        <w:r>
          <w:rPr>
            <w:color w:val="0E7582"/>
            <w:u w:val="single"/>
          </w:rPr>
          <w:t>https://pubmed.ncbi.nlm.nih.gov/?term=Laboratory+diagnosis+of+G6PD+deficiency+British+Society+for+Haematology</w:t>
        </w:r>
      </w:hyperlink>
      <w:r>
        <w:rPr>
          <w:i/>
          <w:color w:val="667780"/>
          <w:sz w:val="16"/>
        </w:rPr>
        <w:t xml:space="preserve"> Foundational exception outside the five-year priority window.</w:t>
      </w:r>
    </w:p>
    <w:p>
      <w:pPr>
        <w:spacing w:after="100"/>
        <w:ind w:left="259" w:hanging="259"/>
      </w:pPr>
      <w:r>
        <w:rPr>
          <w:b/>
          <w:color w:val="0E7582"/>
        </w:rPr>
        <w:t xml:space="preserve">[R1] </w:t>
      </w:r>
      <w:r>
        <w:rPr>
          <w:sz w:val="16"/>
        </w:rPr>
        <w:t xml:space="preserve">US Food and Drug Administration. Clinical Decision Support Software: Guidance for Industry and FDA Staff. 2026. </w:t>
      </w:r>
      <w:hyperlink r:id="rId19">
        <w:r>
          <w:rPr>
            <w:color w:val="0E7582"/>
            <w:u w:val="single"/>
          </w:rPr>
          <w:t>https://www.fda.gov/regulatory-information/search-fda-guidance-documents/clinical-decision-support-software</w:t>
        </w:r>
      </w:hyperlink>
      <w:r>
        <w:rPr>
          <w:i/>
          <w:color w:val="667780"/>
          <w:sz w:val="16"/>
        </w:rPr>
        <w:t xml:space="preserve"> Final guidance, January 2026.</w:t>
      </w:r>
    </w:p>
    <w:p>
      <w:pPr>
        <w:spacing w:after="100"/>
        <w:ind w:left="259" w:hanging="259"/>
      </w:pPr>
      <w:r>
        <w:rPr>
          <w:b/>
          <w:color w:val="0E7582"/>
        </w:rPr>
        <w:t xml:space="preserve">[R2] </w:t>
      </w:r>
      <w:r>
        <w:rPr>
          <w:sz w:val="16"/>
        </w:rPr>
        <w:t xml:space="preserve">World Health Organization. SMART Guidelines. Current page accessed 2026. </w:t>
      </w:r>
      <w:hyperlink r:id="rId20">
        <w:r>
          <w:rPr>
            <w:color w:val="0E7582"/>
            <w:u w:val="single"/>
          </w:rPr>
          <w:t>https://www.who.int/teams/digital-health-and-innovation/smart-guidelines</w:t>
        </w:r>
      </w:hyperlink>
      <w:r>
        <w:rPr>
          <w:i/>
          <w:color w:val="667780"/>
          <w:sz w:val="16"/>
        </w:rPr>
        <w:t xml:space="preserve"> Describes the challenge of translating guidance into digital systems.</w:t>
      </w:r>
    </w:p>
    <w:p>
      <w:pPr>
        <w:spacing w:after="100"/>
        <w:ind w:left="259" w:hanging="259"/>
      </w:pPr>
      <w:r>
        <w:rPr>
          <w:b/>
          <w:color w:val="0E7582"/>
        </w:rPr>
        <w:t xml:space="preserve">[R3] </w:t>
      </w:r>
      <w:r>
        <w:rPr>
          <w:sz w:val="16"/>
        </w:rPr>
        <w:t xml:space="preserve">HL7 International. SMART App Launch Implementation Guide v2.2.0. Current published version accessed 2026. </w:t>
      </w:r>
      <w:hyperlink r:id="rId21">
        <w:r>
          <w:rPr>
            <w:color w:val="0E7582"/>
            <w:u w:val="single"/>
          </w:rPr>
          <w:t>https://hl7.org/fhir/smart-app-launch/</w:t>
        </w:r>
      </w:hyperlink>
      <w:r>
        <w:rPr>
          <w:i/>
          <w:color w:val="667780"/>
          <w:sz w:val="16"/>
        </w:rPr>
        <w:t xml:space="preserve"> FHIR-based app launch and authorization standard.</w:t>
      </w:r>
    </w:p>
    <w:p>
      <w:pPr>
        <w:spacing w:after="100"/>
        <w:ind w:left="259" w:hanging="259"/>
      </w:pPr>
      <w:r>
        <w:rPr>
          <w:b/>
          <w:color w:val="0E7582"/>
        </w:rPr>
        <w:t xml:space="preserve">[R4] </w:t>
      </w:r>
      <w:r>
        <w:rPr>
          <w:sz w:val="16"/>
        </w:rPr>
        <w:t xml:space="preserve">HL7 International. CDS Hooks Implementation Guide v2.0.1. Current published version accessed 2026. </w:t>
      </w:r>
      <w:hyperlink r:id="rId22">
        <w:r>
          <w:rPr>
            <w:color w:val="0E7582"/>
            <w:u w:val="single"/>
          </w:rPr>
          <w:t>https://cds-hooks.hl7.org/</w:t>
        </w:r>
      </w:hyperlink>
      <w:r>
        <w:rPr>
          <w:i/>
          <w:color w:val="667780"/>
          <w:sz w:val="16"/>
        </w:rPr>
        <w:t xml:space="preserve"> Workflow-triggered CDS integration standard.</w:t>
      </w:r>
    </w:p>
    <w:p>
      <w:pPr>
        <w:spacing w:after="100"/>
        <w:ind w:left="259" w:hanging="259"/>
      </w:pPr>
      <w:r>
        <w:rPr>
          <w:b/>
          <w:color w:val="0E7582"/>
        </w:rPr>
        <w:t xml:space="preserve">[R5] </w:t>
      </w:r>
      <w:r>
        <w:rPr>
          <w:sz w:val="16"/>
        </w:rPr>
        <w:t xml:space="preserve">HL7 International. FHIR PlanDefinition R4. R4. </w:t>
      </w:r>
      <w:hyperlink r:id="rId23">
        <w:r>
          <w:rPr>
            <w:color w:val="0E7582"/>
            <w:u w:val="single"/>
          </w:rPr>
          <w:t>https://hl7.org/fhir/R4/plandefinition.html</w:t>
        </w:r>
      </w:hyperlink>
      <w:r>
        <w:rPr>
          <w:i/>
          <w:color w:val="667780"/>
          <w:sz w:val="16"/>
        </w:rPr>
        <w:t xml:space="preserve"> Shareable conditions, triggers, and executable actions.</w:t>
      </w:r>
    </w:p>
    <w:p>
      <w:pPr>
        <w:spacing w:after="100"/>
        <w:ind w:left="259" w:hanging="259"/>
      </w:pPr>
      <w:r>
        <w:rPr>
          <w:b/>
          <w:color w:val="0E7582"/>
        </w:rPr>
        <w:t xml:space="preserve">[R6] </w:t>
      </w:r>
      <w:r>
        <w:rPr>
          <w:sz w:val="16"/>
        </w:rPr>
        <w:t xml:space="preserve">HL7 International. FHIR Questionnaire R5. R5. </w:t>
      </w:r>
      <w:hyperlink r:id="rId24">
        <w:r>
          <w:rPr>
            <w:color w:val="0E7582"/>
            <w:u w:val="single"/>
          </w:rPr>
          <w:t>https://www.hl7.org/fhir/questionnaire.html</w:t>
        </w:r>
      </w:hyperlink>
      <w:r>
        <w:rPr>
          <w:i/>
          <w:color w:val="667780"/>
          <w:sz w:val="16"/>
        </w:rPr>
        <w:t xml:space="preserve"> Structured, ordered clinical data capture and QuestionnaireResponse.</w:t>
      </w:r>
    </w:p>
    <w:p>
      <w:pPr>
        <w:spacing w:after="100"/>
        <w:ind w:left="259" w:hanging="259"/>
      </w:pPr>
      <w:r>
        <w:rPr>
          <w:b/>
          <w:color w:val="0E7582"/>
        </w:rPr>
        <w:t xml:space="preserve">[R7] </w:t>
      </w:r>
      <w:r>
        <w:rPr>
          <w:sz w:val="16"/>
        </w:rPr>
        <w:t xml:space="preserve">US Department of Health and Human Services. The HIPAA Security Rule. Page reviewed March 2026. </w:t>
      </w:r>
      <w:hyperlink r:id="rId25">
        <w:r>
          <w:rPr>
            <w:color w:val="0E7582"/>
            <w:u w:val="single"/>
          </w:rPr>
          <w:t>https://www.hhs.gov/hipaa/for-professionals/security/index.html</w:t>
        </w:r>
      </w:hyperlink>
      <w:r>
        <w:rPr>
          <w:i/>
          <w:color w:val="667780"/>
          <w:sz w:val="16"/>
        </w:rPr>
        <w:t xml:space="preserve"> Administrative, physical, and technical safeguards for ePHI.</w:t>
      </w:r>
    </w:p>
    <w:p>
      <w:pPr>
        <w:spacing w:after="100"/>
        <w:ind w:left="259" w:hanging="259"/>
      </w:pPr>
      <w:r>
        <w:rPr>
          <w:b/>
          <w:color w:val="0E7582"/>
        </w:rPr>
        <w:t xml:space="preserve">[R8] </w:t>
      </w:r>
      <w:r>
        <w:rPr>
          <w:sz w:val="16"/>
        </w:rPr>
        <w:t xml:space="preserve">US Federal Trade Commission. Health Breach Notification Rule. Final rule notice 2024. </w:t>
      </w:r>
      <w:hyperlink r:id="rId26">
        <w:r>
          <w:rPr>
            <w:color w:val="0E7582"/>
            <w:u w:val="single"/>
          </w:rPr>
          <w:t>https://www.ftc.gov/legal-library/browse/rules/health-breach-notification-rule</w:t>
        </w:r>
      </w:hyperlink>
      <w:r>
        <w:rPr>
          <w:i/>
          <w:color w:val="667780"/>
          <w:sz w:val="16"/>
        </w:rPr>
        <w:t xml:space="preserve"> May apply to vendors of personal health records and related entities.</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Current App Specification - Pediatric Anemia CDS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1821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2F3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E7582"/>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324A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2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324A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667780"/>
      <w:sz w:val="15"/>
    </w:rPr>
  </w:style>
  <w:style w:type="paragraph" w:customStyle="1" w:styleId="CaptionCustom">
    <w:name w:val="Caption Custom"/>
    <w:pPr>
      <w:spacing w:after="120"/>
      <w:jc w:val="center"/>
    </w:pPr>
    <w:rPr>
      <w:rFonts w:ascii="Aptos" w:hAnsi="Aptos"/>
      <w:i/>
      <w:color w:val="667780"/>
      <w:sz w:val="16"/>
    </w:rPr>
  </w:style>
  <w:style w:type="paragraph" w:customStyle="1" w:styleId="CodeSmall">
    <w:name w:val="Code Small"/>
    <w:pPr>
      <w:spacing w:after="100"/>
      <w:ind w:left="259" w:right="259"/>
    </w:pPr>
    <w:rPr>
      <w:rFonts w:ascii="DejaVu Sans Mono" w:hAnsi="DejaVu Sans Mono"/>
      <w:color w:val="123E4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blications.aap.org/pediatrics/article/158/1/e2026077414/207901/Prevention-Screening-Diagnosis-and-Treatment-of" TargetMode="External"/><Relationship Id="rId15" Type="http://schemas.openxmlformats.org/officeDocument/2006/relationships/hyperlink" Target="https://www.who.int/publications/i/item/9789240088542" TargetMode="External"/><Relationship Id="rId16" Type="http://schemas.openxmlformats.org/officeDocument/2006/relationships/hyperlink" Target="https://doi.org/10.1182/blood.2021013018" TargetMode="External"/><Relationship Id="rId17" Type="http://schemas.openxmlformats.org/officeDocument/2006/relationships/hyperlink" Target="https://www.cdc.gov/lead-prevention/hcp/clinical-guidance/index.html" TargetMode="External"/><Relationship Id="rId18" Type="http://schemas.openxmlformats.org/officeDocument/2006/relationships/hyperlink" Target="https://pubmed.ncbi.nlm.nih.gov/?term=Laboratory+diagnosis+of+G6PD+deficiency+British+Society+for+Haematology" TargetMode="External"/><Relationship Id="rId19" Type="http://schemas.openxmlformats.org/officeDocument/2006/relationships/hyperlink" Target="https://www.fda.gov/regulatory-information/search-fda-guidance-documents/clinical-decision-support-software" TargetMode="External"/><Relationship Id="rId20" Type="http://schemas.openxmlformats.org/officeDocument/2006/relationships/hyperlink" Target="https://www.who.int/teams/digital-health-and-innovation/smart-guidelines" TargetMode="External"/><Relationship Id="rId21" Type="http://schemas.openxmlformats.org/officeDocument/2006/relationships/hyperlink" Target="https://hl7.org/fhir/smart-app-launch/" TargetMode="External"/><Relationship Id="rId22" Type="http://schemas.openxmlformats.org/officeDocument/2006/relationships/hyperlink" Target="https://cds-hooks.hl7.org/" TargetMode="External"/><Relationship Id="rId23" Type="http://schemas.openxmlformats.org/officeDocument/2006/relationships/hyperlink" Target="https://hl7.org/fhir/R4/plandefinition.html" TargetMode="External"/><Relationship Id="rId24" Type="http://schemas.openxmlformats.org/officeDocument/2006/relationships/hyperlink" Target="https://www.hl7.org/fhir/questionnaire.html" TargetMode="External"/><Relationship Id="rId25" Type="http://schemas.openxmlformats.org/officeDocument/2006/relationships/hyperlink" Target="https://www.hhs.gov/hipaa/for-professionals/security/index.html" TargetMode="External"/><Relationship Id="rId26" Type="http://schemas.openxmlformats.org/officeDocument/2006/relationships/hyperlink" Target="https://www.ftc.gov/legal-library/browse/rules/health-breach-notification-r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Anemia CDS Current App Specification</dc:title>
  <dc:subject>Pediatric clinical decision support strategy and specification</dc:subject>
  <dc:creator>OpenAI, prepared for Nick Miethe</dc:creator>
  <cp:keywords>pediatrics, anemia, clinical decision support, FHIR, evidence, product strategy</cp:keywords>
  <dc:description>generated by python-docx</dc:description>
  <cp:lastModifiedBy/>
  <cp:revision>1</cp:revision>
  <dcterms:created xsi:type="dcterms:W3CDTF">2013-12-23T23:15:00Z</dcterms:created>
  <dcterms:modified xsi:type="dcterms:W3CDTF">2013-12-23T23:15:00Z</dcterms:modified>
  <cp:category/>
</cp:coreProperties>
</file>