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080"/>
            <w:shd w:fill="0B2F3A"/>
            <w:tcMar>
              <w:top w:w="500" w:type="dxa"/>
              <w:start w:w="420" w:type="dxa"/>
              <w:bottom w:w="500" w:type="dxa"/>
              <w:end w:w="420" w:type="dxa"/>
            </w:tcMar>
          </w:tcPr>
          <w:p>
            <w:pPr>
              <w:jc w:val="left"/>
            </w:pPr>
            <w:r>
              <w:rPr>
                <w:rFonts w:ascii="Aptos Display" w:hAnsi="Aptos Display"/>
                <w:b/>
                <w:color w:val="FFFFFF"/>
                <w:sz w:val="56"/>
              </w:rPr>
              <w:t>From Pediatric Anemia Aide to an Evidence-Governed Pediatric CDS Platform</w:t>
            </w:r>
          </w:p>
          <w:p>
            <w:r>
              <w:rPr>
                <w:color w:val="D9F0F2"/>
                <w:sz w:val="28"/>
              </w:rPr>
              <w:t>Product strategy, monetization pathways, acquisition readiness, research agenda, and implementation roadmap</w:t>
            </w:r>
          </w:p>
          <w:p>
            <w:pPr>
              <w:spacing w:before="320"/>
            </w:pPr>
            <w:r>
              <w:rPr>
                <w:color w:val="FFFFFF"/>
                <w:sz w:val="20"/>
              </w:rPr>
              <w:t>Evidence-grounded product strategy, business case, platform roadmap, and validation plan</w:t>
            </w:r>
          </w:p>
        </w:tc>
      </w:tr>
    </w:tbl>
    <w:p/>
    <w:tbl>
      <w:tblPr>
        <w:tblW w:type="auto" w:w="0"/>
        <w:jc w:val="center"/>
        <w:tblLayout w:type="fixed"/>
        <w:tblLook w:firstColumn="1" w:firstRow="1" w:lastColumn="0" w:lastRow="0" w:noHBand="0" w:noVBand="1" w:val="04A0"/>
      </w:tblPr>
      <w:tblGrid>
        <w:gridCol w:w="5141"/>
        <w:gridCol w:w="5141"/>
      </w:tblGrid>
      <w:tr>
        <w:tc>
          <w:tcPr>
            <w:tcW w:type="dxa" w:w="2232"/>
            <w:tcMar>
              <w:top w:w="80" w:type="dxa"/>
              <w:start w:w="90" w:type="dxa"/>
              <w:bottom w:w="80" w:type="dxa"/>
              <w:end w:w="90" w:type="dxa"/>
            </w:tcMar>
            <w:shd w:fill="E8F5F5"/>
          </w:tcPr>
          <w:p>
            <w:r>
              <w:rPr>
                <w:b/>
                <w:color w:val="0E7582"/>
                <w:sz w:val="15"/>
              </w:rPr>
              <w:t>PREPARED FOR</w:t>
            </w:r>
          </w:p>
        </w:tc>
        <w:tc>
          <w:tcPr>
            <w:tcW w:type="dxa" w:w="7703"/>
            <w:tcMar>
              <w:top w:w="80" w:type="dxa"/>
              <w:start w:w="90" w:type="dxa"/>
              <w:bottom w:w="80" w:type="dxa"/>
              <w:end w:w="90" w:type="dxa"/>
            </w:tcMar>
            <w:shd w:fill="FFFFFF"/>
          </w:tcPr>
          <w:p>
            <w:r>
              <w:rPr>
                <w:sz w:val="18"/>
              </w:rPr>
              <w:t>Nick Miethe</w:t>
            </w:r>
          </w:p>
        </w:tc>
      </w:tr>
      <w:tr>
        <w:tc>
          <w:tcPr>
            <w:tcW w:type="dxa" w:w="2232"/>
            <w:tcMar>
              <w:top w:w="80" w:type="dxa"/>
              <w:start w:w="90" w:type="dxa"/>
              <w:bottom w:w="80" w:type="dxa"/>
              <w:end w:w="90" w:type="dxa"/>
            </w:tcMar>
            <w:shd w:fill="F3F6F8"/>
          </w:tcPr>
          <w:p>
            <w:r>
              <w:rPr>
                <w:b/>
                <w:color w:val="0E7582"/>
                <w:sz w:val="15"/>
              </w:rPr>
              <w:t>DATE</w:t>
            </w:r>
          </w:p>
        </w:tc>
        <w:tc>
          <w:tcPr>
            <w:tcW w:type="dxa" w:w="7703"/>
            <w:tcMar>
              <w:top w:w="80" w:type="dxa"/>
              <w:start w:w="90" w:type="dxa"/>
              <w:bottom w:w="80" w:type="dxa"/>
              <w:end w:w="90" w:type="dxa"/>
            </w:tcMar>
            <w:shd w:fill="FFFFFF"/>
          </w:tcPr>
          <w:p>
            <w:r>
              <w:rPr>
                <w:sz w:val="18"/>
              </w:rPr>
              <w:t>2026-07-16</w:t>
            </w:r>
          </w:p>
        </w:tc>
      </w:tr>
      <w:tr>
        <w:tc>
          <w:tcPr>
            <w:tcW w:type="dxa" w:w="2232"/>
            <w:tcMar>
              <w:top w:w="80" w:type="dxa"/>
              <w:start w:w="90" w:type="dxa"/>
              <w:bottom w:w="80" w:type="dxa"/>
              <w:end w:w="90" w:type="dxa"/>
            </w:tcMar>
            <w:shd w:fill="E8F5F5"/>
          </w:tcPr>
          <w:p>
            <w:r>
              <w:rPr>
                <w:b/>
                <w:color w:val="0E7582"/>
                <w:sz w:val="15"/>
              </w:rPr>
              <w:t>STATUS</w:t>
            </w:r>
          </w:p>
        </w:tc>
        <w:tc>
          <w:tcPr>
            <w:tcW w:type="dxa" w:w="7703"/>
            <w:tcMar>
              <w:top w:w="80" w:type="dxa"/>
              <w:start w:w="90" w:type="dxa"/>
              <w:bottom w:w="80" w:type="dxa"/>
              <w:end w:w="90" w:type="dxa"/>
            </w:tcMar>
            <w:shd w:fill="FFFFFF"/>
          </w:tcPr>
          <w:p>
            <w:r>
              <w:rPr>
                <w:sz w:val="18"/>
              </w:rPr>
              <w:t>Strategic working paper; current product remains an unvalidated research prototype</w:t>
            </w:r>
          </w:p>
        </w:tc>
      </w:tr>
      <w:tr>
        <w:tc>
          <w:tcPr>
            <w:tcW w:type="dxa" w:w="2232"/>
            <w:tcMar>
              <w:top w:w="80" w:type="dxa"/>
              <w:start w:w="90" w:type="dxa"/>
              <w:bottom w:w="80" w:type="dxa"/>
              <w:end w:w="90" w:type="dxa"/>
            </w:tcMar>
            <w:shd w:fill="F3F6F8"/>
          </w:tcPr>
          <w:p>
            <w:r>
              <w:rPr>
                <w:b/>
                <w:color w:val="0E7582"/>
                <w:sz w:val="15"/>
              </w:rPr>
              <w:t>DECISION HORIZON</w:t>
            </w:r>
          </w:p>
        </w:tc>
        <w:tc>
          <w:tcPr>
            <w:tcW w:type="dxa" w:w="7703"/>
            <w:tcMar>
              <w:top w:w="80" w:type="dxa"/>
              <w:start w:w="90" w:type="dxa"/>
              <w:bottom w:w="80" w:type="dxa"/>
              <w:end w:w="90" w:type="dxa"/>
            </w:tcMar>
            <w:shd w:fill="FFFFFF"/>
          </w:tcPr>
          <w:p>
            <w:r>
              <w:rPr>
                <w:sz w:val="18"/>
              </w:rPr>
              <w:t>24 months, with a 90-day validation and discovery sprint</w:t>
            </w:r>
          </w:p>
        </w:tc>
      </w:tr>
    </w:tbl>
    <w:p/>
    <w:tbl>
      <w:tblPr>
        <w:tblW w:type="auto" w:w="0"/>
        <w:jc w:val="center"/>
        <w:tblLook w:firstColumn="1" w:firstRow="1" w:lastColumn="0" w:lastRow="0" w:noHBand="0" w:noVBand="1" w:val="04A0"/>
      </w:tblPr>
      <w:tblGrid>
        <w:gridCol w:w="10282"/>
      </w:tblGrid>
      <w:tr>
        <w:tc>
          <w:tcPr>
            <w:tcW w:type="dxa" w:w="10282"/>
            <w:shd w:fill="FFF6DA"/>
            <w:tcMar>
              <w:top w:w="140" w:type="dxa"/>
              <w:start w:w="170" w:type="dxa"/>
              <w:bottom w:w="140" w:type="dxa"/>
              <w:end w:w="170" w:type="dxa"/>
            </w:tcMar>
          </w:tcPr>
          <w:p>
            <w:r>
              <w:rPr>
                <w:b/>
                <w:sz w:val="17"/>
              </w:rPr>
              <w:t>Important:</w:t>
            </w:r>
            <w:r>
              <w:rPr>
                <w:sz w:val="17"/>
              </w:rPr>
              <w:t xml:space="preserve"> This report is a product and research strategy, not legal, regulatory, clinical, or investment advice. Pricing and market figures are explicit planning hypotheses, not forecasts.</w:t>
            </w:r>
          </w:p>
        </w:tc>
      </w:tr>
    </w:tbl>
    <w:p>
      <w:r>
        <w:br w:type="page"/>
      </w:r>
    </w:p>
    <w:p>
      <w:pPr>
        <w:pStyle w:val="Heading1"/>
      </w:pPr>
      <w:r>
        <w:t>Executive recommendation</w:t>
      </w:r>
    </w:p>
    <w:tbl>
      <w:tblPr>
        <w:tblW w:type="auto" w:w="0"/>
        <w:jc w:val="center"/>
        <w:tblLayout w:type="fixed"/>
        <w:tblLook w:firstColumn="1" w:firstRow="1" w:lastColumn="0" w:lastRow="0" w:noHBand="0" w:noVBand="1" w:val="04A0"/>
      </w:tblPr>
      <w:tblGrid>
        <w:gridCol w:w="10282"/>
      </w:tblGrid>
      <w:tr>
        <w:tc>
          <w:tcPr>
            <w:tcW w:type="dxa" w:w="10080"/>
            <w:shd w:fill="E8F5F5"/>
            <w:tcMar>
              <w:top w:w="130" w:type="dxa"/>
              <w:start w:w="160" w:type="dxa"/>
              <w:bottom w:w="130" w:type="dxa"/>
              <w:end w:w="160" w:type="dxa"/>
            </w:tcMar>
          </w:tcPr>
          <w:p>
            <w:r>
              <w:rPr>
                <w:b/>
                <w:color w:val="0E7582"/>
                <w:sz w:val="16"/>
              </w:rPr>
              <w:t>DECISION</w:t>
            </w:r>
          </w:p>
          <w:p>
            <w:r>
              <w:rPr>
                <w:sz w:val="18"/>
              </w:rPr>
              <w:t>Proceed, but do not commercialize the anemia calculator as a standalone endpoint. Use it as the first public and clinically validated module of a broader pediatric laboratory interpretation platform. Build the reusable evidence, governance, validation, and interoperability layer underneath it from day one.</w:t>
            </w:r>
          </w:p>
        </w:tc>
      </w:tr>
    </w:tbl>
    <w:p>
      <w:pPr>
        <w:spacing w:after="0"/>
      </w:pPr>
    </w:p>
    <w:p>
      <w:r>
        <w:t xml:space="preserve">The strongest opportunity is a </w:t>
      </w:r>
      <w:r>
        <w:rPr>
          <w:b/>
        </w:rPr>
        <w:t>dual-layer product</w:t>
      </w:r>
      <w:r>
        <w:t>:</w:t>
      </w:r>
    </w:p>
    <w:p>
      <w:pPr>
        <w:pStyle w:val="ListBullet"/>
        <w:spacing w:after="50"/>
      </w:pPr>
      <w:r>
        <w:rPr>
          <w:b/>
        </w:rPr>
        <w:t>PedsLab Pathways</w:t>
      </w:r>
      <w:r>
        <w:t xml:space="preserve"> (working name): a clinician-facing pediatric CBC and laboratory interpretation suite, beginning with anemia and expanding first into cytopenias and related follow-up pathways.</w:t>
      </w:r>
    </w:p>
    <w:p>
      <w:pPr>
        <w:pStyle w:val="ListBullet"/>
        <w:spacing w:after="50"/>
      </w:pPr>
      <w:r>
        <w:rPr>
          <w:b/>
        </w:rPr>
        <w:t>Evidence Foundry Runtime</w:t>
      </w:r>
      <w:r>
        <w:t xml:space="preserve"> (working name): the reusable system that converts current research and guidelines into versioned, reviewable, testable, machine-executable clinical modules.</w:t>
      </w:r>
    </w:p>
    <w:p>
      <w:r>
        <w:t>This pairing solves a practical commercialization problem. A single anemia workup tool can be clinically useful, but its use frequency, direct reimbursement, and surface-level defensibility are limited. A pediatric CBC suite increases recurring clinical utility. The evidence runtime, local configuration layer, validation corpus, clinical governance process, and EHR integrations create the more durable intellectual property and acquisition rationale.</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664"/>
            <w:shd w:fill="123E4A"/>
            <w:tcMar>
              <w:top w:w="75" w:type="dxa"/>
              <w:start w:w="70" w:type="dxa"/>
              <w:bottom w:w="75" w:type="dxa"/>
              <w:end w:w="70" w:type="dxa"/>
            </w:tcMar>
            <w:vAlign w:val="center"/>
          </w:tcPr>
          <w:p>
            <w:r>
              <w:rPr>
                <w:b/>
                <w:color w:val="FFFFFF"/>
                <w:sz w:val="16"/>
              </w:rPr>
              <w:t>Question</w:t>
            </w:r>
          </w:p>
        </w:tc>
        <w:tc>
          <w:tcPr>
            <w:tcW w:type="dxa" w:w="7416"/>
            <w:shd w:fill="123E4A"/>
            <w:tcMar>
              <w:top w:w="75" w:type="dxa"/>
              <w:start w:w="70" w:type="dxa"/>
              <w:bottom w:w="75" w:type="dxa"/>
              <w:end w:w="70" w:type="dxa"/>
            </w:tcMar>
            <w:vAlign w:val="center"/>
          </w:tcPr>
          <w:p>
            <w:r>
              <w:rPr>
                <w:b/>
                <w:color w:val="FFFFFF"/>
                <w:sz w:val="16"/>
              </w:rPr>
              <w:t>Best current answer</w:t>
            </w:r>
          </w:p>
        </w:tc>
      </w:tr>
      <w:tr>
        <w:trPr>
          <w:cantSplit/>
        </w:trPr>
        <w:tc>
          <w:tcPr>
            <w:tcW w:type="dxa" w:w="2664"/>
            <w:tcMar>
              <w:top w:w="65" w:type="dxa"/>
              <w:start w:w="70" w:type="dxa"/>
              <w:bottom w:w="65" w:type="dxa"/>
              <w:end w:w="70" w:type="dxa"/>
            </w:tcMar>
            <w:vAlign w:val="top"/>
          </w:tcPr>
          <w:p>
            <w:pPr>
              <w:spacing w:after="0"/>
            </w:pPr>
            <w:r>
              <w:rPr>
                <w:sz w:val="16"/>
              </w:rPr>
              <w:t>Can the current app become a highly valuable provider tool?</w:t>
            </w:r>
          </w:p>
        </w:tc>
        <w:tc>
          <w:tcPr>
            <w:tcW w:type="dxa" w:w="7416"/>
            <w:tcMar>
              <w:top w:w="65" w:type="dxa"/>
              <w:start w:w="70" w:type="dxa"/>
              <w:bottom w:w="65" w:type="dxa"/>
              <w:end w:w="70" w:type="dxa"/>
            </w:tcMar>
            <w:vAlign w:val="top"/>
          </w:tcPr>
          <w:p>
            <w:pPr>
              <w:spacing w:after="0"/>
            </w:pPr>
            <w:r>
              <w:rPr>
                <w:sz w:val="16"/>
              </w:rPr>
              <w:t>Yes, after specialist review, multi-site validation, stronger missing-data handling, longitudinal workflows, and EHR integration.</w:t>
            </w:r>
          </w:p>
        </w:tc>
      </w:tr>
      <w:tr>
        <w:trPr>
          <w:cantSplit/>
        </w:trPr>
        <w:tc>
          <w:tcPr>
            <w:tcW w:type="dxa" w:w="2664"/>
            <w:tcMar>
              <w:top w:w="65" w:type="dxa"/>
              <w:start w:w="70" w:type="dxa"/>
              <w:bottom w:w="65" w:type="dxa"/>
              <w:end w:w="70" w:type="dxa"/>
            </w:tcMar>
            <w:vAlign w:val="top"/>
            <w:shd w:fill="F7F9FA"/>
          </w:tcPr>
          <w:p>
            <w:pPr>
              <w:spacing w:after="0"/>
            </w:pPr>
            <w:r>
              <w:rPr>
                <w:sz w:val="16"/>
              </w:rPr>
              <w:t>Can it be monetized?</w:t>
            </w:r>
          </w:p>
        </w:tc>
        <w:tc>
          <w:tcPr>
            <w:tcW w:type="dxa" w:w="7416"/>
            <w:tcMar>
              <w:top w:w="65" w:type="dxa"/>
              <w:start w:w="70" w:type="dxa"/>
              <w:bottom w:w="65" w:type="dxa"/>
              <w:end w:w="70" w:type="dxa"/>
            </w:tcMar>
            <w:vAlign w:val="top"/>
            <w:shd w:fill="F7F9FA"/>
          </w:tcPr>
          <w:p>
            <w:pPr>
              <w:spacing w:after="0"/>
            </w:pPr>
            <w:r>
              <w:rPr>
                <w:sz w:val="16"/>
              </w:rPr>
              <w:t>Yes, most plausibly through practice and enterprise subscriptions, integrations, analytics, content/API licensing, and implementation services. Individual subscriptions are a secondary channel.</w:t>
            </w:r>
          </w:p>
        </w:tc>
      </w:tr>
      <w:tr>
        <w:trPr>
          <w:cantSplit/>
        </w:trPr>
        <w:tc>
          <w:tcPr>
            <w:tcW w:type="dxa" w:w="2664"/>
            <w:tcMar>
              <w:top w:w="65" w:type="dxa"/>
              <w:start w:w="70" w:type="dxa"/>
              <w:bottom w:w="65" w:type="dxa"/>
              <w:end w:w="70" w:type="dxa"/>
            </w:tcMar>
            <w:vAlign w:val="top"/>
          </w:tcPr>
          <w:p>
            <w:pPr>
              <w:spacing w:after="0"/>
            </w:pPr>
            <w:r>
              <w:rPr>
                <w:sz w:val="16"/>
              </w:rPr>
              <w:t>Can it be acquired?</w:t>
            </w:r>
          </w:p>
        </w:tc>
        <w:tc>
          <w:tcPr>
            <w:tcW w:type="dxa" w:w="7416"/>
            <w:tcMar>
              <w:top w:w="65" w:type="dxa"/>
              <w:start w:w="70" w:type="dxa"/>
              <w:bottom w:w="65" w:type="dxa"/>
              <w:end w:w="70" w:type="dxa"/>
            </w:tcMar>
            <w:vAlign w:val="top"/>
          </w:tcPr>
          <w:p>
            <w:pPr>
              <w:spacing w:after="0"/>
            </w:pPr>
            <w:r>
              <w:rPr>
                <w:sz w:val="16"/>
              </w:rPr>
              <w:t>Potentially, but not on prototype quality alone. Acquisition readiness requires validated modules, clean IP and content rights, interoperability, recurring revenue or strategic distribution, and published evidence of workflow or outcome value.</w:t>
            </w:r>
          </w:p>
        </w:tc>
      </w:tr>
      <w:tr>
        <w:trPr>
          <w:cantSplit/>
        </w:trPr>
        <w:tc>
          <w:tcPr>
            <w:tcW w:type="dxa" w:w="2664"/>
            <w:tcMar>
              <w:top w:w="65" w:type="dxa"/>
              <w:start w:w="70" w:type="dxa"/>
              <w:bottom w:w="65" w:type="dxa"/>
              <w:end w:w="70" w:type="dxa"/>
            </w:tcMar>
            <w:vAlign w:val="top"/>
            <w:shd w:fill="F7F9FA"/>
          </w:tcPr>
          <w:p>
            <w:pPr>
              <w:spacing w:after="0"/>
            </w:pPr>
            <w:r>
              <w:rPr>
                <w:sz w:val="16"/>
              </w:rPr>
              <w:t>What should be built next?</w:t>
            </w:r>
          </w:p>
        </w:tc>
        <w:tc>
          <w:tcPr>
            <w:tcW w:type="dxa" w:w="7416"/>
            <w:tcMar>
              <w:top w:w="65" w:type="dxa"/>
              <w:start w:w="70" w:type="dxa"/>
              <w:bottom w:w="65" w:type="dxa"/>
              <w:end w:w="70" w:type="dxa"/>
            </w:tcMar>
            <w:vAlign w:val="top"/>
            <w:shd w:fill="F7F9FA"/>
          </w:tcPr>
          <w:p>
            <w:pPr>
              <w:spacing w:after="0"/>
            </w:pPr>
            <w:r>
              <w:rPr>
                <w:sz w:val="16"/>
              </w:rPr>
              <w:t>Platform hardening, full CBC/cytopenia suite, local range service, longitudinal iron/anemia workflow, referral completeness, FHIR integration, and evidence governance.</w:t>
            </w:r>
          </w:p>
        </w:tc>
      </w:tr>
      <w:tr>
        <w:trPr>
          <w:cantSplit/>
        </w:trPr>
        <w:tc>
          <w:tcPr>
            <w:tcW w:type="dxa" w:w="2664"/>
            <w:tcMar>
              <w:top w:w="65" w:type="dxa"/>
              <w:start w:w="70" w:type="dxa"/>
              <w:bottom w:w="65" w:type="dxa"/>
              <w:end w:w="70" w:type="dxa"/>
            </w:tcMar>
            <w:vAlign w:val="top"/>
          </w:tcPr>
          <w:p>
            <w:pPr>
              <w:spacing w:after="0"/>
            </w:pPr>
            <w:r>
              <w:rPr>
                <w:sz w:val="16"/>
              </w:rPr>
              <w:t>What should not be built next?</w:t>
            </w:r>
          </w:p>
        </w:tc>
        <w:tc>
          <w:tcPr>
            <w:tcW w:type="dxa" w:w="7416"/>
            <w:tcMar>
              <w:top w:w="65" w:type="dxa"/>
              <w:start w:w="70" w:type="dxa"/>
              <w:bottom w:w="65" w:type="dxa"/>
              <w:end w:w="70" w:type="dxa"/>
            </w:tcMar>
            <w:vAlign w:val="top"/>
          </w:tcPr>
          <w:p>
            <w:pPr>
              <w:spacing w:after="0"/>
            </w:pPr>
            <w:r>
              <w:rPr>
                <w:sz w:val="16"/>
              </w:rPr>
              <w:t>A random library of commodity calculators, autonomous diagnosis, dosing or transfusion directives, consumer diagnosis, or image AI before data, validation, and regulatory strategy exist.</w:t>
            </w:r>
          </w:p>
        </w:tc>
      </w:tr>
    </w:tbl>
    <w:p>
      <w:pPr>
        <w:spacing w:after="20"/>
      </w:pPr>
    </w:p>
    <w:p>
      <w:pPr>
        <w:jc w:val="center"/>
      </w:pPr>
      <w:r>
        <w:drawing>
          <wp:inline xmlns:a="http://schemas.openxmlformats.org/drawingml/2006/main" xmlns:pic="http://schemas.openxmlformats.org/drawingml/2006/picture">
            <wp:extent cx="6309360" cy="3925824"/>
            <wp:docPr id="1" name="Picture 1"/>
            <wp:cNvGraphicFramePr>
              <a:graphicFrameLocks noChangeAspect="1"/>
            </wp:cNvGraphicFramePr>
            <a:graphic>
              <a:graphicData uri="http://schemas.openxmlformats.org/drawingml/2006/picture">
                <pic:pic>
                  <pic:nvPicPr>
                    <pic:cNvPr id="0" name="strategy-stack.png"/>
                    <pic:cNvPicPr/>
                  </pic:nvPicPr>
                  <pic:blipFill>
                    <a:blip r:embed="rId11"/>
                    <a:stretch>
                      <a:fillRect/>
                    </a:stretch>
                  </pic:blipFill>
                  <pic:spPr>
                    <a:xfrm>
                      <a:off x="0" y="0"/>
                      <a:ext cx="6309360" cy="3925824"/>
                    </a:xfrm>
                    <a:prstGeom prst="rect"/>
                  </pic:spPr>
                </pic:pic>
              </a:graphicData>
            </a:graphic>
          </wp:inline>
        </w:drawing>
      </w:r>
    </w:p>
    <w:p>
      <w:pPr>
        <w:pStyle w:val="CaptionCustom"/>
      </w:pPr>
      <w:r>
        <w:rPr>
          <w:sz w:val="16"/>
        </w:rPr>
        <w:t>Figure 1. Recommended product stack. The clinician product creates adoption; the evidence runtime and governance layer create the defensible platform.</w:t>
      </w:r>
    </w:p>
    <w:p>
      <w:pPr>
        <w:pStyle w:val="Heading1"/>
      </w:pPr>
      <w:r>
        <w:t>1. Context, assumptions, and strategic verdict</w:t>
      </w:r>
    </w:p>
    <w:p>
      <w:pPr>
        <w:pStyle w:val="Heading2"/>
      </w:pPr>
      <w:r>
        <w:t>1.1 Context</w:t>
      </w:r>
    </w:p>
    <w:p>
      <w:r>
        <w:t>The current application is no longer merely a form or calculator. It already separates patient input, fact derivation, deterministic rule evaluation, candidate merging, evidence provenance, and output audit. The current package contains 91 rules, 26 diagnostic patterns, 6 evidence records, 6 worked examples, JSON schemas, a stateless API, a static web build, and an expanded six-stage Algorithm Explorer. Software checks pass, but clinical validation has not been performed.</w:t>
      </w:r>
    </w:p>
    <w:p>
      <w:r>
        <w:t>The clinical foundation prioritizes evidence from 2021-2026: the 2026 AAP iron deficiency report, the 2024 WHO hemoglobin guideline, a 2022 Blood review of pediatric anemia, 2025 CDC lead guidance, and 2026 FDA CDS guidance. A 2020 G6PD laboratory guideline is retained as an explicitly labeled foundational exception. [C1-C5; R1]</w:t>
      </w:r>
    </w:p>
    <w:p>
      <w:pPr>
        <w:pStyle w:val="Heading2"/>
      </w:pPr>
      <w:r>
        <w:t>1.2 Assumptions</w:t>
      </w:r>
    </w:p>
    <w:p>
      <w:pPr>
        <w:pStyle w:val="ListBullet"/>
        <w:spacing w:after="50"/>
      </w:pPr>
      <w:r>
        <w:t>Initial market: United States pediatric clinicians and pediatric health systems; the architecture should remain internationally extensible.</w:t>
      </w:r>
    </w:p>
    <w:p>
      <w:pPr>
        <w:pStyle w:val="ListBullet"/>
        <w:spacing w:after="50"/>
      </w:pPr>
      <w:r>
        <w:t>Primary intended user: licensed healthcare professional, not patient or caregiver.</w:t>
      </w:r>
    </w:p>
    <w:p>
      <w:pPr>
        <w:pStyle w:val="ListBullet"/>
        <w:spacing w:after="50"/>
      </w:pPr>
      <w:r>
        <w:t>Near-term inference: deterministic and reviewable. Generative AI may assist research, communication, or documentation, but does not decide patient-specific clinical output.</w:t>
      </w:r>
    </w:p>
    <w:p>
      <w:pPr>
        <w:pStyle w:val="ListBullet"/>
        <w:spacing w:after="50"/>
      </w:pPr>
      <w:r>
        <w:t>No production deployment with identifiable patient data before privacy, security, quality, and regulatory controls are implemented.</w:t>
      </w:r>
    </w:p>
    <w:p>
      <w:pPr>
        <w:pStyle w:val="ListBullet"/>
        <w:spacing w:after="50"/>
      </w:pPr>
      <w:r>
        <w:t>Pricing, adoption, and ROI figures in this report are planning scenarios. They are not market forecasts or promises.</w:t>
      </w:r>
    </w:p>
    <w:p>
      <w:pPr>
        <w:pStyle w:val="Heading2"/>
      </w:pPr>
      <w:r>
        <w:t>1.3 Verdict</w:t>
      </w:r>
    </w:p>
    <w:tbl>
      <w:tblPr>
        <w:tblW w:type="auto" w:w="0"/>
        <w:jc w:val="center"/>
        <w:tblLayout w:type="fixed"/>
        <w:tblLook w:firstColumn="1" w:firstRow="1" w:lastColumn="0" w:lastRow="0" w:noHBand="0" w:noVBand="1" w:val="04A0"/>
      </w:tblPr>
      <w:tblGrid>
        <w:gridCol w:w="10282"/>
      </w:tblGrid>
      <w:tr>
        <w:tc>
          <w:tcPr>
            <w:tcW w:type="dxa" w:w="10080"/>
            <w:shd w:fill="F3F6F8"/>
            <w:tcMar>
              <w:top w:w="130" w:type="dxa"/>
              <w:start w:w="160" w:type="dxa"/>
              <w:bottom w:w="130" w:type="dxa"/>
              <w:end w:w="160" w:type="dxa"/>
            </w:tcMar>
          </w:tcPr>
          <w:p>
            <w:r>
              <w:rPr>
                <w:b/>
                <w:color w:val="324A56"/>
                <w:sz w:val="16"/>
              </w:rPr>
              <w:t>STRATEGIC THESIS</w:t>
            </w:r>
          </w:p>
          <w:p>
            <w:r>
              <w:rPr>
                <w:sz w:val="18"/>
              </w:rPr>
              <w:t>Anemia is the wedge, CBC interpretation is the product, and evidence-to-executable-CDS is the moat.</w:t>
            </w:r>
          </w:p>
        </w:tc>
      </w:tr>
    </w:tbl>
    <w:p>
      <w:pPr>
        <w:spacing w:after="0"/>
      </w:pPr>
    </w:p>
    <w:p>
      <w:r>
        <w:t xml:space="preserve">The most attractive strategy is not to compete head-on with broad point-of-care references or generic calculator libraries. The differentiated niche is </w:t>
      </w:r>
      <w:r>
        <w:rPr>
          <w:b/>
        </w:rPr>
        <w:t>pediatric-specific, laboratory-aware, transparent diagnostic pathways</w:t>
      </w:r>
      <w:r>
        <w:t xml:space="preserve"> that expose source, logic, unknowns, local ranges, and the exact reason each output appears. This can be valuable in general pediatrics, urgent care, emergency care, residency education, referral preparation, and quality improvement.</w:t>
      </w:r>
    </w:p>
    <w:p>
      <w:pPr>
        <w:pStyle w:val="Heading1"/>
      </w:pPr>
      <w:r>
        <w:t>2. Current asset: strengths, gaps, and strategic value</w:t>
      </w:r>
    </w:p>
    <w:p>
      <w:pPr>
        <w:pStyle w:val="Heading2"/>
      </w:pPr>
      <w:r>
        <w:t>2.1 What is unusually strong already</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23E4A"/>
            <w:tcMar>
              <w:top w:w="75" w:type="dxa"/>
              <w:start w:w="70" w:type="dxa"/>
              <w:bottom w:w="75" w:type="dxa"/>
              <w:end w:w="70" w:type="dxa"/>
            </w:tcMar>
            <w:vAlign w:val="center"/>
          </w:tcPr>
          <w:p>
            <w:r>
              <w:rPr>
                <w:b/>
                <w:color w:val="FFFFFF"/>
                <w:sz w:val="15"/>
              </w:rPr>
              <w:t>Existing asset</w:t>
            </w:r>
          </w:p>
        </w:tc>
        <w:tc>
          <w:tcPr>
            <w:tcW w:type="dxa" w:w="7200"/>
            <w:shd w:fill="123E4A"/>
            <w:tcMar>
              <w:top w:w="75" w:type="dxa"/>
              <w:start w:w="70" w:type="dxa"/>
              <w:bottom w:w="75" w:type="dxa"/>
              <w:end w:w="70" w:type="dxa"/>
            </w:tcMar>
            <w:vAlign w:val="center"/>
          </w:tcPr>
          <w:p>
            <w:r>
              <w:rPr>
                <w:b/>
                <w:color w:val="FFFFFF"/>
                <w:sz w:val="15"/>
              </w:rPr>
              <w:t>Why it matters commercially</w:t>
            </w:r>
          </w:p>
        </w:tc>
      </w:tr>
      <w:tr>
        <w:trPr>
          <w:cantSplit/>
        </w:trPr>
        <w:tc>
          <w:tcPr>
            <w:tcW w:type="dxa" w:w="2880"/>
            <w:tcMar>
              <w:top w:w="65" w:type="dxa"/>
              <w:start w:w="70" w:type="dxa"/>
              <w:bottom w:w="65" w:type="dxa"/>
              <w:end w:w="70" w:type="dxa"/>
            </w:tcMar>
            <w:vAlign w:val="top"/>
          </w:tcPr>
          <w:p>
            <w:pPr>
              <w:spacing w:after="0"/>
            </w:pPr>
            <w:r>
              <w:rPr>
                <w:sz w:val="15"/>
              </w:rPr>
              <w:t>Deterministic JSON rules</w:t>
            </w:r>
          </w:p>
        </w:tc>
        <w:tc>
          <w:tcPr>
            <w:tcW w:type="dxa" w:w="7200"/>
            <w:tcMar>
              <w:top w:w="65" w:type="dxa"/>
              <w:start w:w="70" w:type="dxa"/>
              <w:bottom w:w="65" w:type="dxa"/>
              <w:end w:w="70" w:type="dxa"/>
            </w:tcMar>
            <w:vAlign w:val="top"/>
          </w:tcPr>
          <w:p>
            <w:pPr>
              <w:spacing w:after="0"/>
            </w:pPr>
            <w:r>
              <w:rPr>
                <w:sz w:val="15"/>
              </w:rPr>
              <w:t>Reviewable logic can be tested, versioned, compared, signed, and licensed independently of the UI.</w:t>
            </w:r>
          </w:p>
        </w:tc>
      </w:tr>
      <w:tr>
        <w:trPr>
          <w:cantSplit/>
        </w:trPr>
        <w:tc>
          <w:tcPr>
            <w:tcW w:type="dxa" w:w="2880"/>
            <w:tcMar>
              <w:top w:w="65" w:type="dxa"/>
              <w:start w:w="70" w:type="dxa"/>
              <w:bottom w:w="65" w:type="dxa"/>
              <w:end w:w="70" w:type="dxa"/>
            </w:tcMar>
            <w:vAlign w:val="top"/>
            <w:shd w:fill="F7F9FA"/>
          </w:tcPr>
          <w:p>
            <w:pPr>
              <w:spacing w:after="0"/>
            </w:pPr>
            <w:r>
              <w:rPr>
                <w:sz w:val="15"/>
              </w:rPr>
              <w:t>Evidence registry and rule IDs</w:t>
            </w:r>
          </w:p>
        </w:tc>
        <w:tc>
          <w:tcPr>
            <w:tcW w:type="dxa" w:w="7200"/>
            <w:tcMar>
              <w:top w:w="65" w:type="dxa"/>
              <w:start w:w="70" w:type="dxa"/>
              <w:bottom w:w="65" w:type="dxa"/>
              <w:end w:w="70" w:type="dxa"/>
            </w:tcMar>
            <w:vAlign w:val="top"/>
            <w:shd w:fill="F7F9FA"/>
          </w:tcPr>
          <w:p>
            <w:pPr>
              <w:spacing w:after="0"/>
            </w:pPr>
            <w:r>
              <w:rPr>
                <w:sz w:val="15"/>
              </w:rPr>
              <w:t>Supports provenance, independent clinician review, change control, and content differentiation.</w:t>
            </w:r>
          </w:p>
        </w:tc>
      </w:tr>
      <w:tr>
        <w:trPr>
          <w:cantSplit/>
        </w:trPr>
        <w:tc>
          <w:tcPr>
            <w:tcW w:type="dxa" w:w="2880"/>
            <w:tcMar>
              <w:top w:w="65" w:type="dxa"/>
              <w:start w:w="70" w:type="dxa"/>
              <w:bottom w:w="65" w:type="dxa"/>
              <w:end w:w="70" w:type="dxa"/>
            </w:tcMar>
            <w:vAlign w:val="top"/>
          </w:tcPr>
          <w:p>
            <w:pPr>
              <w:spacing w:after="0"/>
            </w:pPr>
            <w:r>
              <w:rPr>
                <w:sz w:val="15"/>
              </w:rPr>
              <w:t>Local range precedence</w:t>
            </w:r>
          </w:p>
        </w:tc>
        <w:tc>
          <w:tcPr>
            <w:tcW w:type="dxa" w:w="7200"/>
            <w:tcMar>
              <w:top w:w="65" w:type="dxa"/>
              <w:start w:w="70" w:type="dxa"/>
              <w:bottom w:w="65" w:type="dxa"/>
              <w:end w:w="70" w:type="dxa"/>
            </w:tcMar>
            <w:vAlign w:val="top"/>
          </w:tcPr>
          <w:p>
            <w:pPr>
              <w:spacing w:after="0"/>
            </w:pPr>
            <w:r>
              <w:rPr>
                <w:sz w:val="15"/>
              </w:rPr>
              <w:t>Addresses a real pediatric laboratory problem: values and methods vary by age, sex, analyzer, and site.</w:t>
            </w:r>
          </w:p>
        </w:tc>
      </w:tr>
      <w:tr>
        <w:trPr>
          <w:cantSplit/>
        </w:trPr>
        <w:tc>
          <w:tcPr>
            <w:tcW w:type="dxa" w:w="2880"/>
            <w:tcMar>
              <w:top w:w="65" w:type="dxa"/>
              <w:start w:w="70" w:type="dxa"/>
              <w:bottom w:w="65" w:type="dxa"/>
              <w:end w:w="70" w:type="dxa"/>
            </w:tcMar>
            <w:vAlign w:val="top"/>
            <w:shd w:fill="F7F9FA"/>
          </w:tcPr>
          <w:p>
            <w:pPr>
              <w:spacing w:after="0"/>
            </w:pPr>
            <w:r>
              <w:rPr>
                <w:sz w:val="15"/>
              </w:rPr>
              <w:t>Adaptive questions</w:t>
            </w:r>
          </w:p>
        </w:tc>
        <w:tc>
          <w:tcPr>
            <w:tcW w:type="dxa" w:w="7200"/>
            <w:tcMar>
              <w:top w:w="65" w:type="dxa"/>
              <w:start w:w="70" w:type="dxa"/>
              <w:bottom w:w="65" w:type="dxa"/>
              <w:end w:w="70" w:type="dxa"/>
            </w:tcMar>
            <w:vAlign w:val="top"/>
            <w:shd w:fill="F7F9FA"/>
          </w:tcPr>
          <w:p>
            <w:pPr>
              <w:spacing w:after="0"/>
            </w:pPr>
            <w:r>
              <w:rPr>
                <w:sz w:val="15"/>
              </w:rPr>
              <w:t>Creates a pathway product rather than a static score; can reduce unnecessary data entry when redesigned as explicit tri-state logic.</w:t>
            </w:r>
          </w:p>
        </w:tc>
      </w:tr>
      <w:tr>
        <w:trPr>
          <w:cantSplit/>
        </w:trPr>
        <w:tc>
          <w:tcPr>
            <w:tcW w:type="dxa" w:w="2880"/>
            <w:tcMar>
              <w:top w:w="65" w:type="dxa"/>
              <w:start w:w="70" w:type="dxa"/>
              <w:bottom w:w="65" w:type="dxa"/>
              <w:end w:w="70" w:type="dxa"/>
            </w:tcMar>
            <w:vAlign w:val="top"/>
          </w:tcPr>
          <w:p>
            <w:pPr>
              <w:spacing w:after="0"/>
            </w:pPr>
            <w:r>
              <w:rPr>
                <w:sz w:val="15"/>
              </w:rPr>
              <w:t>Audit JSON and KB version</w:t>
            </w:r>
          </w:p>
        </w:tc>
        <w:tc>
          <w:tcPr>
            <w:tcW w:type="dxa" w:w="7200"/>
            <w:tcMar>
              <w:top w:w="65" w:type="dxa"/>
              <w:start w:w="70" w:type="dxa"/>
              <w:bottom w:w="65" w:type="dxa"/>
              <w:end w:w="70" w:type="dxa"/>
            </w:tcMar>
            <w:vAlign w:val="top"/>
          </w:tcPr>
          <w:p>
            <w:pPr>
              <w:spacing w:after="0"/>
            </w:pPr>
            <w:r>
              <w:rPr>
                <w:sz w:val="15"/>
              </w:rPr>
              <w:t>Foundation for reproducibility, incident investigation, validation, and enterprise governance.</w:t>
            </w:r>
          </w:p>
        </w:tc>
      </w:tr>
      <w:tr>
        <w:trPr>
          <w:cantSplit/>
        </w:trPr>
        <w:tc>
          <w:tcPr>
            <w:tcW w:type="dxa" w:w="2880"/>
            <w:tcMar>
              <w:top w:w="65" w:type="dxa"/>
              <w:start w:w="70" w:type="dxa"/>
              <w:bottom w:w="65" w:type="dxa"/>
              <w:end w:w="70" w:type="dxa"/>
            </w:tcMar>
            <w:vAlign w:val="top"/>
            <w:shd w:fill="F7F9FA"/>
          </w:tcPr>
          <w:p>
            <w:pPr>
              <w:spacing w:after="0"/>
            </w:pPr>
            <w:r>
              <w:rPr>
                <w:sz w:val="15"/>
              </w:rPr>
              <w:t>Static browser-local mode</w:t>
            </w:r>
          </w:p>
        </w:tc>
        <w:tc>
          <w:tcPr>
            <w:tcW w:type="dxa" w:w="7200"/>
            <w:tcMar>
              <w:top w:w="65" w:type="dxa"/>
              <w:start w:w="70" w:type="dxa"/>
              <w:bottom w:w="65" w:type="dxa"/>
              <w:end w:w="70" w:type="dxa"/>
            </w:tcMar>
            <w:vAlign w:val="top"/>
            <w:shd w:fill="F7F9FA"/>
          </w:tcPr>
          <w:p>
            <w:pPr>
              <w:spacing w:after="0"/>
            </w:pPr>
            <w:r>
              <w:rPr>
                <w:sz w:val="15"/>
              </w:rPr>
              <w:t>Useful as a low-risk public reference and demo because no server is required for inference.</w:t>
            </w:r>
          </w:p>
        </w:tc>
      </w:tr>
      <w:tr>
        <w:trPr>
          <w:cantSplit/>
        </w:trPr>
        <w:tc>
          <w:tcPr>
            <w:tcW w:type="dxa" w:w="2880"/>
            <w:tcMar>
              <w:top w:w="65" w:type="dxa"/>
              <w:start w:w="70" w:type="dxa"/>
              <w:bottom w:w="65" w:type="dxa"/>
              <w:end w:w="70" w:type="dxa"/>
            </w:tcMar>
            <w:vAlign w:val="top"/>
          </w:tcPr>
          <w:p>
            <w:pPr>
              <w:spacing w:after="0"/>
            </w:pPr>
            <w:r>
              <w:rPr>
                <w:sz w:val="15"/>
              </w:rPr>
              <w:t>REST API and schemas</w:t>
            </w:r>
          </w:p>
        </w:tc>
        <w:tc>
          <w:tcPr>
            <w:tcW w:type="dxa" w:w="7200"/>
            <w:tcMar>
              <w:top w:w="65" w:type="dxa"/>
              <w:start w:w="70" w:type="dxa"/>
              <w:bottom w:w="65" w:type="dxa"/>
              <w:end w:w="70" w:type="dxa"/>
            </w:tcMar>
            <w:vAlign w:val="top"/>
          </w:tcPr>
          <w:p>
            <w:pPr>
              <w:spacing w:after="0"/>
            </w:pPr>
            <w:r>
              <w:rPr>
                <w:sz w:val="15"/>
              </w:rPr>
              <w:t>Provides an initial integration seam and supports future FHIR adapters and content licensing.</w:t>
            </w:r>
          </w:p>
        </w:tc>
      </w:tr>
      <w:tr>
        <w:trPr>
          <w:cantSplit/>
        </w:trPr>
        <w:tc>
          <w:tcPr>
            <w:tcW w:type="dxa" w:w="2880"/>
            <w:tcMar>
              <w:top w:w="65" w:type="dxa"/>
              <w:start w:w="70" w:type="dxa"/>
              <w:bottom w:w="65" w:type="dxa"/>
              <w:end w:w="70" w:type="dxa"/>
            </w:tcMar>
            <w:vAlign w:val="top"/>
            <w:shd w:fill="F7F9FA"/>
          </w:tcPr>
          <w:p>
            <w:pPr>
              <w:spacing w:after="0"/>
            </w:pPr>
            <w:r>
              <w:rPr>
                <w:sz w:val="15"/>
              </w:rPr>
              <w:t>Algorithm Explorer</w:t>
            </w:r>
          </w:p>
        </w:tc>
        <w:tc>
          <w:tcPr>
            <w:tcW w:type="dxa" w:w="7200"/>
            <w:tcMar>
              <w:top w:w="65" w:type="dxa"/>
              <w:start w:w="70" w:type="dxa"/>
              <w:bottom w:w="65" w:type="dxa"/>
              <w:end w:w="70" w:type="dxa"/>
            </w:tcMar>
            <w:vAlign w:val="top"/>
            <w:shd w:fill="F7F9FA"/>
          </w:tcPr>
          <w:p>
            <w:pPr>
              <w:spacing w:after="0"/>
            </w:pPr>
            <w:r>
              <w:rPr>
                <w:sz w:val="15"/>
              </w:rPr>
              <w:t>Makes logic, data points, equations, studies, and examples visible; directly supports clinician trust and FDA independent-review design goals. [R1]</w:t>
            </w:r>
          </w:p>
        </w:tc>
      </w:tr>
    </w:tbl>
    <w:p>
      <w:pPr>
        <w:spacing w:after="20"/>
      </w:pPr>
    </w:p>
    <w:p>
      <w:pPr>
        <w:pStyle w:val="Heading2"/>
      </w:pPr>
      <w:r>
        <w:t>2.2 Gaps that prevent clinical or commercial launch</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23E4A"/>
            <w:tcMar>
              <w:top w:w="75" w:type="dxa"/>
              <w:start w:w="70" w:type="dxa"/>
              <w:bottom w:w="75" w:type="dxa"/>
              <w:end w:w="70" w:type="dxa"/>
            </w:tcMar>
            <w:vAlign w:val="center"/>
          </w:tcPr>
          <w:p>
            <w:r>
              <w:rPr>
                <w:b/>
                <w:color w:val="FFFFFF"/>
                <w:sz w:val="14"/>
              </w:rPr>
              <w:t>Gap</w:t>
            </w:r>
          </w:p>
        </w:tc>
        <w:tc>
          <w:tcPr>
            <w:tcW w:type="dxa" w:w="3168"/>
            <w:shd w:fill="123E4A"/>
            <w:tcMar>
              <w:top w:w="75" w:type="dxa"/>
              <w:start w:w="70" w:type="dxa"/>
              <w:bottom w:w="75" w:type="dxa"/>
              <w:end w:w="70" w:type="dxa"/>
            </w:tcMar>
            <w:vAlign w:val="center"/>
          </w:tcPr>
          <w:p>
            <w:r>
              <w:rPr>
                <w:b/>
                <w:color w:val="FFFFFF"/>
                <w:sz w:val="14"/>
              </w:rPr>
              <w:t>Consequence</w:t>
            </w:r>
          </w:p>
        </w:tc>
        <w:tc>
          <w:tcPr>
            <w:tcW w:type="dxa" w:w="4680"/>
            <w:shd w:fill="123E4A"/>
            <w:tcMar>
              <w:top w:w="75" w:type="dxa"/>
              <w:start w:w="70" w:type="dxa"/>
              <w:bottom w:w="75" w:type="dxa"/>
              <w:end w:w="70" w:type="dxa"/>
            </w:tcMar>
            <w:vAlign w:val="center"/>
          </w:tcPr>
          <w:p>
            <w:r>
              <w:rPr>
                <w:b/>
                <w:color w:val="FFFFFF"/>
                <w:sz w:val="14"/>
              </w:rPr>
              <w:t>Required response</w:t>
            </w:r>
          </w:p>
        </w:tc>
      </w:tr>
      <w:tr>
        <w:trPr>
          <w:cantSplit/>
        </w:trPr>
        <w:tc>
          <w:tcPr>
            <w:tcW w:type="dxa" w:w="2232"/>
            <w:tcMar>
              <w:top w:w="65" w:type="dxa"/>
              <w:start w:w="70" w:type="dxa"/>
              <w:bottom w:w="65" w:type="dxa"/>
              <w:end w:w="70" w:type="dxa"/>
            </w:tcMar>
            <w:vAlign w:val="top"/>
          </w:tcPr>
          <w:p>
            <w:pPr>
              <w:spacing w:after="0"/>
            </w:pPr>
            <w:r>
              <w:rPr>
                <w:sz w:val="14"/>
              </w:rPr>
              <w:t>No clinical validation</w:t>
            </w:r>
          </w:p>
        </w:tc>
        <w:tc>
          <w:tcPr>
            <w:tcW w:type="dxa" w:w="3168"/>
            <w:tcMar>
              <w:top w:w="65" w:type="dxa"/>
              <w:start w:w="70" w:type="dxa"/>
              <w:bottom w:w="65" w:type="dxa"/>
              <w:end w:w="70" w:type="dxa"/>
            </w:tcMar>
            <w:vAlign w:val="top"/>
          </w:tcPr>
          <w:p>
            <w:pPr>
              <w:spacing w:after="0"/>
            </w:pPr>
            <w:r>
              <w:rPr>
                <w:sz w:val="14"/>
              </w:rPr>
              <w:t>No defensible accuracy, safety, or utility claims</w:t>
            </w:r>
          </w:p>
        </w:tc>
        <w:tc>
          <w:tcPr>
            <w:tcW w:type="dxa" w:w="4680"/>
            <w:tcMar>
              <w:top w:w="65" w:type="dxa"/>
              <w:start w:w="70" w:type="dxa"/>
              <w:bottom w:w="65" w:type="dxa"/>
              <w:end w:w="70" w:type="dxa"/>
            </w:tcMar>
            <w:vAlign w:val="top"/>
          </w:tcPr>
          <w:p>
            <w:pPr>
              <w:spacing w:after="0"/>
            </w:pPr>
            <w:r>
              <w:rPr>
                <w:sz w:val="14"/>
              </w:rPr>
              <w:t>Independent clinical review, retrospective multi-site study, prospective silent mode, and human-factors testing.</w:t>
            </w:r>
          </w:p>
        </w:tc>
      </w:tr>
      <w:tr>
        <w:trPr>
          <w:cantSplit/>
        </w:trPr>
        <w:tc>
          <w:tcPr>
            <w:tcW w:type="dxa" w:w="2232"/>
            <w:tcMar>
              <w:top w:w="65" w:type="dxa"/>
              <w:start w:w="70" w:type="dxa"/>
              <w:bottom w:w="65" w:type="dxa"/>
              <w:end w:w="70" w:type="dxa"/>
            </w:tcMar>
            <w:vAlign w:val="top"/>
            <w:shd w:fill="F7F9FA"/>
          </w:tcPr>
          <w:p>
            <w:pPr>
              <w:spacing w:after="0"/>
            </w:pPr>
            <w:r>
              <w:rPr>
                <w:sz w:val="14"/>
              </w:rPr>
              <w:t>Binary boolean maps</w:t>
            </w:r>
          </w:p>
        </w:tc>
        <w:tc>
          <w:tcPr>
            <w:tcW w:type="dxa" w:w="3168"/>
            <w:tcMar>
              <w:top w:w="65" w:type="dxa"/>
              <w:start w:w="70" w:type="dxa"/>
              <w:bottom w:w="65" w:type="dxa"/>
              <w:end w:w="70" w:type="dxa"/>
            </w:tcMar>
            <w:vAlign w:val="top"/>
            <w:shd w:fill="F7F9FA"/>
          </w:tcPr>
          <w:p>
            <w:pPr>
              <w:spacing w:after="0"/>
            </w:pPr>
            <w:r>
              <w:rPr>
                <w:sz w:val="14"/>
              </w:rPr>
              <w:t>Unchecked may be confused with known absent</w:t>
            </w:r>
          </w:p>
        </w:tc>
        <w:tc>
          <w:tcPr>
            <w:tcW w:type="dxa" w:w="4680"/>
            <w:tcMar>
              <w:top w:w="65" w:type="dxa"/>
              <w:start w:w="70" w:type="dxa"/>
              <w:bottom w:w="65" w:type="dxa"/>
              <w:end w:w="70" w:type="dxa"/>
            </w:tcMar>
            <w:vAlign w:val="top"/>
            <w:shd w:fill="F7F9FA"/>
          </w:tcPr>
          <w:p>
            <w:pPr>
              <w:spacing w:after="0"/>
            </w:pPr>
            <w:r>
              <w:rPr>
                <w:sz w:val="14"/>
              </w:rPr>
              <w:t>Use explicit present / absent / unknown / not assessed states, with source and timestamp. FHIR Questionnaire supports structured data capture. [R6]</w:t>
            </w:r>
          </w:p>
        </w:tc>
      </w:tr>
      <w:tr>
        <w:trPr>
          <w:cantSplit/>
        </w:trPr>
        <w:tc>
          <w:tcPr>
            <w:tcW w:type="dxa" w:w="2232"/>
            <w:tcMar>
              <w:top w:w="65" w:type="dxa"/>
              <w:start w:w="70" w:type="dxa"/>
              <w:bottom w:w="65" w:type="dxa"/>
              <w:end w:w="70" w:type="dxa"/>
            </w:tcMar>
            <w:vAlign w:val="top"/>
          </w:tcPr>
          <w:p>
            <w:pPr>
              <w:spacing w:after="0"/>
            </w:pPr>
            <w:r>
              <w:rPr>
                <w:sz w:val="14"/>
              </w:rPr>
              <w:t>No EHR integration</w:t>
            </w:r>
          </w:p>
        </w:tc>
        <w:tc>
          <w:tcPr>
            <w:tcW w:type="dxa" w:w="3168"/>
            <w:tcMar>
              <w:top w:w="65" w:type="dxa"/>
              <w:start w:w="70" w:type="dxa"/>
              <w:bottom w:w="65" w:type="dxa"/>
              <w:end w:w="70" w:type="dxa"/>
            </w:tcMar>
            <w:vAlign w:val="top"/>
          </w:tcPr>
          <w:p>
            <w:pPr>
              <w:spacing w:after="0"/>
            </w:pPr>
            <w:r>
              <w:rPr>
                <w:sz w:val="14"/>
              </w:rPr>
              <w:t>Manual re-entry limits usage frequency and enterprise value</w:t>
            </w:r>
          </w:p>
        </w:tc>
        <w:tc>
          <w:tcPr>
            <w:tcW w:type="dxa" w:w="4680"/>
            <w:tcMar>
              <w:top w:w="65" w:type="dxa"/>
              <w:start w:w="70" w:type="dxa"/>
              <w:bottom w:w="65" w:type="dxa"/>
              <w:end w:w="70" w:type="dxa"/>
            </w:tcMar>
            <w:vAlign w:val="top"/>
          </w:tcPr>
          <w:p>
            <w:pPr>
              <w:spacing w:after="0"/>
            </w:pPr>
            <w:r>
              <w:rPr>
                <w:sz w:val="14"/>
              </w:rPr>
              <w:t>SMART-on-FHIR launch, FHIR Observation mapping, launch context, SSO, and later CDS Hooks. [R3-R4]</w:t>
            </w:r>
          </w:p>
        </w:tc>
      </w:tr>
      <w:tr>
        <w:trPr>
          <w:cantSplit/>
        </w:trPr>
        <w:tc>
          <w:tcPr>
            <w:tcW w:type="dxa" w:w="2232"/>
            <w:tcMar>
              <w:top w:w="65" w:type="dxa"/>
              <w:start w:w="70" w:type="dxa"/>
              <w:bottom w:w="65" w:type="dxa"/>
              <w:end w:w="70" w:type="dxa"/>
            </w:tcMar>
            <w:vAlign w:val="top"/>
            <w:shd w:fill="F7F9FA"/>
          </w:tcPr>
          <w:p>
            <w:pPr>
              <w:spacing w:after="0"/>
            </w:pPr>
            <w:r>
              <w:rPr>
                <w:sz w:val="14"/>
              </w:rPr>
              <w:t>No longitudinal workflow</w:t>
            </w:r>
          </w:p>
        </w:tc>
        <w:tc>
          <w:tcPr>
            <w:tcW w:type="dxa" w:w="3168"/>
            <w:tcMar>
              <w:top w:w="65" w:type="dxa"/>
              <w:start w:w="70" w:type="dxa"/>
              <w:bottom w:w="65" w:type="dxa"/>
              <w:end w:w="70" w:type="dxa"/>
            </w:tcMar>
            <w:vAlign w:val="top"/>
            <w:shd w:fill="F7F9FA"/>
          </w:tcPr>
          <w:p>
            <w:pPr>
              <w:spacing w:after="0"/>
            </w:pPr>
            <w:r>
              <w:rPr>
                <w:sz w:val="14"/>
              </w:rPr>
              <w:t>One-time differential does not support follow-up value</w:t>
            </w:r>
          </w:p>
        </w:tc>
        <w:tc>
          <w:tcPr>
            <w:tcW w:type="dxa" w:w="4680"/>
            <w:tcMar>
              <w:top w:w="65" w:type="dxa"/>
              <w:start w:w="70" w:type="dxa"/>
              <w:bottom w:w="65" w:type="dxa"/>
              <w:end w:w="70" w:type="dxa"/>
            </w:tcMar>
            <w:vAlign w:val="top"/>
            <w:shd w:fill="F7F9FA"/>
          </w:tcPr>
          <w:p>
            <w:pPr>
              <w:spacing w:after="0"/>
            </w:pPr>
            <w:r>
              <w:rPr>
                <w:sz w:val="14"/>
              </w:rPr>
              <w:t>Trend hemoglobin, ferritin, reticulocytes, therapy context, response, loss, and unresolved workup.</w:t>
            </w:r>
          </w:p>
        </w:tc>
      </w:tr>
      <w:tr>
        <w:trPr>
          <w:cantSplit/>
        </w:trPr>
        <w:tc>
          <w:tcPr>
            <w:tcW w:type="dxa" w:w="2232"/>
            <w:tcMar>
              <w:top w:w="65" w:type="dxa"/>
              <w:start w:w="70" w:type="dxa"/>
              <w:bottom w:w="65" w:type="dxa"/>
              <w:end w:w="70" w:type="dxa"/>
            </w:tcMar>
            <w:vAlign w:val="top"/>
          </w:tcPr>
          <w:p>
            <w:pPr>
              <w:spacing w:after="0"/>
            </w:pPr>
            <w:r>
              <w:rPr>
                <w:sz w:val="14"/>
              </w:rPr>
              <w:t>No production governance service</w:t>
            </w:r>
          </w:p>
        </w:tc>
        <w:tc>
          <w:tcPr>
            <w:tcW w:type="dxa" w:w="3168"/>
            <w:tcMar>
              <w:top w:w="65" w:type="dxa"/>
              <w:start w:w="70" w:type="dxa"/>
              <w:bottom w:w="65" w:type="dxa"/>
              <w:end w:w="70" w:type="dxa"/>
            </w:tcMar>
            <w:vAlign w:val="top"/>
          </w:tcPr>
          <w:p>
            <w:pPr>
              <w:spacing w:after="0"/>
            </w:pPr>
            <w:r>
              <w:rPr>
                <w:sz w:val="14"/>
              </w:rPr>
              <w:t>Content updates remain manual and hard to audit</w:t>
            </w:r>
          </w:p>
        </w:tc>
        <w:tc>
          <w:tcPr>
            <w:tcW w:type="dxa" w:w="4680"/>
            <w:tcMar>
              <w:top w:w="65" w:type="dxa"/>
              <w:start w:w="70" w:type="dxa"/>
              <w:bottom w:w="65" w:type="dxa"/>
              <w:end w:w="70" w:type="dxa"/>
            </w:tcMar>
            <w:vAlign w:val="top"/>
          </w:tcPr>
          <w:p>
            <w:pPr>
              <w:spacing w:after="0"/>
            </w:pPr>
            <w:r>
              <w:rPr>
                <w:sz w:val="14"/>
              </w:rPr>
              <w:t>Clinical content portal, evidence surveillance, dual approval, semantic diffs, signed immutable releases.</w:t>
            </w:r>
          </w:p>
        </w:tc>
      </w:tr>
      <w:tr>
        <w:trPr>
          <w:cantSplit/>
        </w:trPr>
        <w:tc>
          <w:tcPr>
            <w:tcW w:type="dxa" w:w="2232"/>
            <w:tcMar>
              <w:top w:w="65" w:type="dxa"/>
              <w:start w:w="70" w:type="dxa"/>
              <w:bottom w:w="65" w:type="dxa"/>
              <w:end w:w="70" w:type="dxa"/>
            </w:tcMar>
            <w:vAlign w:val="top"/>
            <w:shd w:fill="F7F9FA"/>
          </w:tcPr>
          <w:p>
            <w:pPr>
              <w:spacing w:after="0"/>
            </w:pPr>
            <w:r>
              <w:rPr>
                <w:sz w:val="14"/>
              </w:rPr>
              <w:t>Limited clinical module breadth</w:t>
            </w:r>
          </w:p>
        </w:tc>
        <w:tc>
          <w:tcPr>
            <w:tcW w:type="dxa" w:w="3168"/>
            <w:tcMar>
              <w:top w:w="65" w:type="dxa"/>
              <w:start w:w="70" w:type="dxa"/>
              <w:bottom w:w="65" w:type="dxa"/>
              <w:end w:w="70" w:type="dxa"/>
            </w:tcMar>
            <w:vAlign w:val="top"/>
            <w:shd w:fill="F7F9FA"/>
          </w:tcPr>
          <w:p>
            <w:pPr>
              <w:spacing w:after="0"/>
            </w:pPr>
            <w:r>
              <w:rPr>
                <w:sz w:val="14"/>
              </w:rPr>
              <w:t>Anemia alone may not support repeated subscription value</w:t>
            </w:r>
          </w:p>
        </w:tc>
        <w:tc>
          <w:tcPr>
            <w:tcW w:type="dxa" w:w="4680"/>
            <w:tcMar>
              <w:top w:w="65" w:type="dxa"/>
              <w:start w:w="70" w:type="dxa"/>
              <w:bottom w:w="65" w:type="dxa"/>
              <w:end w:w="70" w:type="dxa"/>
            </w:tcMar>
            <w:vAlign w:val="top"/>
            <w:shd w:fill="F7F9FA"/>
          </w:tcPr>
          <w:p>
            <w:pPr>
              <w:spacing w:after="0"/>
            </w:pPr>
            <w:r>
              <w:rPr>
                <w:sz w:val="14"/>
              </w:rPr>
              <w:t>Expand coherently into CBC/cytopenia pathways using shared data and evidence.</w:t>
            </w:r>
          </w:p>
        </w:tc>
      </w:tr>
      <w:tr>
        <w:trPr>
          <w:cantSplit/>
        </w:trPr>
        <w:tc>
          <w:tcPr>
            <w:tcW w:type="dxa" w:w="2232"/>
            <w:tcMar>
              <w:top w:w="65" w:type="dxa"/>
              <w:start w:w="70" w:type="dxa"/>
              <w:bottom w:w="65" w:type="dxa"/>
              <w:end w:w="70" w:type="dxa"/>
            </w:tcMar>
            <w:vAlign w:val="top"/>
          </w:tcPr>
          <w:p>
            <w:pPr>
              <w:spacing w:after="0"/>
            </w:pPr>
            <w:r>
              <w:rPr>
                <w:sz w:val="14"/>
              </w:rPr>
              <w:t>No enterprise security controls</w:t>
            </w:r>
          </w:p>
        </w:tc>
        <w:tc>
          <w:tcPr>
            <w:tcW w:type="dxa" w:w="3168"/>
            <w:tcMar>
              <w:top w:w="65" w:type="dxa"/>
              <w:start w:w="70" w:type="dxa"/>
              <w:bottom w:w="65" w:type="dxa"/>
              <w:end w:w="70" w:type="dxa"/>
            </w:tcMar>
            <w:vAlign w:val="top"/>
          </w:tcPr>
          <w:p>
            <w:pPr>
              <w:spacing w:after="0"/>
            </w:pPr>
            <w:r>
              <w:rPr>
                <w:sz w:val="14"/>
              </w:rPr>
              <w:t>Cannot handle PHI or health-system procurement</w:t>
            </w:r>
          </w:p>
        </w:tc>
        <w:tc>
          <w:tcPr>
            <w:tcW w:type="dxa" w:w="4680"/>
            <w:tcMar>
              <w:top w:w="65" w:type="dxa"/>
              <w:start w:w="70" w:type="dxa"/>
              <w:bottom w:w="65" w:type="dxa"/>
              <w:end w:w="70" w:type="dxa"/>
            </w:tcMar>
            <w:vAlign w:val="top"/>
          </w:tcPr>
          <w:p>
            <w:pPr>
              <w:spacing w:after="0"/>
            </w:pPr>
            <w:r>
              <w:rPr>
                <w:sz w:val="14"/>
              </w:rPr>
              <w:t>Tenant isolation, SSO/RBAC, audit, BAA readiness, SDLC, penetration testing, SOC 2 roadmap. [R7]</w:t>
            </w:r>
          </w:p>
        </w:tc>
      </w:tr>
      <w:tr>
        <w:trPr>
          <w:cantSplit/>
        </w:trPr>
        <w:tc>
          <w:tcPr>
            <w:tcW w:type="dxa" w:w="2232"/>
            <w:tcMar>
              <w:top w:w="65" w:type="dxa"/>
              <w:start w:w="70" w:type="dxa"/>
              <w:bottom w:w="65" w:type="dxa"/>
              <w:end w:w="70" w:type="dxa"/>
            </w:tcMar>
            <w:vAlign w:val="top"/>
            <w:shd w:fill="F7F9FA"/>
          </w:tcPr>
          <w:p>
            <w:pPr>
              <w:spacing w:after="0"/>
            </w:pPr>
            <w:r>
              <w:rPr>
                <w:sz w:val="14"/>
              </w:rPr>
              <w:t>Unresolved content rights</w:t>
            </w:r>
          </w:p>
        </w:tc>
        <w:tc>
          <w:tcPr>
            <w:tcW w:type="dxa" w:w="3168"/>
            <w:tcMar>
              <w:top w:w="65" w:type="dxa"/>
              <w:start w:w="70" w:type="dxa"/>
              <w:bottom w:w="65" w:type="dxa"/>
              <w:end w:w="70" w:type="dxa"/>
            </w:tcMar>
            <w:vAlign w:val="top"/>
            <w:shd w:fill="F7F9FA"/>
          </w:tcPr>
          <w:p>
            <w:pPr>
              <w:spacing w:after="0"/>
            </w:pPr>
            <w:r>
              <w:rPr>
                <w:sz w:val="14"/>
              </w:rPr>
              <w:t>Citations do not automatically grant reuse rights</w:t>
            </w:r>
          </w:p>
        </w:tc>
        <w:tc>
          <w:tcPr>
            <w:tcW w:type="dxa" w:w="4680"/>
            <w:tcMar>
              <w:top w:w="65" w:type="dxa"/>
              <w:start w:w="70" w:type="dxa"/>
              <w:bottom w:w="65" w:type="dxa"/>
              <w:end w:w="70" w:type="dxa"/>
            </w:tcMar>
            <w:vAlign w:val="top"/>
            <w:shd w:fill="F7F9FA"/>
          </w:tcPr>
          <w:p>
            <w:pPr>
              <w:spacing w:after="0"/>
            </w:pPr>
            <w:r>
              <w:rPr>
                <w:sz w:val="14"/>
              </w:rPr>
              <w:t>Perform copyright and licensing review for guideline tables, figures, source passages, and branded content.</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FFF6DA"/>
            <w:tcMar>
              <w:top w:w="130" w:type="dxa"/>
              <w:start w:w="160" w:type="dxa"/>
              <w:bottom w:w="130" w:type="dxa"/>
              <w:end w:w="160" w:type="dxa"/>
            </w:tcMar>
          </w:tcPr>
          <w:p>
            <w:r>
              <w:rPr>
                <w:b/>
                <w:color w:val="D9A526"/>
                <w:sz w:val="16"/>
              </w:rPr>
              <w:t>CURRENT VALUE</w:t>
            </w:r>
          </w:p>
          <w:p>
            <w:r>
              <w:rPr>
                <w:sz w:val="18"/>
              </w:rPr>
              <w:t>Today, the asset is a credible technical and evidence prototype. Its value is mainly the code, structured knowledge, product design, and proof that a transparent workflow can be built. Clinical validation, distribution, and recurring revenue are the major missing value multipliers.</w:t>
            </w:r>
          </w:p>
        </w:tc>
      </w:tr>
    </w:tbl>
    <w:p>
      <w:pPr>
        <w:spacing w:after="0"/>
      </w:pPr>
    </w:p>
    <w:p>
      <w:pPr>
        <w:pStyle w:val="Heading1"/>
      </w:pPr>
      <w:r>
        <w:t>3. Strategic options and recommended positioning</w:t>
      </w:r>
    </w:p>
    <w:p>
      <w:pPr>
        <w:pStyle w:val="Heading2"/>
      </w:pPr>
      <w:r>
        <w:t>3.1 Weighted option assessment</w:t>
      </w:r>
    </w:p>
    <w:p>
      <w:r>
        <w:t>The following score is an internal strategy model, not a validated market instrument. Criteria weights: clinical frequency 20%, differentiation 15%, expansion synergy 15%, enterprise value 20%, evidence feasibility 10%, regulatory manageability 10%, and speed to value 10%.</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4320"/>
            <w:shd w:fill="123E4A"/>
            <w:tcMar>
              <w:top w:w="75" w:type="dxa"/>
              <w:start w:w="70" w:type="dxa"/>
              <w:bottom w:w="75" w:type="dxa"/>
              <w:end w:w="70" w:type="dxa"/>
            </w:tcMar>
            <w:vAlign w:val="center"/>
          </w:tcPr>
          <w:p>
            <w:r>
              <w:rPr>
                <w:b/>
                <w:color w:val="FFFFFF"/>
                <w:sz w:val="15"/>
              </w:rPr>
              <w:t>Option</w:t>
            </w:r>
          </w:p>
        </w:tc>
        <w:tc>
          <w:tcPr>
            <w:tcW w:type="dxa" w:w="1224"/>
            <w:shd w:fill="123E4A"/>
            <w:tcMar>
              <w:top w:w="75" w:type="dxa"/>
              <w:start w:w="70" w:type="dxa"/>
              <w:bottom w:w="75" w:type="dxa"/>
              <w:end w:w="70" w:type="dxa"/>
            </w:tcMar>
            <w:vAlign w:val="center"/>
          </w:tcPr>
          <w:p>
            <w:r>
              <w:rPr>
                <w:b/>
                <w:color w:val="FFFFFF"/>
                <w:sz w:val="15"/>
              </w:rPr>
              <w:t>Score / 5</w:t>
            </w:r>
          </w:p>
        </w:tc>
        <w:tc>
          <w:tcPr>
            <w:tcW w:type="dxa" w:w="4536"/>
            <w:shd w:fill="123E4A"/>
            <w:tcMar>
              <w:top w:w="75" w:type="dxa"/>
              <w:start w:w="70" w:type="dxa"/>
              <w:bottom w:w="75" w:type="dxa"/>
              <w:end w:w="70" w:type="dxa"/>
            </w:tcMar>
            <w:vAlign w:val="center"/>
          </w:tcPr>
          <w:p>
            <w:r>
              <w:rPr>
                <w:b/>
                <w:color w:val="FFFFFF"/>
                <w:sz w:val="15"/>
              </w:rPr>
              <w:t>Assessment</w:t>
            </w:r>
          </w:p>
        </w:tc>
      </w:tr>
      <w:tr>
        <w:trPr>
          <w:cantSplit/>
        </w:trPr>
        <w:tc>
          <w:tcPr>
            <w:tcW w:type="dxa" w:w="4320"/>
            <w:tcMar>
              <w:top w:w="65" w:type="dxa"/>
              <w:start w:w="70" w:type="dxa"/>
              <w:bottom w:w="65" w:type="dxa"/>
              <w:end w:w="70" w:type="dxa"/>
            </w:tcMar>
            <w:vAlign w:val="top"/>
          </w:tcPr>
          <w:p>
            <w:pPr>
              <w:spacing w:after="0"/>
            </w:pPr>
            <w:r>
              <w:rPr>
                <w:sz w:val="15"/>
              </w:rPr>
              <w:t>Standalone pediatric anemia calculator</w:t>
            </w:r>
          </w:p>
        </w:tc>
        <w:tc>
          <w:tcPr>
            <w:tcW w:type="dxa" w:w="1224"/>
            <w:tcMar>
              <w:top w:w="65" w:type="dxa"/>
              <w:start w:w="70" w:type="dxa"/>
              <w:bottom w:w="65" w:type="dxa"/>
              <w:end w:w="70" w:type="dxa"/>
            </w:tcMar>
            <w:vAlign w:val="top"/>
          </w:tcPr>
          <w:p>
            <w:pPr>
              <w:spacing w:after="0"/>
            </w:pPr>
            <w:r>
              <w:rPr>
                <w:sz w:val="15"/>
              </w:rPr>
              <w:t>3.25</w:t>
            </w:r>
          </w:p>
        </w:tc>
        <w:tc>
          <w:tcPr>
            <w:tcW w:type="dxa" w:w="4536"/>
            <w:tcMar>
              <w:top w:w="65" w:type="dxa"/>
              <w:start w:w="70" w:type="dxa"/>
              <w:bottom w:w="65" w:type="dxa"/>
              <w:end w:w="70" w:type="dxa"/>
            </w:tcMar>
            <w:vAlign w:val="top"/>
          </w:tcPr>
          <w:p>
            <w:pPr>
              <w:spacing w:after="0"/>
            </w:pPr>
            <w:r>
              <w:rPr>
                <w:sz w:val="15"/>
              </w:rPr>
              <w:t>Excellent wedge and public reference; limited recurring use and defensibility as a standalone business.</w:t>
            </w:r>
          </w:p>
        </w:tc>
      </w:tr>
      <w:tr>
        <w:trPr>
          <w:cantSplit/>
        </w:trPr>
        <w:tc>
          <w:tcPr>
            <w:tcW w:type="dxa" w:w="4320"/>
            <w:tcMar>
              <w:top w:w="65" w:type="dxa"/>
              <w:start w:w="70" w:type="dxa"/>
              <w:bottom w:w="65" w:type="dxa"/>
              <w:end w:w="70" w:type="dxa"/>
            </w:tcMar>
            <w:vAlign w:val="top"/>
            <w:shd w:fill="F7F9FA"/>
          </w:tcPr>
          <w:p>
            <w:pPr>
              <w:spacing w:after="0"/>
            </w:pPr>
            <w:r>
              <w:rPr>
                <w:sz w:val="15"/>
              </w:rPr>
              <w:t>Longitudinal anemia care workspace</w:t>
            </w:r>
          </w:p>
        </w:tc>
        <w:tc>
          <w:tcPr>
            <w:tcW w:type="dxa" w:w="1224"/>
            <w:tcMar>
              <w:top w:w="65" w:type="dxa"/>
              <w:start w:w="70" w:type="dxa"/>
              <w:bottom w:w="65" w:type="dxa"/>
              <w:end w:w="70" w:type="dxa"/>
            </w:tcMar>
            <w:vAlign w:val="top"/>
            <w:shd w:fill="F7F9FA"/>
          </w:tcPr>
          <w:p>
            <w:pPr>
              <w:spacing w:after="0"/>
            </w:pPr>
            <w:r>
              <w:rPr>
                <w:sz w:val="15"/>
              </w:rPr>
              <w:t>3.50</w:t>
            </w:r>
          </w:p>
        </w:tc>
        <w:tc>
          <w:tcPr>
            <w:tcW w:type="dxa" w:w="4536"/>
            <w:tcMar>
              <w:top w:w="65" w:type="dxa"/>
              <w:start w:w="70" w:type="dxa"/>
              <w:bottom w:w="65" w:type="dxa"/>
              <w:end w:w="70" w:type="dxa"/>
            </w:tcMar>
            <w:vAlign w:val="top"/>
            <w:shd w:fill="F7F9FA"/>
          </w:tcPr>
          <w:p>
            <w:pPr>
              <w:spacing w:after="0"/>
            </w:pPr>
            <w:r>
              <w:rPr>
                <w:sz w:val="15"/>
              </w:rPr>
              <w:t>Adds recurring follow-up and documentation value; still narrow without adjacent CBC modules.</w:t>
            </w:r>
          </w:p>
        </w:tc>
      </w:tr>
      <w:tr>
        <w:trPr>
          <w:cantSplit/>
        </w:trPr>
        <w:tc>
          <w:tcPr>
            <w:tcW w:type="dxa" w:w="4320"/>
            <w:tcMar>
              <w:top w:w="65" w:type="dxa"/>
              <w:start w:w="70" w:type="dxa"/>
              <w:bottom w:w="65" w:type="dxa"/>
              <w:end w:w="70" w:type="dxa"/>
            </w:tcMar>
            <w:vAlign w:val="top"/>
          </w:tcPr>
          <w:p>
            <w:pPr>
              <w:spacing w:after="0"/>
            </w:pPr>
            <w:r>
              <w:rPr>
                <w:sz w:val="15"/>
              </w:rPr>
              <w:t>Generic pediatric calculator library</w:t>
            </w:r>
          </w:p>
        </w:tc>
        <w:tc>
          <w:tcPr>
            <w:tcW w:type="dxa" w:w="1224"/>
            <w:tcMar>
              <w:top w:w="65" w:type="dxa"/>
              <w:start w:w="70" w:type="dxa"/>
              <w:bottom w:w="65" w:type="dxa"/>
              <w:end w:w="70" w:type="dxa"/>
            </w:tcMar>
            <w:vAlign w:val="top"/>
          </w:tcPr>
          <w:p>
            <w:pPr>
              <w:spacing w:after="0"/>
            </w:pPr>
            <w:r>
              <w:rPr>
                <w:sz w:val="15"/>
              </w:rPr>
              <w:t>3.00</w:t>
            </w:r>
          </w:p>
        </w:tc>
        <w:tc>
          <w:tcPr>
            <w:tcW w:type="dxa" w:w="4536"/>
            <w:tcMar>
              <w:top w:w="65" w:type="dxa"/>
              <w:start w:w="70" w:type="dxa"/>
              <w:bottom w:w="65" w:type="dxa"/>
              <w:end w:w="70" w:type="dxa"/>
            </w:tcMar>
            <w:vAlign w:val="top"/>
          </w:tcPr>
          <w:p>
            <w:pPr>
              <w:spacing w:after="0"/>
            </w:pPr>
            <w:r>
              <w:rPr>
                <w:sz w:val="15"/>
              </w:rPr>
              <w:t>More traffic, but crowded and easy to copy; weak fit with the current differentiated evidence engine.</w:t>
            </w:r>
          </w:p>
        </w:tc>
      </w:tr>
      <w:tr>
        <w:trPr>
          <w:cantSplit/>
        </w:trPr>
        <w:tc>
          <w:tcPr>
            <w:tcW w:type="dxa" w:w="4320"/>
            <w:tcMar>
              <w:top w:w="65" w:type="dxa"/>
              <w:start w:w="70" w:type="dxa"/>
              <w:bottom w:w="65" w:type="dxa"/>
              <w:end w:w="70" w:type="dxa"/>
            </w:tcMar>
            <w:vAlign w:val="top"/>
            <w:shd w:fill="F7F9FA"/>
          </w:tcPr>
          <w:p>
            <w:pPr>
              <w:spacing w:after="0"/>
            </w:pPr>
            <w:r>
              <w:rPr>
                <w:sz w:val="15"/>
              </w:rPr>
              <w:t>Pediatric CBC and cytopenia suite</w:t>
            </w:r>
          </w:p>
        </w:tc>
        <w:tc>
          <w:tcPr>
            <w:tcW w:type="dxa" w:w="1224"/>
            <w:tcMar>
              <w:top w:w="65" w:type="dxa"/>
              <w:start w:w="70" w:type="dxa"/>
              <w:bottom w:w="65" w:type="dxa"/>
              <w:end w:w="70" w:type="dxa"/>
            </w:tcMar>
            <w:vAlign w:val="top"/>
            <w:shd w:fill="F7F9FA"/>
          </w:tcPr>
          <w:p>
            <w:pPr>
              <w:spacing w:after="0"/>
            </w:pPr>
            <w:r>
              <w:rPr>
                <w:sz w:val="15"/>
              </w:rPr>
              <w:t>4.70</w:t>
            </w:r>
          </w:p>
        </w:tc>
        <w:tc>
          <w:tcPr>
            <w:tcW w:type="dxa" w:w="4536"/>
            <w:tcMar>
              <w:top w:w="65" w:type="dxa"/>
              <w:start w:w="70" w:type="dxa"/>
              <w:bottom w:w="65" w:type="dxa"/>
              <w:end w:w="70" w:type="dxa"/>
            </w:tcMar>
            <w:vAlign w:val="top"/>
            <w:shd w:fill="F7F9FA"/>
          </w:tcPr>
          <w:p>
            <w:pPr>
              <w:spacing w:after="0"/>
            </w:pPr>
            <w:r>
              <w:rPr>
                <w:sz w:val="15"/>
              </w:rPr>
              <w:t>Best provider product: frequent, coherent, reuses the data model, and supports practice and enterprise value.</w:t>
            </w:r>
          </w:p>
        </w:tc>
      </w:tr>
      <w:tr>
        <w:trPr>
          <w:cantSplit/>
        </w:trPr>
        <w:tc>
          <w:tcPr>
            <w:tcW w:type="dxa" w:w="4320"/>
            <w:tcMar>
              <w:top w:w="65" w:type="dxa"/>
              <w:start w:w="70" w:type="dxa"/>
              <w:bottom w:w="65" w:type="dxa"/>
              <w:end w:w="70" w:type="dxa"/>
            </w:tcMar>
            <w:vAlign w:val="top"/>
          </w:tcPr>
          <w:p>
            <w:pPr>
              <w:spacing w:after="0"/>
            </w:pPr>
            <w:r>
              <w:rPr>
                <w:sz w:val="15"/>
              </w:rPr>
              <w:t>Evidence-to-CDS platform/API</w:t>
            </w:r>
          </w:p>
        </w:tc>
        <w:tc>
          <w:tcPr>
            <w:tcW w:type="dxa" w:w="1224"/>
            <w:tcMar>
              <w:top w:w="65" w:type="dxa"/>
              <w:start w:w="70" w:type="dxa"/>
              <w:bottom w:w="65" w:type="dxa"/>
              <w:end w:w="70" w:type="dxa"/>
            </w:tcMar>
            <w:vAlign w:val="top"/>
          </w:tcPr>
          <w:p>
            <w:pPr>
              <w:spacing w:after="0"/>
            </w:pPr>
            <w:r>
              <w:rPr>
                <w:sz w:val="15"/>
              </w:rPr>
              <w:t>3.90</w:t>
            </w:r>
          </w:p>
        </w:tc>
        <w:tc>
          <w:tcPr>
            <w:tcW w:type="dxa" w:w="4536"/>
            <w:tcMar>
              <w:top w:w="65" w:type="dxa"/>
              <w:start w:w="70" w:type="dxa"/>
              <w:bottom w:w="65" w:type="dxa"/>
              <w:end w:w="70" w:type="dxa"/>
            </w:tcMar>
            <w:vAlign w:val="top"/>
          </w:tcPr>
          <w:p>
            <w:pPr>
              <w:spacing w:after="0"/>
            </w:pPr>
            <w:r>
              <w:rPr>
                <w:sz w:val="15"/>
              </w:rPr>
              <w:t>Strongest strategic moat and licensing path, but slower to sell without a successful clinical product proving it.</w:t>
            </w:r>
          </w:p>
        </w:tc>
      </w:tr>
    </w:tbl>
    <w:p>
      <w:pPr>
        <w:spacing w:after="20"/>
      </w:pPr>
    </w:p>
    <w:p>
      <w:pPr>
        <w:pStyle w:val="Heading2"/>
      </w:pPr>
      <w:r>
        <w:t>3.2 Recommended positioning</w:t>
      </w:r>
    </w:p>
    <w:tbl>
      <w:tblPr>
        <w:tblW w:type="auto" w:w="0"/>
        <w:jc w:val="center"/>
        <w:tblLayout w:type="fixed"/>
        <w:tblLook w:firstColumn="1" w:firstRow="1" w:lastColumn="0" w:lastRow="0" w:noHBand="0" w:noVBand="1" w:val="04A0"/>
      </w:tblPr>
      <w:tblGrid>
        <w:gridCol w:w="10282"/>
      </w:tblGrid>
      <w:tr>
        <w:tc>
          <w:tcPr>
            <w:tcW w:type="dxa" w:w="10080"/>
            <w:shd w:fill="E8F5F5"/>
            <w:tcMar>
              <w:top w:w="130" w:type="dxa"/>
              <w:start w:w="160" w:type="dxa"/>
              <w:bottom w:w="130" w:type="dxa"/>
              <w:end w:w="160" w:type="dxa"/>
            </w:tcMar>
          </w:tcPr>
          <w:p>
            <w:r>
              <w:rPr>
                <w:b/>
                <w:color w:val="0E7582"/>
                <w:sz w:val="16"/>
              </w:rPr>
              <w:t>RECOMMENDED CATEGORY</w:t>
            </w:r>
          </w:p>
          <w:p>
            <w:r>
              <w:rPr>
                <w:sz w:val="18"/>
              </w:rPr>
              <w:t>An evidence-governed pediatric lab interpretation and diagnostic pathway platform - not an AI diagnostician and not a generic calculator website.</w:t>
            </w:r>
          </w:p>
        </w:tc>
      </w:tr>
    </w:tbl>
    <w:p>
      <w:pPr>
        <w:spacing w:after="0"/>
      </w:pPr>
    </w:p>
    <w:p>
      <w:r>
        <w:t>Positioning statement:</w:t>
      </w:r>
    </w:p>
    <w:tbl>
      <w:tblPr>
        <w:tblW w:type="auto" w:w="0"/>
        <w:jc w:val="center"/>
        <w:tblLayout w:type="fixed"/>
        <w:tblLook w:firstColumn="1" w:firstRow="1" w:lastColumn="0" w:lastRow="0" w:noHBand="0" w:noVBand="1" w:val="04A0"/>
      </w:tblPr>
      <w:tblGrid>
        <w:gridCol w:w="10282"/>
      </w:tblGrid>
      <w:tr>
        <w:tc>
          <w:tcPr>
            <w:tcW w:type="dxa" w:w="10080"/>
            <w:shd w:fill="EEF3F5"/>
            <w:tcMar>
              <w:top w:w="90" w:type="dxa"/>
              <w:start w:w="110" w:type="dxa"/>
              <w:bottom w:w="90" w:type="dxa"/>
              <w:end w:w="110" w:type="dxa"/>
            </w:tcMar>
          </w:tcPr>
          <w:p>
            <w:pPr>
              <w:pStyle w:val="CodeSmall"/>
            </w:pPr>
            <w:r>
              <w:rPr>
                <w:rFonts w:ascii="DejaVu Sans Mono" w:hAnsi="DejaVu Sans Mono"/>
                <w:sz w:val="15"/>
              </w:rPr>
              <w:t>For pediatric clinicians who must interpret age-dependent laboratory abnormalities and decide what to evaluate next, PedsLab Pathways provides transparent, evidence-linked, locally configurable diagnostic pathways that show the exact inputs, logic, unknowns, and sources behind each result. Unlike a generic reference or opaque AI assistant, it produces deterministic, reproducible clinical options and can integrate directly into the EHR.</w:t>
            </w:r>
          </w:p>
        </w:tc>
      </w:tr>
    </w:tbl>
    <w:p>
      <w:pPr>
        <w:spacing w:after="0"/>
      </w:pPr>
    </w:p>
    <w:p>
      <w:pPr>
        <w:pStyle w:val="Heading2"/>
      </w:pPr>
      <w:r>
        <w:t>3.3 Core jobs to be done</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23E4A"/>
            <w:tcMar>
              <w:top w:w="75" w:type="dxa"/>
              <w:start w:w="70" w:type="dxa"/>
              <w:bottom w:w="75" w:type="dxa"/>
              <w:end w:w="70" w:type="dxa"/>
            </w:tcMar>
            <w:vAlign w:val="center"/>
          </w:tcPr>
          <w:p>
            <w:r>
              <w:rPr>
                <w:b/>
                <w:color w:val="FFFFFF"/>
                <w:sz w:val="15"/>
              </w:rPr>
              <w:t>Persona</w:t>
            </w:r>
          </w:p>
        </w:tc>
        <w:tc>
          <w:tcPr>
            <w:tcW w:type="dxa" w:w="3960"/>
            <w:shd w:fill="123E4A"/>
            <w:tcMar>
              <w:top w:w="75" w:type="dxa"/>
              <w:start w:w="70" w:type="dxa"/>
              <w:bottom w:w="75" w:type="dxa"/>
              <w:end w:w="70" w:type="dxa"/>
            </w:tcMar>
            <w:vAlign w:val="center"/>
          </w:tcPr>
          <w:p>
            <w:r>
              <w:rPr>
                <w:b/>
                <w:color w:val="FFFFFF"/>
                <w:sz w:val="15"/>
              </w:rPr>
              <w:t>Clinical job</w:t>
            </w:r>
          </w:p>
        </w:tc>
        <w:tc>
          <w:tcPr>
            <w:tcW w:type="dxa" w:w="4031"/>
            <w:shd w:fill="123E4A"/>
            <w:tcMar>
              <w:top w:w="75" w:type="dxa"/>
              <w:start w:w="70" w:type="dxa"/>
              <w:bottom w:w="75" w:type="dxa"/>
              <w:end w:w="70" w:type="dxa"/>
            </w:tcMar>
            <w:vAlign w:val="center"/>
          </w:tcPr>
          <w:p>
            <w:r>
              <w:rPr>
                <w:b/>
                <w:color w:val="FFFFFF"/>
                <w:sz w:val="15"/>
              </w:rPr>
              <w:t>Value delivered</w:t>
            </w:r>
          </w:p>
        </w:tc>
      </w:tr>
      <w:tr>
        <w:trPr>
          <w:cantSplit/>
        </w:trPr>
        <w:tc>
          <w:tcPr>
            <w:tcW w:type="dxa" w:w="2088"/>
            <w:tcMar>
              <w:top w:w="65" w:type="dxa"/>
              <w:start w:w="70" w:type="dxa"/>
              <w:bottom w:w="65" w:type="dxa"/>
              <w:end w:w="70" w:type="dxa"/>
            </w:tcMar>
            <w:vAlign w:val="top"/>
          </w:tcPr>
          <w:p>
            <w:pPr>
              <w:spacing w:after="0"/>
            </w:pPr>
            <w:r>
              <w:rPr>
                <w:sz w:val="15"/>
              </w:rPr>
              <w:t>General pediatrician / APP</w:t>
            </w:r>
          </w:p>
        </w:tc>
        <w:tc>
          <w:tcPr>
            <w:tcW w:type="dxa" w:w="3960"/>
            <w:tcMar>
              <w:top w:w="65" w:type="dxa"/>
              <w:start w:w="70" w:type="dxa"/>
              <w:bottom w:w="65" w:type="dxa"/>
              <w:end w:w="70" w:type="dxa"/>
            </w:tcMar>
            <w:vAlign w:val="top"/>
          </w:tcPr>
          <w:p>
            <w:pPr>
              <w:spacing w:after="0"/>
            </w:pPr>
            <w:r>
              <w:rPr>
                <w:sz w:val="15"/>
              </w:rPr>
              <w:t>Determine whether an abnormal CBC is urgent, likely benign, or needs specific workup/referral</w:t>
            </w:r>
          </w:p>
        </w:tc>
        <w:tc>
          <w:tcPr>
            <w:tcW w:type="dxa" w:w="4031"/>
            <w:tcMar>
              <w:top w:w="65" w:type="dxa"/>
              <w:start w:w="70" w:type="dxa"/>
              <w:bottom w:w="65" w:type="dxa"/>
              <w:end w:w="70" w:type="dxa"/>
            </w:tcMar>
            <w:vAlign w:val="top"/>
          </w:tcPr>
          <w:p>
            <w:pPr>
              <w:spacing w:after="0"/>
            </w:pPr>
            <w:r>
              <w:rPr>
                <w:sz w:val="15"/>
              </w:rPr>
              <w:t>Faster interpretation, fewer omitted questions/tests, defensible rationale, clear escalation.</w:t>
            </w:r>
          </w:p>
        </w:tc>
      </w:tr>
      <w:tr>
        <w:trPr>
          <w:cantSplit/>
        </w:trPr>
        <w:tc>
          <w:tcPr>
            <w:tcW w:type="dxa" w:w="2088"/>
            <w:tcMar>
              <w:top w:w="65" w:type="dxa"/>
              <w:start w:w="70" w:type="dxa"/>
              <w:bottom w:w="65" w:type="dxa"/>
              <w:end w:w="70" w:type="dxa"/>
            </w:tcMar>
            <w:vAlign w:val="top"/>
            <w:shd w:fill="F7F9FA"/>
          </w:tcPr>
          <w:p>
            <w:pPr>
              <w:spacing w:after="0"/>
            </w:pPr>
            <w:r>
              <w:rPr>
                <w:sz w:val="15"/>
              </w:rPr>
              <w:t>Pediatric hematologist</w:t>
            </w:r>
          </w:p>
        </w:tc>
        <w:tc>
          <w:tcPr>
            <w:tcW w:type="dxa" w:w="3960"/>
            <w:tcMar>
              <w:top w:w="65" w:type="dxa"/>
              <w:start w:w="70" w:type="dxa"/>
              <w:bottom w:w="65" w:type="dxa"/>
              <w:end w:w="70" w:type="dxa"/>
            </w:tcMar>
            <w:vAlign w:val="top"/>
            <w:shd w:fill="F7F9FA"/>
          </w:tcPr>
          <w:p>
            <w:pPr>
              <w:spacing w:after="0"/>
            </w:pPr>
            <w:r>
              <w:rPr>
                <w:sz w:val="15"/>
              </w:rPr>
              <w:t>Receive a higher-quality referral with relevant history, trends, smear, and workup</w:t>
            </w:r>
          </w:p>
        </w:tc>
        <w:tc>
          <w:tcPr>
            <w:tcW w:type="dxa" w:w="4031"/>
            <w:tcMar>
              <w:top w:w="65" w:type="dxa"/>
              <w:start w:w="70" w:type="dxa"/>
              <w:bottom w:w="65" w:type="dxa"/>
              <w:end w:w="70" w:type="dxa"/>
            </w:tcMar>
            <w:vAlign w:val="top"/>
            <w:shd w:fill="F7F9FA"/>
          </w:tcPr>
          <w:p>
            <w:pPr>
              <w:spacing w:after="0"/>
            </w:pPr>
            <w:r>
              <w:rPr>
                <w:sz w:val="15"/>
              </w:rPr>
              <w:t>Less referral rework, better triage, more complete pre-consult data.</w:t>
            </w:r>
          </w:p>
        </w:tc>
      </w:tr>
      <w:tr>
        <w:trPr>
          <w:cantSplit/>
        </w:trPr>
        <w:tc>
          <w:tcPr>
            <w:tcW w:type="dxa" w:w="2088"/>
            <w:tcMar>
              <w:top w:w="65" w:type="dxa"/>
              <w:start w:w="70" w:type="dxa"/>
              <w:bottom w:w="65" w:type="dxa"/>
              <w:end w:w="70" w:type="dxa"/>
            </w:tcMar>
            <w:vAlign w:val="top"/>
          </w:tcPr>
          <w:p>
            <w:pPr>
              <w:spacing w:after="0"/>
            </w:pPr>
            <w:r>
              <w:rPr>
                <w:sz w:val="15"/>
              </w:rPr>
              <w:t>Laboratory medicine</w:t>
            </w:r>
          </w:p>
        </w:tc>
        <w:tc>
          <w:tcPr>
            <w:tcW w:type="dxa" w:w="3960"/>
            <w:tcMar>
              <w:top w:w="65" w:type="dxa"/>
              <w:start w:w="70" w:type="dxa"/>
              <w:bottom w:w="65" w:type="dxa"/>
              <w:end w:w="70" w:type="dxa"/>
            </w:tcMar>
            <w:vAlign w:val="top"/>
          </w:tcPr>
          <w:p>
            <w:pPr>
              <w:spacing w:after="0"/>
            </w:pPr>
            <w:r>
              <w:rPr>
                <w:sz w:val="15"/>
              </w:rPr>
              <w:t>Ensure ranges, units, methods, and flags are interpreted correctly</w:t>
            </w:r>
          </w:p>
        </w:tc>
        <w:tc>
          <w:tcPr>
            <w:tcW w:type="dxa" w:w="4031"/>
            <w:tcMar>
              <w:top w:w="65" w:type="dxa"/>
              <w:start w:w="70" w:type="dxa"/>
              <w:bottom w:w="65" w:type="dxa"/>
              <w:end w:w="70" w:type="dxa"/>
            </w:tcMar>
            <w:vAlign w:val="top"/>
          </w:tcPr>
          <w:p>
            <w:pPr>
              <w:spacing w:after="0"/>
            </w:pPr>
            <w:r>
              <w:rPr>
                <w:sz w:val="15"/>
              </w:rPr>
              <w:t>Site-specific configuration, analyzer-aware provenance, fewer unit/range errors.</w:t>
            </w:r>
          </w:p>
        </w:tc>
      </w:tr>
      <w:tr>
        <w:trPr>
          <w:cantSplit/>
        </w:trPr>
        <w:tc>
          <w:tcPr>
            <w:tcW w:type="dxa" w:w="2088"/>
            <w:tcMar>
              <w:top w:w="65" w:type="dxa"/>
              <w:start w:w="70" w:type="dxa"/>
              <w:bottom w:w="65" w:type="dxa"/>
              <w:end w:w="70" w:type="dxa"/>
            </w:tcMar>
            <w:vAlign w:val="top"/>
            <w:shd w:fill="F7F9FA"/>
          </w:tcPr>
          <w:p>
            <w:pPr>
              <w:spacing w:after="0"/>
            </w:pPr>
            <w:r>
              <w:rPr>
                <w:sz w:val="15"/>
              </w:rPr>
              <w:t>Resident / learner</w:t>
            </w:r>
          </w:p>
        </w:tc>
        <w:tc>
          <w:tcPr>
            <w:tcW w:type="dxa" w:w="3960"/>
            <w:tcMar>
              <w:top w:w="65" w:type="dxa"/>
              <w:start w:w="70" w:type="dxa"/>
              <w:bottom w:w="65" w:type="dxa"/>
              <w:end w:w="70" w:type="dxa"/>
            </w:tcMar>
            <w:vAlign w:val="top"/>
            <w:shd w:fill="F7F9FA"/>
          </w:tcPr>
          <w:p>
            <w:pPr>
              <w:spacing w:after="0"/>
            </w:pPr>
            <w:r>
              <w:rPr>
                <w:sz w:val="15"/>
              </w:rPr>
              <w:t>Understand why a pathway branches and how evidence applies</w:t>
            </w:r>
          </w:p>
        </w:tc>
        <w:tc>
          <w:tcPr>
            <w:tcW w:type="dxa" w:w="4031"/>
            <w:tcMar>
              <w:top w:w="65" w:type="dxa"/>
              <w:start w:w="70" w:type="dxa"/>
              <w:bottom w:w="65" w:type="dxa"/>
              <w:end w:w="70" w:type="dxa"/>
            </w:tcMar>
            <w:vAlign w:val="top"/>
            <w:shd w:fill="F7F9FA"/>
          </w:tcPr>
          <w:p>
            <w:pPr>
              <w:spacing w:after="0"/>
            </w:pPr>
            <w:r>
              <w:rPr>
                <w:sz w:val="15"/>
              </w:rPr>
              <w:t>Interactive algorithm, examples, citations, counterfactual explanations, optional CME.</w:t>
            </w:r>
          </w:p>
        </w:tc>
      </w:tr>
      <w:tr>
        <w:trPr>
          <w:cantSplit/>
        </w:trPr>
        <w:tc>
          <w:tcPr>
            <w:tcW w:type="dxa" w:w="2088"/>
            <w:tcMar>
              <w:top w:w="65" w:type="dxa"/>
              <w:start w:w="70" w:type="dxa"/>
              <w:bottom w:w="65" w:type="dxa"/>
              <w:end w:w="70" w:type="dxa"/>
            </w:tcMar>
            <w:vAlign w:val="top"/>
          </w:tcPr>
          <w:p>
            <w:pPr>
              <w:spacing w:after="0"/>
            </w:pPr>
            <w:r>
              <w:rPr>
                <w:sz w:val="15"/>
              </w:rPr>
              <w:t>Practice / health-system leader</w:t>
            </w:r>
          </w:p>
        </w:tc>
        <w:tc>
          <w:tcPr>
            <w:tcW w:type="dxa" w:w="3960"/>
            <w:tcMar>
              <w:top w:w="65" w:type="dxa"/>
              <w:start w:w="70" w:type="dxa"/>
              <w:bottom w:w="65" w:type="dxa"/>
              <w:end w:w="70" w:type="dxa"/>
            </w:tcMar>
            <w:vAlign w:val="top"/>
          </w:tcPr>
          <w:p>
            <w:pPr>
              <w:spacing w:after="0"/>
            </w:pPr>
            <w:r>
              <w:rPr>
                <w:sz w:val="15"/>
              </w:rPr>
              <w:t>Standardize workup and demonstrate quality and utilization value</w:t>
            </w:r>
          </w:p>
        </w:tc>
        <w:tc>
          <w:tcPr>
            <w:tcW w:type="dxa" w:w="4031"/>
            <w:tcMar>
              <w:top w:w="65" w:type="dxa"/>
              <w:start w:w="70" w:type="dxa"/>
              <w:bottom w:w="65" w:type="dxa"/>
              <w:end w:w="70" w:type="dxa"/>
            </w:tcMar>
            <w:vAlign w:val="top"/>
          </w:tcPr>
          <w:p>
            <w:pPr>
              <w:spacing w:after="0"/>
            </w:pPr>
            <w:r>
              <w:rPr>
                <w:sz w:val="15"/>
              </w:rPr>
              <w:t>Governed pathways, adoption analytics, test/referral metrics, local policy overlays.</w:t>
            </w:r>
          </w:p>
        </w:tc>
      </w:tr>
      <w:tr>
        <w:trPr>
          <w:cantSplit/>
        </w:trPr>
        <w:tc>
          <w:tcPr>
            <w:tcW w:type="dxa" w:w="2088"/>
            <w:tcMar>
              <w:top w:w="65" w:type="dxa"/>
              <w:start w:w="70" w:type="dxa"/>
              <w:bottom w:w="65" w:type="dxa"/>
              <w:end w:w="70" w:type="dxa"/>
            </w:tcMar>
            <w:vAlign w:val="top"/>
            <w:shd w:fill="F7F9FA"/>
          </w:tcPr>
          <w:p>
            <w:pPr>
              <w:spacing w:after="0"/>
            </w:pPr>
            <w:r>
              <w:rPr>
                <w:sz w:val="15"/>
              </w:rPr>
              <w:t>Parent / caregiver</w:t>
            </w:r>
          </w:p>
        </w:tc>
        <w:tc>
          <w:tcPr>
            <w:tcW w:type="dxa" w:w="3960"/>
            <w:tcMar>
              <w:top w:w="65" w:type="dxa"/>
              <w:start w:w="70" w:type="dxa"/>
              <w:bottom w:w="65" w:type="dxa"/>
              <w:end w:w="70" w:type="dxa"/>
            </w:tcMar>
            <w:vAlign w:val="top"/>
            <w:shd w:fill="F7F9FA"/>
          </w:tcPr>
          <w:p>
            <w:pPr>
              <w:spacing w:after="0"/>
            </w:pPr>
            <w:r>
              <w:rPr>
                <w:sz w:val="15"/>
              </w:rPr>
              <w:t>Understand the clinician-reviewed plan</w:t>
            </w:r>
          </w:p>
        </w:tc>
        <w:tc>
          <w:tcPr>
            <w:tcW w:type="dxa" w:w="4031"/>
            <w:tcMar>
              <w:top w:w="65" w:type="dxa"/>
              <w:start w:w="70" w:type="dxa"/>
              <w:bottom w:w="65" w:type="dxa"/>
              <w:end w:w="70" w:type="dxa"/>
            </w:tcMar>
            <w:vAlign w:val="top"/>
            <w:shd w:fill="F7F9FA"/>
          </w:tcPr>
          <w:p>
            <w:pPr>
              <w:spacing w:after="0"/>
            </w:pPr>
            <w:r>
              <w:rPr>
                <w:sz w:val="15"/>
              </w:rPr>
              <w:t>Approved plain-language handout generated from the reviewed result, not independent patient CDS.</w:t>
            </w:r>
          </w:p>
        </w:tc>
      </w:tr>
    </w:tbl>
    <w:p>
      <w:pPr>
        <w:spacing w:after="20"/>
      </w:pPr>
    </w:p>
    <w:p>
      <w:pPr>
        <w:pStyle w:val="Heading1"/>
      </w:pPr>
      <w:r>
        <w:t>4. Product concept: a multi-tool suite without becoming a commodity library</w:t>
      </w:r>
    </w:p>
    <w:p>
      <w:pPr>
        <w:pStyle w:val="Heading2"/>
      </w:pPr>
      <w:r>
        <w:t>4.1 Product editions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655"/>
            <w:shd w:fill="123E4A"/>
            <w:tcMar>
              <w:top w:w="75" w:type="dxa"/>
              <w:start w:w="70" w:type="dxa"/>
              <w:bottom w:w="75" w:type="dxa"/>
              <w:end w:w="70" w:type="dxa"/>
            </w:tcMar>
            <w:vAlign w:val="center"/>
          </w:tcPr>
          <w:p>
            <w:r>
              <w:rPr>
                <w:b/>
                <w:color w:val="FFFFFF"/>
                <w:sz w:val="14"/>
              </w:rPr>
              <w:t>Edition</w:t>
            </w:r>
          </w:p>
        </w:tc>
        <w:tc>
          <w:tcPr>
            <w:tcW w:type="dxa" w:w="2015"/>
            <w:shd w:fill="123E4A"/>
            <w:tcMar>
              <w:top w:w="75" w:type="dxa"/>
              <w:start w:w="70" w:type="dxa"/>
              <w:bottom w:w="75" w:type="dxa"/>
              <w:end w:w="70" w:type="dxa"/>
            </w:tcMar>
            <w:vAlign w:val="center"/>
          </w:tcPr>
          <w:p>
            <w:r>
              <w:rPr>
                <w:b/>
                <w:color w:val="FFFFFF"/>
                <w:sz w:val="14"/>
              </w:rPr>
              <w:t>Target</w:t>
            </w:r>
          </w:p>
        </w:tc>
        <w:tc>
          <w:tcPr>
            <w:tcW w:type="dxa" w:w="4320"/>
            <w:shd w:fill="123E4A"/>
            <w:tcMar>
              <w:top w:w="75" w:type="dxa"/>
              <w:start w:w="70" w:type="dxa"/>
              <w:bottom w:w="75" w:type="dxa"/>
              <w:end w:w="70" w:type="dxa"/>
            </w:tcMar>
            <w:vAlign w:val="center"/>
          </w:tcPr>
          <w:p>
            <w:r>
              <w:rPr>
                <w:b/>
                <w:color w:val="FFFFFF"/>
                <w:sz w:val="14"/>
              </w:rPr>
              <w:t>Capabilities</w:t>
            </w:r>
          </w:p>
        </w:tc>
        <w:tc>
          <w:tcPr>
            <w:tcW w:type="dxa" w:w="2088"/>
            <w:shd w:fill="123E4A"/>
            <w:tcMar>
              <w:top w:w="75" w:type="dxa"/>
              <w:start w:w="70" w:type="dxa"/>
              <w:bottom w:w="75" w:type="dxa"/>
              <w:end w:w="70" w:type="dxa"/>
            </w:tcMar>
            <w:vAlign w:val="center"/>
          </w:tcPr>
          <w:p>
            <w:r>
              <w:rPr>
                <w:b/>
                <w:color w:val="FFFFFF"/>
                <w:sz w:val="14"/>
              </w:rPr>
              <w:t>Commercial role</w:t>
            </w:r>
          </w:p>
        </w:tc>
      </w:tr>
      <w:tr>
        <w:trPr>
          <w:cantSplit/>
        </w:trPr>
        <w:tc>
          <w:tcPr>
            <w:tcW w:type="dxa" w:w="1655"/>
            <w:tcMar>
              <w:top w:w="65" w:type="dxa"/>
              <w:start w:w="70" w:type="dxa"/>
              <w:bottom w:w="65" w:type="dxa"/>
              <w:end w:w="70" w:type="dxa"/>
            </w:tcMar>
            <w:vAlign w:val="top"/>
          </w:tcPr>
          <w:p>
            <w:pPr>
              <w:spacing w:after="0"/>
            </w:pPr>
            <w:r>
              <w:rPr>
                <w:sz w:val="14"/>
              </w:rPr>
              <w:t>Public Reference</w:t>
            </w:r>
          </w:p>
        </w:tc>
        <w:tc>
          <w:tcPr>
            <w:tcW w:type="dxa" w:w="2015"/>
            <w:tcMar>
              <w:top w:w="65" w:type="dxa"/>
              <w:start w:w="70" w:type="dxa"/>
              <w:bottom w:w="65" w:type="dxa"/>
              <w:end w:w="70" w:type="dxa"/>
            </w:tcMar>
            <w:vAlign w:val="top"/>
          </w:tcPr>
          <w:p>
            <w:pPr>
              <w:spacing w:after="0"/>
            </w:pPr>
            <w:r>
              <w:rPr>
                <w:sz w:val="14"/>
              </w:rPr>
              <w:t>Any licensed clinician; no account required</w:t>
            </w:r>
          </w:p>
        </w:tc>
        <w:tc>
          <w:tcPr>
            <w:tcW w:type="dxa" w:w="4320"/>
            <w:tcMar>
              <w:top w:w="65" w:type="dxa"/>
              <w:start w:w="70" w:type="dxa"/>
              <w:bottom w:w="65" w:type="dxa"/>
              <w:end w:w="70" w:type="dxa"/>
            </w:tcMar>
            <w:vAlign w:val="top"/>
          </w:tcPr>
          <w:p>
            <w:pPr>
              <w:spacing w:after="0"/>
            </w:pPr>
            <w:r>
              <w:rPr>
                <w:sz w:val="14"/>
              </w:rPr>
              <w:t>Anemia module, Algorithm Explorer, de-identified examples, evidence summaries, no PHI persistence</w:t>
            </w:r>
          </w:p>
        </w:tc>
        <w:tc>
          <w:tcPr>
            <w:tcW w:type="dxa" w:w="2088"/>
            <w:tcMar>
              <w:top w:w="65" w:type="dxa"/>
              <w:start w:w="70" w:type="dxa"/>
              <w:bottom w:w="65" w:type="dxa"/>
              <w:end w:w="70" w:type="dxa"/>
            </w:tcMar>
            <w:vAlign w:val="top"/>
          </w:tcPr>
          <w:p>
            <w:pPr>
              <w:spacing w:after="0"/>
            </w:pPr>
            <w:r>
              <w:rPr>
                <w:sz w:val="14"/>
              </w:rPr>
              <w:t>Trust, SEO, education, adoption funnel, open demonstration of transparency.</w:t>
            </w:r>
          </w:p>
        </w:tc>
      </w:tr>
      <w:tr>
        <w:trPr>
          <w:cantSplit/>
        </w:trPr>
        <w:tc>
          <w:tcPr>
            <w:tcW w:type="dxa" w:w="1655"/>
            <w:tcMar>
              <w:top w:w="65" w:type="dxa"/>
              <w:start w:w="70" w:type="dxa"/>
              <w:bottom w:w="65" w:type="dxa"/>
              <w:end w:w="70" w:type="dxa"/>
            </w:tcMar>
            <w:vAlign w:val="top"/>
            <w:shd w:fill="F7F9FA"/>
          </w:tcPr>
          <w:p>
            <w:pPr>
              <w:spacing w:after="0"/>
            </w:pPr>
            <w:r>
              <w:rPr>
                <w:sz w:val="14"/>
              </w:rPr>
              <w:t>Clinician Pro</w:t>
            </w:r>
          </w:p>
        </w:tc>
        <w:tc>
          <w:tcPr>
            <w:tcW w:type="dxa" w:w="2015"/>
            <w:tcMar>
              <w:top w:w="65" w:type="dxa"/>
              <w:start w:w="70" w:type="dxa"/>
              <w:bottom w:w="65" w:type="dxa"/>
              <w:end w:w="70" w:type="dxa"/>
            </w:tcMar>
            <w:vAlign w:val="top"/>
            <w:shd w:fill="F7F9FA"/>
          </w:tcPr>
          <w:p>
            <w:pPr>
              <w:spacing w:after="0"/>
            </w:pPr>
            <w:r>
              <w:rPr>
                <w:sz w:val="14"/>
              </w:rPr>
              <w:t>Individual clinicians and trainees</w:t>
            </w:r>
          </w:p>
        </w:tc>
        <w:tc>
          <w:tcPr>
            <w:tcW w:type="dxa" w:w="4320"/>
            <w:tcMar>
              <w:top w:w="65" w:type="dxa"/>
              <w:start w:w="70" w:type="dxa"/>
              <w:bottom w:w="65" w:type="dxa"/>
              <w:end w:w="70" w:type="dxa"/>
            </w:tcMar>
            <w:vAlign w:val="top"/>
            <w:shd w:fill="F7F9FA"/>
          </w:tcPr>
          <w:p>
            <w:pPr>
              <w:spacing w:after="0"/>
            </w:pPr>
            <w:r>
              <w:rPr>
                <w:sz w:val="14"/>
              </w:rPr>
              <w:t>Saved de-identified workspaces, longitudinal trends, favorites, exports, note/referral drafts, approved parent materials, CME</w:t>
            </w:r>
          </w:p>
        </w:tc>
        <w:tc>
          <w:tcPr>
            <w:tcW w:type="dxa" w:w="2088"/>
            <w:tcMar>
              <w:top w:w="65" w:type="dxa"/>
              <w:start w:w="70" w:type="dxa"/>
              <w:bottom w:w="65" w:type="dxa"/>
              <w:end w:w="70" w:type="dxa"/>
            </w:tcMar>
            <w:vAlign w:val="top"/>
            <w:shd w:fill="F7F9FA"/>
          </w:tcPr>
          <w:p>
            <w:pPr>
              <w:spacing w:after="0"/>
            </w:pPr>
            <w:r>
              <w:rPr>
                <w:sz w:val="14"/>
              </w:rPr>
              <w:t>Low-friction subscription and product feedback.</w:t>
            </w:r>
          </w:p>
        </w:tc>
      </w:tr>
      <w:tr>
        <w:trPr>
          <w:cantSplit/>
        </w:trPr>
        <w:tc>
          <w:tcPr>
            <w:tcW w:type="dxa" w:w="1655"/>
            <w:tcMar>
              <w:top w:w="65" w:type="dxa"/>
              <w:start w:w="70" w:type="dxa"/>
              <w:bottom w:w="65" w:type="dxa"/>
              <w:end w:w="70" w:type="dxa"/>
            </w:tcMar>
            <w:vAlign w:val="top"/>
          </w:tcPr>
          <w:p>
            <w:pPr>
              <w:spacing w:after="0"/>
            </w:pPr>
            <w:r>
              <w:rPr>
                <w:sz w:val="14"/>
              </w:rPr>
              <w:t>Practice</w:t>
            </w:r>
          </w:p>
        </w:tc>
        <w:tc>
          <w:tcPr>
            <w:tcW w:type="dxa" w:w="2015"/>
            <w:tcMar>
              <w:top w:w="65" w:type="dxa"/>
              <w:start w:w="70" w:type="dxa"/>
              <w:bottom w:w="65" w:type="dxa"/>
              <w:end w:w="70" w:type="dxa"/>
            </w:tcMar>
            <w:vAlign w:val="top"/>
          </w:tcPr>
          <w:p>
            <w:pPr>
              <w:spacing w:after="0"/>
            </w:pPr>
            <w:r>
              <w:rPr>
                <w:sz w:val="14"/>
              </w:rPr>
              <w:t>Pediatric groups and urgent care</w:t>
            </w:r>
          </w:p>
        </w:tc>
        <w:tc>
          <w:tcPr>
            <w:tcW w:type="dxa" w:w="4320"/>
            <w:tcMar>
              <w:top w:w="65" w:type="dxa"/>
              <w:start w:w="70" w:type="dxa"/>
              <w:bottom w:w="65" w:type="dxa"/>
              <w:end w:w="70" w:type="dxa"/>
            </w:tcMar>
            <w:vAlign w:val="top"/>
          </w:tcPr>
          <w:p>
            <w:pPr>
              <w:spacing w:after="0"/>
            </w:pPr>
            <w:r>
              <w:rPr>
                <w:sz w:val="14"/>
              </w:rPr>
              <w:t>Team workspaces, shared templates, local ranges, pathway governance, usage and quality analytics</w:t>
            </w:r>
          </w:p>
        </w:tc>
        <w:tc>
          <w:tcPr>
            <w:tcW w:type="dxa" w:w="2088"/>
            <w:tcMar>
              <w:top w:w="65" w:type="dxa"/>
              <w:start w:w="70" w:type="dxa"/>
              <w:bottom w:w="65" w:type="dxa"/>
              <w:end w:w="70" w:type="dxa"/>
            </w:tcMar>
            <w:vAlign w:val="top"/>
          </w:tcPr>
          <w:p>
            <w:pPr>
              <w:spacing w:after="0"/>
            </w:pPr>
            <w:r>
              <w:rPr>
                <w:sz w:val="14"/>
              </w:rPr>
              <w:t>First scalable paid segment with simpler procurement than hospitals.</w:t>
            </w:r>
          </w:p>
        </w:tc>
      </w:tr>
      <w:tr>
        <w:trPr>
          <w:cantSplit/>
        </w:trPr>
        <w:tc>
          <w:tcPr>
            <w:tcW w:type="dxa" w:w="1655"/>
            <w:tcMar>
              <w:top w:w="65" w:type="dxa"/>
              <w:start w:w="70" w:type="dxa"/>
              <w:bottom w:w="65" w:type="dxa"/>
              <w:end w:w="70" w:type="dxa"/>
            </w:tcMar>
            <w:vAlign w:val="top"/>
            <w:shd w:fill="F7F9FA"/>
          </w:tcPr>
          <w:p>
            <w:pPr>
              <w:spacing w:after="0"/>
            </w:pPr>
            <w:r>
              <w:rPr>
                <w:sz w:val="14"/>
              </w:rPr>
              <w:t>Enterprise</w:t>
            </w:r>
          </w:p>
        </w:tc>
        <w:tc>
          <w:tcPr>
            <w:tcW w:type="dxa" w:w="2015"/>
            <w:tcMar>
              <w:top w:w="65" w:type="dxa"/>
              <w:start w:w="70" w:type="dxa"/>
              <w:bottom w:w="65" w:type="dxa"/>
              <w:end w:w="70" w:type="dxa"/>
            </w:tcMar>
            <w:vAlign w:val="top"/>
            <w:shd w:fill="F7F9FA"/>
          </w:tcPr>
          <w:p>
            <w:pPr>
              <w:spacing w:after="0"/>
            </w:pPr>
            <w:r>
              <w:rPr>
                <w:sz w:val="14"/>
              </w:rPr>
              <w:t>Children's hospitals and health systems</w:t>
            </w:r>
          </w:p>
        </w:tc>
        <w:tc>
          <w:tcPr>
            <w:tcW w:type="dxa" w:w="4320"/>
            <w:tcMar>
              <w:top w:w="65" w:type="dxa"/>
              <w:start w:w="70" w:type="dxa"/>
              <w:bottom w:w="65" w:type="dxa"/>
              <w:end w:w="70" w:type="dxa"/>
            </w:tcMar>
            <w:vAlign w:val="top"/>
            <w:shd w:fill="F7F9FA"/>
          </w:tcPr>
          <w:p>
            <w:pPr>
              <w:spacing w:after="0"/>
            </w:pPr>
            <w:r>
              <w:rPr>
                <w:sz w:val="14"/>
              </w:rPr>
              <w:t>SMART-on-FHIR, SSO/RBAC, CDS Hooks, tenant configuration, audit, private deployment, SLA, validation support</w:t>
            </w:r>
          </w:p>
        </w:tc>
        <w:tc>
          <w:tcPr>
            <w:tcW w:type="dxa" w:w="2088"/>
            <w:tcMar>
              <w:top w:w="65" w:type="dxa"/>
              <w:start w:w="70" w:type="dxa"/>
              <w:bottom w:w="65" w:type="dxa"/>
              <w:end w:w="70" w:type="dxa"/>
            </w:tcMar>
            <w:vAlign w:val="top"/>
            <w:shd w:fill="F7F9FA"/>
          </w:tcPr>
          <w:p>
            <w:pPr>
              <w:spacing w:after="0"/>
            </w:pPr>
            <w:r>
              <w:rPr>
                <w:sz w:val="14"/>
              </w:rPr>
              <w:t>Primary revenue and strategic credibility.</w:t>
            </w:r>
          </w:p>
        </w:tc>
      </w:tr>
      <w:tr>
        <w:trPr>
          <w:cantSplit/>
        </w:trPr>
        <w:tc>
          <w:tcPr>
            <w:tcW w:type="dxa" w:w="1655"/>
            <w:tcMar>
              <w:top w:w="65" w:type="dxa"/>
              <w:start w:w="70" w:type="dxa"/>
              <w:bottom w:w="65" w:type="dxa"/>
              <w:end w:w="70" w:type="dxa"/>
            </w:tcMar>
            <w:vAlign w:val="top"/>
          </w:tcPr>
          <w:p>
            <w:pPr>
              <w:spacing w:after="0"/>
            </w:pPr>
            <w:r>
              <w:rPr>
                <w:sz w:val="14"/>
              </w:rPr>
              <w:t>Platform / API</w:t>
            </w:r>
          </w:p>
        </w:tc>
        <w:tc>
          <w:tcPr>
            <w:tcW w:type="dxa" w:w="2015"/>
            <w:tcMar>
              <w:top w:w="65" w:type="dxa"/>
              <w:start w:w="70" w:type="dxa"/>
              <w:bottom w:w="65" w:type="dxa"/>
              <w:end w:w="70" w:type="dxa"/>
            </w:tcMar>
            <w:vAlign w:val="top"/>
          </w:tcPr>
          <w:p>
            <w:pPr>
              <w:spacing w:after="0"/>
            </w:pPr>
            <w:r>
              <w:rPr>
                <w:sz w:val="14"/>
              </w:rPr>
              <w:t>EHR vendors, publishers, labs, digital-health partners</w:t>
            </w:r>
          </w:p>
        </w:tc>
        <w:tc>
          <w:tcPr>
            <w:tcW w:type="dxa" w:w="4320"/>
            <w:tcMar>
              <w:top w:w="65" w:type="dxa"/>
              <w:start w:w="70" w:type="dxa"/>
              <w:bottom w:w="65" w:type="dxa"/>
              <w:end w:w="70" w:type="dxa"/>
            </w:tcMar>
            <w:vAlign w:val="top"/>
          </w:tcPr>
          <w:p>
            <w:pPr>
              <w:spacing w:after="0"/>
            </w:pPr>
            <w:r>
              <w:rPr>
                <w:sz w:val="14"/>
              </w:rPr>
              <w:t>Versioned executable modules, FHIR artifacts, SDK/API, white-label UI, evidence registry</w:t>
            </w:r>
          </w:p>
        </w:tc>
        <w:tc>
          <w:tcPr>
            <w:tcW w:type="dxa" w:w="2088"/>
            <w:tcMar>
              <w:top w:w="65" w:type="dxa"/>
              <w:start w:w="70" w:type="dxa"/>
              <w:bottom w:w="65" w:type="dxa"/>
              <w:end w:w="70" w:type="dxa"/>
            </w:tcMar>
            <w:vAlign w:val="top"/>
          </w:tcPr>
          <w:p>
            <w:pPr>
              <w:spacing w:after="0"/>
            </w:pPr>
            <w:r>
              <w:rPr>
                <w:sz w:val="14"/>
              </w:rPr>
              <w:t>Licensing and acquisition leverage.</w:t>
            </w:r>
          </w:p>
        </w:tc>
      </w:tr>
      <w:tr>
        <w:trPr>
          <w:cantSplit/>
        </w:trPr>
        <w:tc>
          <w:tcPr>
            <w:tcW w:type="dxa" w:w="1655"/>
            <w:tcMar>
              <w:top w:w="65" w:type="dxa"/>
              <w:start w:w="70" w:type="dxa"/>
              <w:bottom w:w="65" w:type="dxa"/>
              <w:end w:w="70" w:type="dxa"/>
            </w:tcMar>
            <w:vAlign w:val="top"/>
            <w:shd w:fill="F7F9FA"/>
          </w:tcPr>
          <w:p>
            <w:pPr>
              <w:spacing w:after="0"/>
            </w:pPr>
            <w:r>
              <w:rPr>
                <w:sz w:val="14"/>
              </w:rPr>
              <w:t>Evidence Foundry Services</w:t>
            </w:r>
          </w:p>
        </w:tc>
        <w:tc>
          <w:tcPr>
            <w:tcW w:type="dxa" w:w="2015"/>
            <w:tcMar>
              <w:top w:w="65" w:type="dxa"/>
              <w:start w:w="70" w:type="dxa"/>
              <w:bottom w:w="65" w:type="dxa"/>
              <w:end w:w="70" w:type="dxa"/>
            </w:tcMar>
            <w:vAlign w:val="top"/>
            <w:shd w:fill="F7F9FA"/>
          </w:tcPr>
          <w:p>
            <w:pPr>
              <w:spacing w:after="0"/>
            </w:pPr>
            <w:r>
              <w:rPr>
                <w:sz w:val="14"/>
              </w:rPr>
              <w:t>Societies, publishers, health systems, research partners</w:t>
            </w:r>
          </w:p>
        </w:tc>
        <w:tc>
          <w:tcPr>
            <w:tcW w:type="dxa" w:w="4320"/>
            <w:tcMar>
              <w:top w:w="65" w:type="dxa"/>
              <w:start w:w="70" w:type="dxa"/>
              <w:bottom w:w="65" w:type="dxa"/>
              <w:end w:w="70" w:type="dxa"/>
            </w:tcMar>
            <w:vAlign w:val="top"/>
            <w:shd w:fill="F7F9FA"/>
          </w:tcPr>
          <w:p>
            <w:pPr>
              <w:spacing w:after="0"/>
            </w:pPr>
            <w:r>
              <w:rPr>
                <w:sz w:val="14"/>
              </w:rPr>
              <w:t>Guideline digitization, rule authoring, validation harness, surveillance, implementation research</w:t>
            </w:r>
          </w:p>
        </w:tc>
        <w:tc>
          <w:tcPr>
            <w:tcW w:type="dxa" w:w="2088"/>
            <w:tcMar>
              <w:top w:w="65" w:type="dxa"/>
              <w:start w:w="70" w:type="dxa"/>
              <w:bottom w:w="65" w:type="dxa"/>
              <w:end w:w="70" w:type="dxa"/>
            </w:tcMar>
            <w:vAlign w:val="top"/>
            <w:shd w:fill="F7F9FA"/>
          </w:tcPr>
          <w:p>
            <w:pPr>
              <w:spacing w:after="0"/>
            </w:pPr>
            <w:r>
              <w:rPr>
                <w:sz w:val="14"/>
              </w:rPr>
              <w:t>Services revenue and pipeline for reusable modules.</w:t>
            </w:r>
          </w:p>
        </w:tc>
      </w:tr>
    </w:tbl>
    <w:p>
      <w:pPr>
        <w:spacing w:after="20"/>
      </w:pPr>
    </w:p>
    <w:p>
      <w:pPr>
        <w:pStyle w:val="Heading2"/>
      </w:pPr>
      <w:r>
        <w:t>4.2 The multi-tool suite should expand by shared workflow</w:t>
      </w:r>
    </w:p>
    <w:p>
      <w:r>
        <w:t>The expansion rule is simple: add modules that reuse the same patient data, local ranges, clinical reasoning sequence, and referral workflow. Do not add calculators merely because they are easy to code. MDCalc itself describes evidence quality, bedside utility, and condition frequency as selection criteria, and exposes when to use, caveats, next steps, formula, and references. That is a useful product benchmark, though its usage figures are vendor claims. [M2]</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23E4A"/>
            <w:tcMar>
              <w:top w:w="75" w:type="dxa"/>
              <w:start w:w="70" w:type="dxa"/>
              <w:bottom w:w="75" w:type="dxa"/>
              <w:end w:w="70" w:type="dxa"/>
            </w:tcMar>
            <w:vAlign w:val="center"/>
          </w:tcPr>
          <w:p>
            <w:r>
              <w:rPr>
                <w:b/>
                <w:color w:val="FFFFFF"/>
                <w:sz w:val="14"/>
              </w:rPr>
              <w:t>Wave</w:t>
            </w:r>
          </w:p>
        </w:tc>
        <w:tc>
          <w:tcPr>
            <w:tcW w:type="dxa" w:w="4608"/>
            <w:shd w:fill="123E4A"/>
            <w:tcMar>
              <w:top w:w="75" w:type="dxa"/>
              <w:start w:w="70" w:type="dxa"/>
              <w:bottom w:w="75" w:type="dxa"/>
              <w:end w:w="70" w:type="dxa"/>
            </w:tcMar>
            <w:vAlign w:val="center"/>
          </w:tcPr>
          <w:p>
            <w:r>
              <w:rPr>
                <w:b/>
                <w:color w:val="FFFFFF"/>
                <w:sz w:val="14"/>
              </w:rPr>
              <w:t>Modules</w:t>
            </w:r>
          </w:p>
        </w:tc>
        <w:tc>
          <w:tcPr>
            <w:tcW w:type="dxa" w:w="3528"/>
            <w:shd w:fill="123E4A"/>
            <w:tcMar>
              <w:top w:w="75" w:type="dxa"/>
              <w:start w:w="70" w:type="dxa"/>
              <w:bottom w:w="75" w:type="dxa"/>
              <w:end w:w="70" w:type="dxa"/>
            </w:tcMar>
            <w:vAlign w:val="center"/>
          </w:tcPr>
          <w:p>
            <w:r>
              <w:rPr>
                <w:b/>
                <w:color w:val="FFFFFF"/>
                <w:sz w:val="14"/>
              </w:rPr>
              <w:t>Why this wave</w:t>
            </w:r>
          </w:p>
        </w:tc>
      </w:tr>
      <w:tr>
        <w:trPr>
          <w:cantSplit/>
        </w:trPr>
        <w:tc>
          <w:tcPr>
            <w:tcW w:type="dxa" w:w="1944"/>
            <w:tcMar>
              <w:top w:w="65" w:type="dxa"/>
              <w:start w:w="70" w:type="dxa"/>
              <w:bottom w:w="65" w:type="dxa"/>
              <w:end w:w="70" w:type="dxa"/>
            </w:tcMar>
            <w:vAlign w:val="top"/>
          </w:tcPr>
          <w:p>
            <w:pPr>
              <w:spacing w:after="0"/>
            </w:pPr>
            <w:r>
              <w:rPr>
                <w:sz w:val="14"/>
              </w:rPr>
              <w:t>Wave 0 - platform hardening</w:t>
            </w:r>
          </w:p>
        </w:tc>
        <w:tc>
          <w:tcPr>
            <w:tcW w:type="dxa" w:w="4608"/>
            <w:tcMar>
              <w:top w:w="65" w:type="dxa"/>
              <w:start w:w="70" w:type="dxa"/>
              <w:bottom w:w="65" w:type="dxa"/>
              <w:end w:w="70" w:type="dxa"/>
            </w:tcMar>
            <w:vAlign w:val="top"/>
          </w:tcPr>
          <w:p>
            <w:pPr>
              <w:spacing w:after="0"/>
            </w:pPr>
            <w:r>
              <w:rPr>
                <w:sz w:val="14"/>
              </w:rPr>
              <w:t>Tri-state data; local range registry; evidence passages; signed KB; clinical review portal; validation corpus</w:t>
            </w:r>
          </w:p>
        </w:tc>
        <w:tc>
          <w:tcPr>
            <w:tcW w:type="dxa" w:w="3528"/>
            <w:tcMar>
              <w:top w:w="65" w:type="dxa"/>
              <w:start w:w="70" w:type="dxa"/>
              <w:bottom w:w="65" w:type="dxa"/>
              <w:end w:w="70" w:type="dxa"/>
            </w:tcMar>
            <w:vAlign w:val="top"/>
          </w:tcPr>
          <w:p>
            <w:pPr>
              <w:spacing w:after="0"/>
            </w:pPr>
            <w:r>
              <w:rPr>
                <w:sz w:val="14"/>
              </w:rPr>
              <w:t>Required for safety, scale, and defensibility before broader clinical logic.</w:t>
            </w:r>
          </w:p>
        </w:tc>
      </w:tr>
      <w:tr>
        <w:trPr>
          <w:cantSplit/>
        </w:trPr>
        <w:tc>
          <w:tcPr>
            <w:tcW w:type="dxa" w:w="1944"/>
            <w:tcMar>
              <w:top w:w="65" w:type="dxa"/>
              <w:start w:w="70" w:type="dxa"/>
              <w:bottom w:w="65" w:type="dxa"/>
              <w:end w:w="70" w:type="dxa"/>
            </w:tcMar>
            <w:vAlign w:val="top"/>
            <w:shd w:fill="F7F9FA"/>
          </w:tcPr>
          <w:p>
            <w:pPr>
              <w:spacing w:after="0"/>
            </w:pPr>
            <w:r>
              <w:rPr>
                <w:sz w:val="14"/>
              </w:rPr>
              <w:t>Wave 1 - complete CBC suite</w:t>
            </w:r>
          </w:p>
        </w:tc>
        <w:tc>
          <w:tcPr>
            <w:tcW w:type="dxa" w:w="4608"/>
            <w:tcMar>
              <w:top w:w="65" w:type="dxa"/>
              <w:start w:w="70" w:type="dxa"/>
              <w:bottom w:w="65" w:type="dxa"/>
              <w:end w:w="70" w:type="dxa"/>
            </w:tcMar>
            <w:vAlign w:val="top"/>
            <w:shd w:fill="F7F9FA"/>
          </w:tcPr>
          <w:p>
            <w:pPr>
              <w:spacing w:after="0"/>
            </w:pPr>
            <w:r>
              <w:rPr>
                <w:sz w:val="14"/>
              </w:rPr>
              <w:t>Anemia; neutropenia; leukocytosis/lymphocytosis; eosinophilia; thrombocytopenia/thrombocytosis; pancytopenia; abnormal smear</w:t>
            </w:r>
          </w:p>
        </w:tc>
        <w:tc>
          <w:tcPr>
            <w:tcW w:type="dxa" w:w="3528"/>
            <w:tcMar>
              <w:top w:w="65" w:type="dxa"/>
              <w:start w:w="70" w:type="dxa"/>
              <w:bottom w:w="65" w:type="dxa"/>
              <w:end w:w="70" w:type="dxa"/>
            </w:tcMar>
            <w:vAlign w:val="top"/>
            <w:shd w:fill="F7F9FA"/>
          </w:tcPr>
          <w:p>
            <w:pPr>
              <w:spacing w:after="0"/>
            </w:pPr>
            <w:r>
              <w:rPr>
                <w:sz w:val="14"/>
              </w:rPr>
              <w:t>High data reuse and clinical frequency. Creates a coherent product rather than a collection of unrelated tools.</w:t>
            </w:r>
          </w:p>
        </w:tc>
      </w:tr>
      <w:tr>
        <w:trPr>
          <w:cantSplit/>
        </w:trPr>
        <w:tc>
          <w:tcPr>
            <w:tcW w:type="dxa" w:w="1944"/>
            <w:tcMar>
              <w:top w:w="65" w:type="dxa"/>
              <w:start w:w="70" w:type="dxa"/>
              <w:bottom w:w="65" w:type="dxa"/>
              <w:end w:w="70" w:type="dxa"/>
            </w:tcMar>
            <w:vAlign w:val="top"/>
          </w:tcPr>
          <w:p>
            <w:pPr>
              <w:spacing w:after="0"/>
            </w:pPr>
            <w:r>
              <w:rPr>
                <w:sz w:val="14"/>
              </w:rPr>
              <w:t>Wave 2 - longitudinal and referral pathways</w:t>
            </w:r>
          </w:p>
        </w:tc>
        <w:tc>
          <w:tcPr>
            <w:tcW w:type="dxa" w:w="4608"/>
            <w:tcMar>
              <w:top w:w="65" w:type="dxa"/>
              <w:start w:w="70" w:type="dxa"/>
              <w:bottom w:w="65" w:type="dxa"/>
              <w:end w:w="70" w:type="dxa"/>
            </w:tcMar>
            <w:vAlign w:val="top"/>
          </w:tcPr>
          <w:p>
            <w:pPr>
              <w:spacing w:after="0"/>
            </w:pPr>
            <w:r>
              <w:rPr>
                <w:sz w:val="14"/>
              </w:rPr>
              <w:t>Iron deficiency response; chronic blood loss; heavy menstrual bleeding; lead; hemoglobinopathy/newborn screen; hemolysis follow-up; referral completeness</w:t>
            </w:r>
          </w:p>
        </w:tc>
        <w:tc>
          <w:tcPr>
            <w:tcW w:type="dxa" w:w="3528"/>
            <w:tcMar>
              <w:top w:w="65" w:type="dxa"/>
              <w:start w:w="70" w:type="dxa"/>
              <w:bottom w:w="65" w:type="dxa"/>
              <w:end w:w="70" w:type="dxa"/>
            </w:tcMar>
            <w:vAlign w:val="top"/>
          </w:tcPr>
          <w:p>
            <w:pPr>
              <w:spacing w:after="0"/>
            </w:pPr>
            <w:r>
              <w:rPr>
                <w:sz w:val="14"/>
              </w:rPr>
              <w:t>Adds recurring use, follow-up value, and measurable process outcomes.</w:t>
            </w:r>
          </w:p>
        </w:tc>
      </w:tr>
      <w:tr>
        <w:trPr>
          <w:cantSplit/>
        </w:trPr>
        <w:tc>
          <w:tcPr>
            <w:tcW w:type="dxa" w:w="1944"/>
            <w:tcMar>
              <w:top w:w="65" w:type="dxa"/>
              <w:start w:w="70" w:type="dxa"/>
              <w:bottom w:w="65" w:type="dxa"/>
              <w:end w:w="70" w:type="dxa"/>
            </w:tcMar>
            <w:vAlign w:val="top"/>
            <w:shd w:fill="F7F9FA"/>
          </w:tcPr>
          <w:p>
            <w:pPr>
              <w:spacing w:after="0"/>
            </w:pPr>
            <w:r>
              <w:rPr>
                <w:sz w:val="14"/>
              </w:rPr>
              <w:t>Wave 3 - adjacent pediatric laboratory suite</w:t>
            </w:r>
          </w:p>
        </w:tc>
        <w:tc>
          <w:tcPr>
            <w:tcW w:type="dxa" w:w="4608"/>
            <w:tcMar>
              <w:top w:w="65" w:type="dxa"/>
              <w:start w:w="70" w:type="dxa"/>
              <w:bottom w:w="65" w:type="dxa"/>
              <w:end w:w="70" w:type="dxa"/>
            </w:tcMar>
            <w:vAlign w:val="top"/>
            <w:shd w:fill="F7F9FA"/>
          </w:tcPr>
          <w:p>
            <w:pPr>
              <w:spacing w:after="0"/>
            </w:pPr>
            <w:r>
              <w:rPr>
                <w:sz w:val="14"/>
              </w:rPr>
              <w:t>Renal/eGFR; liver chemistries; thyroid; inflammatory markers; selected coagulation pathways</w:t>
            </w:r>
          </w:p>
        </w:tc>
        <w:tc>
          <w:tcPr>
            <w:tcW w:type="dxa" w:w="3528"/>
            <w:tcMar>
              <w:top w:w="65" w:type="dxa"/>
              <w:start w:w="70" w:type="dxa"/>
              <w:bottom w:w="65" w:type="dxa"/>
              <w:end w:w="70" w:type="dxa"/>
            </w:tcMar>
            <w:vAlign w:val="top"/>
            <w:shd w:fill="F7F9FA"/>
          </w:tcPr>
          <w:p>
            <w:pPr>
              <w:spacing w:after="0"/>
            </w:pPr>
            <w:r>
              <w:rPr>
                <w:sz w:val="14"/>
              </w:rPr>
              <w:t>Extends the same age/range/evidence competency after CBC validation.</w:t>
            </w:r>
          </w:p>
        </w:tc>
      </w:tr>
      <w:tr>
        <w:trPr>
          <w:cantSplit/>
        </w:trPr>
        <w:tc>
          <w:tcPr>
            <w:tcW w:type="dxa" w:w="1944"/>
            <w:tcMar>
              <w:top w:w="65" w:type="dxa"/>
              <w:start w:w="70" w:type="dxa"/>
              <w:bottom w:w="65" w:type="dxa"/>
              <w:end w:w="70" w:type="dxa"/>
            </w:tcMar>
            <w:vAlign w:val="top"/>
          </w:tcPr>
          <w:p>
            <w:pPr>
              <w:spacing w:after="0"/>
            </w:pPr>
            <w:r>
              <w:rPr>
                <w:sz w:val="14"/>
              </w:rPr>
              <w:t>Wave 4 - advanced research options</w:t>
            </w:r>
          </w:p>
        </w:tc>
        <w:tc>
          <w:tcPr>
            <w:tcW w:type="dxa" w:w="4608"/>
            <w:tcMar>
              <w:top w:w="65" w:type="dxa"/>
              <w:start w:w="70" w:type="dxa"/>
              <w:bottom w:w="65" w:type="dxa"/>
              <w:end w:w="70" w:type="dxa"/>
            </w:tcMar>
            <w:vAlign w:val="top"/>
          </w:tcPr>
          <w:p>
            <w:pPr>
              <w:spacing w:after="0"/>
            </w:pPr>
            <w:r>
              <w:rPr>
                <w:sz w:val="14"/>
              </w:rPr>
              <w:t>Smear image assistance; genetics/genomics; individualized trajectory models</w:t>
            </w:r>
          </w:p>
        </w:tc>
        <w:tc>
          <w:tcPr>
            <w:tcW w:type="dxa" w:w="3528"/>
            <w:tcMar>
              <w:top w:w="65" w:type="dxa"/>
              <w:start w:w="70" w:type="dxa"/>
              <w:bottom w:w="65" w:type="dxa"/>
              <w:end w:w="70" w:type="dxa"/>
            </w:tcMar>
            <w:vAlign w:val="top"/>
          </w:tcPr>
          <w:p>
            <w:pPr>
              <w:spacing w:after="0"/>
            </w:pPr>
            <w:r>
              <w:rPr>
                <w:sz w:val="14"/>
              </w:rPr>
              <w:t>Potentially differentiating, but requires new datasets, evaluation, and likely greater regulatory burden.</w:t>
            </w:r>
          </w:p>
        </w:tc>
      </w:tr>
    </w:tbl>
    <w:p>
      <w:pPr>
        <w:spacing w:after="20"/>
      </w:pPr>
    </w:p>
    <w:p>
      <w:pPr>
        <w:pStyle w:val="Heading1"/>
      </w:pPr>
      <w:r>
        <w:t>5. Prioritized functionality and value adds</w:t>
      </w:r>
    </w:p>
    <w:p>
      <w:r>
        <w:t>Priority reflects expected clinician value, buyer value, reuse across modules, evidence maturity, implementation effort, and regulatory risk. The 0-100 scores are directional planning scores, not empirical measurements.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792"/>
            <w:shd w:fill="123E4A"/>
            <w:tcMar>
              <w:top w:w="75" w:type="dxa"/>
              <w:start w:w="70" w:type="dxa"/>
              <w:bottom w:w="75" w:type="dxa"/>
              <w:end w:w="70" w:type="dxa"/>
            </w:tcMar>
            <w:vAlign w:val="center"/>
          </w:tcPr>
          <w:p>
            <w:r>
              <w:rPr>
                <w:b/>
                <w:color w:val="FFFFFF"/>
                <w:sz w:val="13"/>
              </w:rPr>
              <w:t>Priority</w:t>
            </w:r>
          </w:p>
        </w:tc>
        <w:tc>
          <w:tcPr>
            <w:tcW w:type="dxa" w:w="2088"/>
            <w:shd w:fill="123E4A"/>
            <w:tcMar>
              <w:top w:w="75" w:type="dxa"/>
              <w:start w:w="70" w:type="dxa"/>
              <w:bottom w:w="75" w:type="dxa"/>
              <w:end w:w="70" w:type="dxa"/>
            </w:tcMar>
            <w:vAlign w:val="center"/>
          </w:tcPr>
          <w:p>
            <w:r>
              <w:rPr>
                <w:b/>
                <w:color w:val="FFFFFF"/>
                <w:sz w:val="13"/>
              </w:rPr>
              <w:t>Capability</w:t>
            </w:r>
          </w:p>
        </w:tc>
        <w:tc>
          <w:tcPr>
            <w:tcW w:type="dxa" w:w="2520"/>
            <w:shd w:fill="123E4A"/>
            <w:tcMar>
              <w:top w:w="75" w:type="dxa"/>
              <w:start w:w="70" w:type="dxa"/>
              <w:bottom w:w="75" w:type="dxa"/>
              <w:end w:w="70" w:type="dxa"/>
            </w:tcMar>
            <w:vAlign w:val="center"/>
          </w:tcPr>
          <w:p>
            <w:r>
              <w:rPr>
                <w:b/>
                <w:color w:val="FFFFFF"/>
                <w:sz w:val="13"/>
              </w:rPr>
              <w:t>Provider value</w:t>
            </w:r>
          </w:p>
        </w:tc>
        <w:tc>
          <w:tcPr>
            <w:tcW w:type="dxa" w:w="2376"/>
            <w:shd w:fill="123E4A"/>
            <w:tcMar>
              <w:top w:w="75" w:type="dxa"/>
              <w:start w:w="70" w:type="dxa"/>
              <w:bottom w:w="75" w:type="dxa"/>
              <w:end w:w="70" w:type="dxa"/>
            </w:tcMar>
            <w:vAlign w:val="center"/>
          </w:tcPr>
          <w:p>
            <w:r>
              <w:rPr>
                <w:b/>
                <w:color w:val="FFFFFF"/>
                <w:sz w:val="13"/>
              </w:rPr>
              <w:t>Buyer / strategic value</w:t>
            </w:r>
          </w:p>
        </w:tc>
        <w:tc>
          <w:tcPr>
            <w:tcW w:type="dxa" w:w="2304"/>
            <w:shd w:fill="123E4A"/>
            <w:tcMar>
              <w:top w:w="75" w:type="dxa"/>
              <w:start w:w="70" w:type="dxa"/>
              <w:bottom w:w="75" w:type="dxa"/>
              <w:end w:w="70" w:type="dxa"/>
            </w:tcMar>
            <w:vAlign w:val="center"/>
          </w:tcPr>
          <w:p>
            <w:r>
              <w:rPr>
                <w:b/>
                <w:color w:val="FFFFFF"/>
                <w:sz w:val="13"/>
              </w:rPr>
              <w:t>Research or standards basis</w:t>
            </w:r>
          </w:p>
        </w:tc>
      </w:tr>
      <w:tr>
        <w:trPr>
          <w:cantSplit/>
        </w:trPr>
        <w:tc>
          <w:tcPr>
            <w:tcW w:type="dxa" w:w="792"/>
            <w:tcMar>
              <w:top w:w="65" w:type="dxa"/>
              <w:start w:w="70" w:type="dxa"/>
              <w:bottom w:w="65" w:type="dxa"/>
              <w:end w:w="70" w:type="dxa"/>
            </w:tcMar>
            <w:vAlign w:val="top"/>
          </w:tcPr>
          <w:p>
            <w:pPr>
              <w:spacing w:after="0"/>
            </w:pPr>
            <w:r>
              <w:rPr>
                <w:sz w:val="13"/>
              </w:rPr>
              <w:t>94</w:t>
            </w:r>
          </w:p>
        </w:tc>
        <w:tc>
          <w:tcPr>
            <w:tcW w:type="dxa" w:w="2088"/>
            <w:tcMar>
              <w:top w:w="65" w:type="dxa"/>
              <w:start w:w="70" w:type="dxa"/>
              <w:bottom w:w="65" w:type="dxa"/>
              <w:end w:w="70" w:type="dxa"/>
            </w:tcMar>
            <w:vAlign w:val="top"/>
          </w:tcPr>
          <w:p>
            <w:pPr>
              <w:spacing w:after="0"/>
            </w:pPr>
            <w:r>
              <w:rPr>
                <w:sz w:val="13"/>
              </w:rPr>
              <w:t>Local laboratory range and unit service</w:t>
            </w:r>
          </w:p>
        </w:tc>
        <w:tc>
          <w:tcPr>
            <w:tcW w:type="dxa" w:w="2520"/>
            <w:tcMar>
              <w:top w:w="65" w:type="dxa"/>
              <w:start w:w="70" w:type="dxa"/>
              <w:bottom w:w="65" w:type="dxa"/>
              <w:end w:w="70" w:type="dxa"/>
            </w:tcMar>
            <w:vAlign w:val="top"/>
          </w:tcPr>
          <w:p>
            <w:pPr>
              <w:spacing w:after="0"/>
            </w:pPr>
            <w:r>
              <w:rPr>
                <w:sz w:val="13"/>
              </w:rPr>
              <w:t>Prevents inappropriate use of generic cutoffs; shows site/method provenance</w:t>
            </w:r>
          </w:p>
        </w:tc>
        <w:tc>
          <w:tcPr>
            <w:tcW w:type="dxa" w:w="2376"/>
            <w:tcMar>
              <w:top w:w="65" w:type="dxa"/>
              <w:start w:w="70" w:type="dxa"/>
              <w:bottom w:w="65" w:type="dxa"/>
              <w:end w:w="70" w:type="dxa"/>
            </w:tcMar>
            <w:vAlign w:val="top"/>
          </w:tcPr>
          <w:p>
            <w:pPr>
              <w:spacing w:after="0"/>
            </w:pPr>
            <w:r>
              <w:rPr>
                <w:sz w:val="13"/>
              </w:rPr>
              <w:t>Enterprise configuration moat; analyzer/site validation asset</w:t>
            </w:r>
          </w:p>
        </w:tc>
        <w:tc>
          <w:tcPr>
            <w:tcW w:type="dxa" w:w="2304"/>
            <w:tcMar>
              <w:top w:w="65" w:type="dxa"/>
              <w:start w:w="70" w:type="dxa"/>
              <w:bottom w:w="65" w:type="dxa"/>
              <w:end w:w="70" w:type="dxa"/>
            </w:tcMar>
            <w:vAlign w:val="top"/>
          </w:tcPr>
          <w:p>
            <w:pPr>
              <w:spacing w:after="0"/>
            </w:pPr>
            <w:r>
              <w:rPr>
                <w:sz w:val="13"/>
              </w:rPr>
              <w:t>AAP/WHO age-aware ranges; local precedence in current app. [C1-C2]</w:t>
            </w:r>
          </w:p>
        </w:tc>
      </w:tr>
      <w:tr>
        <w:trPr>
          <w:cantSplit/>
        </w:trPr>
        <w:tc>
          <w:tcPr>
            <w:tcW w:type="dxa" w:w="792"/>
            <w:tcMar>
              <w:top w:w="65" w:type="dxa"/>
              <w:start w:w="70" w:type="dxa"/>
              <w:bottom w:w="65" w:type="dxa"/>
              <w:end w:w="70" w:type="dxa"/>
            </w:tcMar>
            <w:vAlign w:val="top"/>
            <w:shd w:fill="F7F9FA"/>
          </w:tcPr>
          <w:p>
            <w:pPr>
              <w:spacing w:after="0"/>
            </w:pPr>
            <w:r>
              <w:rPr>
                <w:sz w:val="13"/>
              </w:rPr>
              <w:t>93</w:t>
            </w:r>
          </w:p>
        </w:tc>
        <w:tc>
          <w:tcPr>
            <w:tcW w:type="dxa" w:w="2088"/>
            <w:tcMar>
              <w:top w:w="65" w:type="dxa"/>
              <w:start w:w="70" w:type="dxa"/>
              <w:bottom w:w="65" w:type="dxa"/>
              <w:end w:w="70" w:type="dxa"/>
            </w:tcMar>
            <w:vAlign w:val="top"/>
            <w:shd w:fill="F7F9FA"/>
          </w:tcPr>
          <w:p>
            <w:pPr>
              <w:spacing w:after="0"/>
            </w:pPr>
            <w:r>
              <w:rPr>
                <w:sz w:val="13"/>
              </w:rPr>
              <w:t>Full CBC and cytopenia suite</w:t>
            </w:r>
          </w:p>
        </w:tc>
        <w:tc>
          <w:tcPr>
            <w:tcW w:type="dxa" w:w="2520"/>
            <w:tcMar>
              <w:top w:w="65" w:type="dxa"/>
              <w:start w:w="70" w:type="dxa"/>
              <w:bottom w:w="65" w:type="dxa"/>
              <w:end w:w="70" w:type="dxa"/>
            </w:tcMar>
            <w:vAlign w:val="top"/>
            <w:shd w:fill="F7F9FA"/>
          </w:tcPr>
          <w:p>
            <w:pPr>
              <w:spacing w:after="0"/>
            </w:pPr>
            <w:r>
              <w:rPr>
                <w:sz w:val="13"/>
              </w:rPr>
              <w:t>One workflow for common pediatric CBC abnormalities</w:t>
            </w:r>
          </w:p>
        </w:tc>
        <w:tc>
          <w:tcPr>
            <w:tcW w:type="dxa" w:w="2376"/>
            <w:tcMar>
              <w:top w:w="65" w:type="dxa"/>
              <w:start w:w="70" w:type="dxa"/>
              <w:bottom w:w="65" w:type="dxa"/>
              <w:end w:w="70" w:type="dxa"/>
            </w:tcMar>
            <w:vAlign w:val="top"/>
            <w:shd w:fill="F7F9FA"/>
          </w:tcPr>
          <w:p>
            <w:pPr>
              <w:spacing w:after="0"/>
            </w:pPr>
            <w:r>
              <w:rPr>
                <w:sz w:val="13"/>
              </w:rPr>
              <w:t>Higher usage frequency and cross-module expansion</w:t>
            </w:r>
          </w:p>
        </w:tc>
        <w:tc>
          <w:tcPr>
            <w:tcW w:type="dxa" w:w="2304"/>
            <w:tcMar>
              <w:top w:w="65" w:type="dxa"/>
              <w:start w:w="70" w:type="dxa"/>
              <w:bottom w:w="65" w:type="dxa"/>
              <w:end w:w="70" w:type="dxa"/>
            </w:tcMar>
            <w:vAlign w:val="top"/>
            <w:shd w:fill="F7F9FA"/>
          </w:tcPr>
          <w:p>
            <w:pPr>
              <w:spacing w:after="0"/>
            </w:pPr>
            <w:r>
              <w:rPr>
                <w:sz w:val="13"/>
              </w:rPr>
              <w:t>Morphology, reticulocyte, smear, and multi-lineage framework. [C3]</w:t>
            </w:r>
          </w:p>
        </w:tc>
      </w:tr>
      <w:tr>
        <w:trPr>
          <w:cantSplit/>
        </w:trPr>
        <w:tc>
          <w:tcPr>
            <w:tcW w:type="dxa" w:w="792"/>
            <w:tcMar>
              <w:top w:w="65" w:type="dxa"/>
              <w:start w:w="70" w:type="dxa"/>
              <w:bottom w:w="65" w:type="dxa"/>
              <w:end w:w="70" w:type="dxa"/>
            </w:tcMar>
            <w:vAlign w:val="top"/>
          </w:tcPr>
          <w:p>
            <w:pPr>
              <w:spacing w:after="0"/>
            </w:pPr>
            <w:r>
              <w:rPr>
                <w:sz w:val="13"/>
              </w:rPr>
              <w:t>91</w:t>
            </w:r>
          </w:p>
        </w:tc>
        <w:tc>
          <w:tcPr>
            <w:tcW w:type="dxa" w:w="2088"/>
            <w:tcMar>
              <w:top w:w="65" w:type="dxa"/>
              <w:start w:w="70" w:type="dxa"/>
              <w:bottom w:w="65" w:type="dxa"/>
              <w:end w:w="70" w:type="dxa"/>
            </w:tcMar>
            <w:vAlign w:val="top"/>
          </w:tcPr>
          <w:p>
            <w:pPr>
              <w:spacing w:after="0"/>
            </w:pPr>
            <w:r>
              <w:rPr>
                <w:sz w:val="13"/>
              </w:rPr>
              <w:t>SMART-on-FHIR chart launch and autofill</w:t>
            </w:r>
          </w:p>
        </w:tc>
        <w:tc>
          <w:tcPr>
            <w:tcW w:type="dxa" w:w="2520"/>
            <w:tcMar>
              <w:top w:w="65" w:type="dxa"/>
              <w:start w:w="70" w:type="dxa"/>
              <w:bottom w:w="65" w:type="dxa"/>
              <w:end w:w="70" w:type="dxa"/>
            </w:tcMar>
            <w:vAlign w:val="top"/>
          </w:tcPr>
          <w:p>
            <w:pPr>
              <w:spacing w:after="0"/>
            </w:pPr>
            <w:r>
              <w:rPr>
                <w:sz w:val="13"/>
              </w:rPr>
              <w:t>Removes re-entry and identifies source/time of each value</w:t>
            </w:r>
          </w:p>
        </w:tc>
        <w:tc>
          <w:tcPr>
            <w:tcW w:type="dxa" w:w="2376"/>
            <w:tcMar>
              <w:top w:w="65" w:type="dxa"/>
              <w:start w:w="70" w:type="dxa"/>
              <w:bottom w:w="65" w:type="dxa"/>
              <w:end w:w="70" w:type="dxa"/>
            </w:tcMar>
            <w:vAlign w:val="top"/>
          </w:tcPr>
          <w:p>
            <w:pPr>
              <w:spacing w:after="0"/>
            </w:pPr>
            <w:r>
              <w:rPr>
                <w:sz w:val="13"/>
              </w:rPr>
              <w:t>Enterprise adoption, retention, and integration defensibility</w:t>
            </w:r>
          </w:p>
        </w:tc>
        <w:tc>
          <w:tcPr>
            <w:tcW w:type="dxa" w:w="2304"/>
            <w:tcMar>
              <w:top w:w="65" w:type="dxa"/>
              <w:start w:w="70" w:type="dxa"/>
              <w:bottom w:w="65" w:type="dxa"/>
              <w:end w:w="70" w:type="dxa"/>
            </w:tcMar>
            <w:vAlign w:val="top"/>
          </w:tcPr>
          <w:p>
            <w:pPr>
              <w:spacing w:after="0"/>
            </w:pPr>
            <w:r>
              <w:rPr>
                <w:sz w:val="13"/>
              </w:rPr>
              <w:t>SMART App Launch and FHIR; competitor EHR benchmark. [R3; M3]</w:t>
            </w:r>
          </w:p>
        </w:tc>
      </w:tr>
      <w:tr>
        <w:trPr>
          <w:cantSplit/>
        </w:trPr>
        <w:tc>
          <w:tcPr>
            <w:tcW w:type="dxa" w:w="792"/>
            <w:tcMar>
              <w:top w:w="65" w:type="dxa"/>
              <w:start w:w="70" w:type="dxa"/>
              <w:bottom w:w="65" w:type="dxa"/>
              <w:end w:w="70" w:type="dxa"/>
            </w:tcMar>
            <w:vAlign w:val="top"/>
            <w:shd w:fill="F7F9FA"/>
          </w:tcPr>
          <w:p>
            <w:pPr>
              <w:spacing w:after="0"/>
            </w:pPr>
            <w:r>
              <w:rPr>
                <w:sz w:val="13"/>
              </w:rPr>
              <w:t>90</w:t>
            </w:r>
          </w:p>
        </w:tc>
        <w:tc>
          <w:tcPr>
            <w:tcW w:type="dxa" w:w="2088"/>
            <w:tcMar>
              <w:top w:w="65" w:type="dxa"/>
              <w:start w:w="70" w:type="dxa"/>
              <w:bottom w:w="65" w:type="dxa"/>
              <w:end w:w="70" w:type="dxa"/>
            </w:tcMar>
            <w:vAlign w:val="top"/>
            <w:shd w:fill="F7F9FA"/>
          </w:tcPr>
          <w:p>
            <w:pPr>
              <w:spacing w:after="0"/>
            </w:pPr>
            <w:r>
              <w:rPr>
                <w:sz w:val="13"/>
              </w:rPr>
              <w:t>Tri-state adaptive questionnaire</w:t>
            </w:r>
          </w:p>
        </w:tc>
        <w:tc>
          <w:tcPr>
            <w:tcW w:type="dxa" w:w="2520"/>
            <w:tcMar>
              <w:top w:w="65" w:type="dxa"/>
              <w:start w:w="70" w:type="dxa"/>
              <w:bottom w:w="65" w:type="dxa"/>
              <w:end w:w="70" w:type="dxa"/>
            </w:tcMar>
            <w:vAlign w:val="top"/>
            <w:shd w:fill="F7F9FA"/>
          </w:tcPr>
          <w:p>
            <w:pPr>
              <w:spacing w:after="0"/>
            </w:pPr>
            <w:r>
              <w:rPr>
                <w:sz w:val="13"/>
              </w:rPr>
              <w:t>Distinguishes absent from unknown and asks only high-yield questions</w:t>
            </w:r>
          </w:p>
        </w:tc>
        <w:tc>
          <w:tcPr>
            <w:tcW w:type="dxa" w:w="2376"/>
            <w:tcMar>
              <w:top w:w="65" w:type="dxa"/>
              <w:start w:w="70" w:type="dxa"/>
              <w:bottom w:w="65" w:type="dxa"/>
              <w:end w:w="70" w:type="dxa"/>
            </w:tcMar>
            <w:vAlign w:val="top"/>
            <w:shd w:fill="F7F9FA"/>
          </w:tcPr>
          <w:p>
            <w:pPr>
              <w:spacing w:after="0"/>
            </w:pPr>
            <w:r>
              <w:rPr>
                <w:sz w:val="13"/>
              </w:rPr>
              <w:t>Safer data quality, shorter workflow, reusable FHIR forms</w:t>
            </w:r>
          </w:p>
        </w:tc>
        <w:tc>
          <w:tcPr>
            <w:tcW w:type="dxa" w:w="2304"/>
            <w:tcMar>
              <w:top w:w="65" w:type="dxa"/>
              <w:start w:w="70" w:type="dxa"/>
              <w:bottom w:w="65" w:type="dxa"/>
              <w:end w:w="70" w:type="dxa"/>
            </w:tcMar>
            <w:vAlign w:val="top"/>
            <w:shd w:fill="F7F9FA"/>
          </w:tcPr>
          <w:p>
            <w:pPr>
              <w:spacing w:after="0"/>
            </w:pPr>
            <w:r>
              <w:rPr>
                <w:sz w:val="13"/>
              </w:rPr>
              <w:t>FHIR Questionnaire; FDA asks for knowns/unknowns and input quality. [R1; R6]</w:t>
            </w:r>
          </w:p>
        </w:tc>
      </w:tr>
      <w:tr>
        <w:trPr>
          <w:cantSplit/>
        </w:trPr>
        <w:tc>
          <w:tcPr>
            <w:tcW w:type="dxa" w:w="792"/>
            <w:tcMar>
              <w:top w:w="65" w:type="dxa"/>
              <w:start w:w="70" w:type="dxa"/>
              <w:bottom w:w="65" w:type="dxa"/>
              <w:end w:w="70" w:type="dxa"/>
            </w:tcMar>
            <w:vAlign w:val="top"/>
          </w:tcPr>
          <w:p>
            <w:pPr>
              <w:spacing w:after="0"/>
            </w:pPr>
            <w:r>
              <w:rPr>
                <w:sz w:val="13"/>
              </w:rPr>
              <w:t>89</w:t>
            </w:r>
          </w:p>
        </w:tc>
        <w:tc>
          <w:tcPr>
            <w:tcW w:type="dxa" w:w="2088"/>
            <w:tcMar>
              <w:top w:w="65" w:type="dxa"/>
              <w:start w:w="70" w:type="dxa"/>
              <w:bottom w:w="65" w:type="dxa"/>
              <w:end w:w="70" w:type="dxa"/>
            </w:tcMar>
            <w:vAlign w:val="top"/>
          </w:tcPr>
          <w:p>
            <w:pPr>
              <w:spacing w:after="0"/>
            </w:pPr>
            <w:r>
              <w:rPr>
                <w:sz w:val="13"/>
              </w:rPr>
              <w:t>Longitudinal anemia and iron trajectory</w:t>
            </w:r>
          </w:p>
        </w:tc>
        <w:tc>
          <w:tcPr>
            <w:tcW w:type="dxa" w:w="2520"/>
            <w:tcMar>
              <w:top w:w="65" w:type="dxa"/>
              <w:start w:w="70" w:type="dxa"/>
              <w:bottom w:w="65" w:type="dxa"/>
              <w:end w:w="70" w:type="dxa"/>
            </w:tcMar>
            <w:vAlign w:val="top"/>
          </w:tcPr>
          <w:p>
            <w:pPr>
              <w:spacing w:after="0"/>
            </w:pPr>
            <w:r>
              <w:rPr>
                <w:sz w:val="13"/>
              </w:rPr>
              <w:t>Shows what changed, response, unresolved loss, and next follow-up</w:t>
            </w:r>
          </w:p>
        </w:tc>
        <w:tc>
          <w:tcPr>
            <w:tcW w:type="dxa" w:w="2376"/>
            <w:tcMar>
              <w:top w:w="65" w:type="dxa"/>
              <w:start w:w="70" w:type="dxa"/>
              <w:bottom w:w="65" w:type="dxa"/>
              <w:end w:w="70" w:type="dxa"/>
            </w:tcMar>
            <w:vAlign w:val="top"/>
          </w:tcPr>
          <w:p>
            <w:pPr>
              <w:spacing w:after="0"/>
            </w:pPr>
            <w:r>
              <w:rPr>
                <w:sz w:val="13"/>
              </w:rPr>
              <w:t>Recurring use and measurable care-process value</w:t>
            </w:r>
          </w:p>
        </w:tc>
        <w:tc>
          <w:tcPr>
            <w:tcW w:type="dxa" w:w="2304"/>
            <w:tcMar>
              <w:top w:w="65" w:type="dxa"/>
              <w:start w:w="70" w:type="dxa"/>
              <w:bottom w:w="65" w:type="dxa"/>
              <w:end w:w="70" w:type="dxa"/>
            </w:tcMar>
            <w:vAlign w:val="top"/>
          </w:tcPr>
          <w:p>
            <w:pPr>
              <w:spacing w:after="0"/>
            </w:pPr>
            <w:r>
              <w:rPr>
                <w:sz w:val="13"/>
              </w:rPr>
              <w:t>Current evidence supports follow-up context; study design needed for trajectory logic. [C1]</w:t>
            </w:r>
          </w:p>
        </w:tc>
      </w:tr>
      <w:tr>
        <w:trPr>
          <w:cantSplit/>
        </w:trPr>
        <w:tc>
          <w:tcPr>
            <w:tcW w:type="dxa" w:w="792"/>
            <w:tcMar>
              <w:top w:w="65" w:type="dxa"/>
              <w:start w:w="70" w:type="dxa"/>
              <w:bottom w:w="65" w:type="dxa"/>
              <w:end w:w="70" w:type="dxa"/>
            </w:tcMar>
            <w:vAlign w:val="top"/>
            <w:shd w:fill="F7F9FA"/>
          </w:tcPr>
          <w:p>
            <w:pPr>
              <w:spacing w:after="0"/>
            </w:pPr>
            <w:r>
              <w:rPr>
                <w:sz w:val="13"/>
              </w:rPr>
              <w:t>87</w:t>
            </w:r>
          </w:p>
        </w:tc>
        <w:tc>
          <w:tcPr>
            <w:tcW w:type="dxa" w:w="2088"/>
            <w:tcMar>
              <w:top w:w="65" w:type="dxa"/>
              <w:start w:w="70" w:type="dxa"/>
              <w:bottom w:w="65" w:type="dxa"/>
              <w:end w:w="70" w:type="dxa"/>
            </w:tcMar>
            <w:vAlign w:val="top"/>
            <w:shd w:fill="F7F9FA"/>
          </w:tcPr>
          <w:p>
            <w:pPr>
              <w:spacing w:after="0"/>
            </w:pPr>
            <w:r>
              <w:rPr>
                <w:sz w:val="13"/>
              </w:rPr>
              <w:t>Referral and workup completeness packet</w:t>
            </w:r>
          </w:p>
        </w:tc>
        <w:tc>
          <w:tcPr>
            <w:tcW w:type="dxa" w:w="2520"/>
            <w:tcMar>
              <w:top w:w="65" w:type="dxa"/>
              <w:start w:w="70" w:type="dxa"/>
              <w:bottom w:w="65" w:type="dxa"/>
              <w:end w:w="70" w:type="dxa"/>
            </w:tcMar>
            <w:vAlign w:val="top"/>
            <w:shd w:fill="F7F9FA"/>
          </w:tcPr>
          <w:p>
            <w:pPr>
              <w:spacing w:after="0"/>
            </w:pPr>
            <w:r>
              <w:rPr>
                <w:sz w:val="13"/>
              </w:rPr>
              <w:t>Generates structured hematology referral with trends and missing items</w:t>
            </w:r>
          </w:p>
        </w:tc>
        <w:tc>
          <w:tcPr>
            <w:tcW w:type="dxa" w:w="2376"/>
            <w:tcMar>
              <w:top w:w="65" w:type="dxa"/>
              <w:start w:w="70" w:type="dxa"/>
              <w:bottom w:w="65" w:type="dxa"/>
              <w:end w:w="70" w:type="dxa"/>
            </w:tcMar>
            <w:vAlign w:val="top"/>
            <w:shd w:fill="F7F9FA"/>
          </w:tcPr>
          <w:p>
            <w:pPr>
              <w:spacing w:after="0"/>
            </w:pPr>
            <w:r>
              <w:rPr>
                <w:sz w:val="13"/>
              </w:rPr>
              <w:t>Reduces specialist rework and supports network value</w:t>
            </w:r>
          </w:p>
        </w:tc>
        <w:tc>
          <w:tcPr>
            <w:tcW w:type="dxa" w:w="2304"/>
            <w:tcMar>
              <w:top w:w="65" w:type="dxa"/>
              <w:start w:w="70" w:type="dxa"/>
              <w:bottom w:w="65" w:type="dxa"/>
              <w:end w:w="70" w:type="dxa"/>
            </w:tcMar>
            <w:vAlign w:val="top"/>
            <w:shd w:fill="F7F9FA"/>
          </w:tcPr>
          <w:p>
            <w:pPr>
              <w:spacing w:after="0"/>
            </w:pPr>
            <w:r>
              <w:rPr>
                <w:sz w:val="13"/>
              </w:rPr>
              <w:t>Implementation hypothesis to validate with pediatric practices and hematologists.</w:t>
            </w:r>
          </w:p>
        </w:tc>
      </w:tr>
      <w:tr>
        <w:trPr>
          <w:cantSplit/>
        </w:trPr>
        <w:tc>
          <w:tcPr>
            <w:tcW w:type="dxa" w:w="792"/>
            <w:tcMar>
              <w:top w:w="65" w:type="dxa"/>
              <w:start w:w="70" w:type="dxa"/>
              <w:bottom w:w="65" w:type="dxa"/>
              <w:end w:w="70" w:type="dxa"/>
            </w:tcMar>
            <w:vAlign w:val="top"/>
          </w:tcPr>
          <w:p>
            <w:pPr>
              <w:spacing w:after="0"/>
            </w:pPr>
            <w:r>
              <w:rPr>
                <w:sz w:val="13"/>
              </w:rPr>
              <w:t>86</w:t>
            </w:r>
          </w:p>
        </w:tc>
        <w:tc>
          <w:tcPr>
            <w:tcW w:type="dxa" w:w="2088"/>
            <w:tcMar>
              <w:top w:w="65" w:type="dxa"/>
              <w:start w:w="70" w:type="dxa"/>
              <w:bottom w:w="65" w:type="dxa"/>
              <w:end w:w="70" w:type="dxa"/>
            </w:tcMar>
            <w:vAlign w:val="top"/>
          </w:tcPr>
          <w:p>
            <w:pPr>
              <w:spacing w:after="0"/>
            </w:pPr>
            <w:r>
              <w:rPr>
                <w:sz w:val="13"/>
              </w:rPr>
              <w:t>Exact source passage, evidence grade, and freshness badge</w:t>
            </w:r>
          </w:p>
        </w:tc>
        <w:tc>
          <w:tcPr>
            <w:tcW w:type="dxa" w:w="2520"/>
            <w:tcMar>
              <w:top w:w="65" w:type="dxa"/>
              <w:start w:w="70" w:type="dxa"/>
              <w:bottom w:w="65" w:type="dxa"/>
              <w:end w:w="70" w:type="dxa"/>
            </w:tcMar>
            <w:vAlign w:val="top"/>
          </w:tcPr>
          <w:p>
            <w:pPr>
              <w:spacing w:after="0"/>
            </w:pPr>
            <w:r>
              <w:rPr>
                <w:sz w:val="13"/>
              </w:rPr>
              <w:t>Faster independent review; exposes conflicts and expiry</w:t>
            </w:r>
          </w:p>
        </w:tc>
        <w:tc>
          <w:tcPr>
            <w:tcW w:type="dxa" w:w="2376"/>
            <w:tcMar>
              <w:top w:w="65" w:type="dxa"/>
              <w:start w:w="70" w:type="dxa"/>
              <w:bottom w:w="65" w:type="dxa"/>
              <w:end w:w="70" w:type="dxa"/>
            </w:tcMar>
            <w:vAlign w:val="top"/>
          </w:tcPr>
          <w:p>
            <w:pPr>
              <w:spacing w:after="0"/>
            </w:pPr>
            <w:r>
              <w:rPr>
                <w:sz w:val="13"/>
              </w:rPr>
              <w:t>Trust, regulatory posture, content moat</w:t>
            </w:r>
          </w:p>
        </w:tc>
        <w:tc>
          <w:tcPr>
            <w:tcW w:type="dxa" w:w="2304"/>
            <w:tcMar>
              <w:top w:w="65" w:type="dxa"/>
              <w:start w:w="70" w:type="dxa"/>
              <w:bottom w:w="65" w:type="dxa"/>
              <w:end w:w="70" w:type="dxa"/>
            </w:tcMar>
            <w:vAlign w:val="top"/>
          </w:tcPr>
          <w:p>
            <w:pPr>
              <w:spacing w:after="0"/>
            </w:pPr>
            <w:r>
              <w:rPr>
                <w:sz w:val="13"/>
              </w:rPr>
              <w:t>FDA transparency; WHO guideline digitization problem. [R1-R2]</w:t>
            </w:r>
          </w:p>
        </w:tc>
      </w:tr>
      <w:tr>
        <w:trPr>
          <w:cantSplit/>
        </w:trPr>
        <w:tc>
          <w:tcPr>
            <w:tcW w:type="dxa" w:w="792"/>
            <w:tcMar>
              <w:top w:w="65" w:type="dxa"/>
              <w:start w:w="70" w:type="dxa"/>
              <w:bottom w:w="65" w:type="dxa"/>
              <w:end w:w="70" w:type="dxa"/>
            </w:tcMar>
            <w:vAlign w:val="top"/>
            <w:shd w:fill="F7F9FA"/>
          </w:tcPr>
          <w:p>
            <w:pPr>
              <w:spacing w:after="0"/>
            </w:pPr>
            <w:r>
              <w:rPr>
                <w:sz w:val="13"/>
              </w:rPr>
              <w:t>85</w:t>
            </w:r>
          </w:p>
        </w:tc>
        <w:tc>
          <w:tcPr>
            <w:tcW w:type="dxa" w:w="2088"/>
            <w:tcMar>
              <w:top w:w="65" w:type="dxa"/>
              <w:start w:w="70" w:type="dxa"/>
              <w:bottom w:w="65" w:type="dxa"/>
              <w:end w:w="70" w:type="dxa"/>
            </w:tcMar>
            <w:vAlign w:val="top"/>
            <w:shd w:fill="F7F9FA"/>
          </w:tcPr>
          <w:p>
            <w:pPr>
              <w:spacing w:after="0"/>
            </w:pPr>
            <w:r>
              <w:rPr>
                <w:sz w:val="13"/>
              </w:rPr>
              <w:t>Counterfactual explanation</w:t>
            </w:r>
          </w:p>
        </w:tc>
        <w:tc>
          <w:tcPr>
            <w:tcW w:type="dxa" w:w="2520"/>
            <w:tcMar>
              <w:top w:w="65" w:type="dxa"/>
              <w:start w:w="70" w:type="dxa"/>
              <w:bottom w:w="65" w:type="dxa"/>
              <w:end w:w="70" w:type="dxa"/>
            </w:tcMar>
            <w:vAlign w:val="top"/>
            <w:shd w:fill="F7F9FA"/>
          </w:tcPr>
          <w:p>
            <w:pPr>
              <w:spacing w:after="0"/>
            </w:pPr>
            <w:r>
              <w:rPr>
                <w:sz w:val="13"/>
              </w:rPr>
              <w:t>Shows which missing or changed finding would alter the pathway</w:t>
            </w:r>
          </w:p>
        </w:tc>
        <w:tc>
          <w:tcPr>
            <w:tcW w:type="dxa" w:w="2376"/>
            <w:tcMar>
              <w:top w:w="65" w:type="dxa"/>
              <w:start w:w="70" w:type="dxa"/>
              <w:bottom w:w="65" w:type="dxa"/>
              <w:end w:w="70" w:type="dxa"/>
            </w:tcMar>
            <w:vAlign w:val="top"/>
            <w:shd w:fill="F7F9FA"/>
          </w:tcPr>
          <w:p>
            <w:pPr>
              <w:spacing w:after="0"/>
            </w:pPr>
            <w:r>
              <w:rPr>
                <w:sz w:val="13"/>
              </w:rPr>
              <w:t>Differentiated explainability and training value</w:t>
            </w:r>
          </w:p>
        </w:tc>
        <w:tc>
          <w:tcPr>
            <w:tcW w:type="dxa" w:w="2304"/>
            <w:tcMar>
              <w:top w:w="65" w:type="dxa"/>
              <w:start w:w="70" w:type="dxa"/>
              <w:bottom w:w="65" w:type="dxa"/>
              <w:end w:w="70" w:type="dxa"/>
            </w:tcMar>
            <w:vAlign w:val="top"/>
            <w:shd w:fill="F7F9FA"/>
          </w:tcPr>
          <w:p>
            <w:pPr>
              <w:spacing w:after="0"/>
            </w:pPr>
            <w:r>
              <w:rPr>
                <w:sz w:val="13"/>
              </w:rPr>
              <w:t>Research hypothesis; must be usability-tested to avoid overload or anchoring.</w:t>
            </w:r>
          </w:p>
        </w:tc>
      </w:tr>
      <w:tr>
        <w:trPr>
          <w:cantSplit/>
        </w:trPr>
        <w:tc>
          <w:tcPr>
            <w:tcW w:type="dxa" w:w="792"/>
            <w:tcMar>
              <w:top w:w="65" w:type="dxa"/>
              <w:start w:w="70" w:type="dxa"/>
              <w:bottom w:w="65" w:type="dxa"/>
              <w:end w:w="70" w:type="dxa"/>
            </w:tcMar>
            <w:vAlign w:val="top"/>
          </w:tcPr>
          <w:p>
            <w:pPr>
              <w:spacing w:after="0"/>
            </w:pPr>
            <w:r>
              <w:rPr>
                <w:sz w:val="13"/>
              </w:rPr>
              <w:t>83</w:t>
            </w:r>
          </w:p>
        </w:tc>
        <w:tc>
          <w:tcPr>
            <w:tcW w:type="dxa" w:w="2088"/>
            <w:tcMar>
              <w:top w:w="65" w:type="dxa"/>
              <w:start w:w="70" w:type="dxa"/>
              <w:bottom w:w="65" w:type="dxa"/>
              <w:end w:w="70" w:type="dxa"/>
            </w:tcMar>
            <w:vAlign w:val="top"/>
          </w:tcPr>
          <w:p>
            <w:pPr>
              <w:spacing w:after="0"/>
            </w:pPr>
            <w:r>
              <w:rPr>
                <w:sz w:val="13"/>
              </w:rPr>
              <w:t>Documentation, order-set suggestion, and parent handout drafts</w:t>
            </w:r>
          </w:p>
        </w:tc>
        <w:tc>
          <w:tcPr>
            <w:tcW w:type="dxa" w:w="2520"/>
            <w:tcMar>
              <w:top w:w="65" w:type="dxa"/>
              <w:start w:w="70" w:type="dxa"/>
              <w:bottom w:w="65" w:type="dxa"/>
              <w:end w:w="70" w:type="dxa"/>
            </w:tcMar>
            <w:vAlign w:val="top"/>
          </w:tcPr>
          <w:p>
            <w:pPr>
              <w:spacing w:after="0"/>
            </w:pPr>
            <w:r>
              <w:rPr>
                <w:sz w:val="13"/>
              </w:rPr>
              <w:t>Reduces clerical work after clinician review</w:t>
            </w:r>
          </w:p>
        </w:tc>
        <w:tc>
          <w:tcPr>
            <w:tcW w:type="dxa" w:w="2376"/>
            <w:tcMar>
              <w:top w:w="65" w:type="dxa"/>
              <w:start w:w="70" w:type="dxa"/>
              <w:bottom w:w="65" w:type="dxa"/>
              <w:end w:w="70" w:type="dxa"/>
            </w:tcMar>
            <w:vAlign w:val="top"/>
          </w:tcPr>
          <w:p>
            <w:pPr>
              <w:spacing w:after="0"/>
            </w:pPr>
            <w:r>
              <w:rPr>
                <w:sz w:val="13"/>
              </w:rPr>
              <w:t>Pro and enterprise value; patient engagement</w:t>
            </w:r>
          </w:p>
        </w:tc>
        <w:tc>
          <w:tcPr>
            <w:tcW w:type="dxa" w:w="2304"/>
            <w:tcMar>
              <w:top w:w="65" w:type="dxa"/>
              <w:start w:w="70" w:type="dxa"/>
              <w:bottom w:w="65" w:type="dxa"/>
              <w:end w:w="70" w:type="dxa"/>
            </w:tcMar>
            <w:vAlign w:val="top"/>
          </w:tcPr>
          <w:p>
            <w:pPr>
              <w:spacing w:after="0"/>
            </w:pPr>
            <w:r>
              <w:rPr>
                <w:sz w:val="13"/>
              </w:rPr>
              <w:t>Patient-facing explainers are a market benchmark; keep clinical inference clinician-facing. [M4-M5; R1]</w:t>
            </w:r>
          </w:p>
        </w:tc>
      </w:tr>
      <w:tr>
        <w:trPr>
          <w:cantSplit/>
        </w:trPr>
        <w:tc>
          <w:tcPr>
            <w:tcW w:type="dxa" w:w="792"/>
            <w:tcMar>
              <w:top w:w="65" w:type="dxa"/>
              <w:start w:w="70" w:type="dxa"/>
              <w:bottom w:w="65" w:type="dxa"/>
              <w:end w:w="70" w:type="dxa"/>
            </w:tcMar>
            <w:vAlign w:val="top"/>
            <w:shd w:fill="F7F9FA"/>
          </w:tcPr>
          <w:p>
            <w:pPr>
              <w:spacing w:after="0"/>
            </w:pPr>
            <w:r>
              <w:rPr>
                <w:sz w:val="13"/>
              </w:rPr>
              <w:t>82</w:t>
            </w:r>
          </w:p>
        </w:tc>
        <w:tc>
          <w:tcPr>
            <w:tcW w:type="dxa" w:w="2088"/>
            <w:tcMar>
              <w:top w:w="65" w:type="dxa"/>
              <w:start w:w="70" w:type="dxa"/>
              <w:bottom w:w="65" w:type="dxa"/>
              <w:end w:w="70" w:type="dxa"/>
            </w:tcMar>
            <w:vAlign w:val="top"/>
            <w:shd w:fill="F7F9FA"/>
          </w:tcPr>
          <w:p>
            <w:pPr>
              <w:spacing w:after="0"/>
            </w:pPr>
            <w:r>
              <w:rPr>
                <w:sz w:val="13"/>
              </w:rPr>
              <w:t>Lead pathway module</w:t>
            </w:r>
          </w:p>
        </w:tc>
        <w:tc>
          <w:tcPr>
            <w:tcW w:type="dxa" w:w="2520"/>
            <w:tcMar>
              <w:top w:w="65" w:type="dxa"/>
              <w:start w:w="70" w:type="dxa"/>
              <w:bottom w:w="65" w:type="dxa"/>
              <w:end w:w="70" w:type="dxa"/>
            </w:tcMar>
            <w:vAlign w:val="top"/>
            <w:shd w:fill="F7F9FA"/>
          </w:tcPr>
          <w:p>
            <w:pPr>
              <w:spacing w:after="0"/>
            </w:pPr>
            <w:r>
              <w:rPr>
                <w:sz w:val="13"/>
              </w:rPr>
              <w:t>Direct, current public-health thresholds and confirmation logic</w:t>
            </w:r>
          </w:p>
        </w:tc>
        <w:tc>
          <w:tcPr>
            <w:tcW w:type="dxa" w:w="2376"/>
            <w:tcMar>
              <w:top w:w="65" w:type="dxa"/>
              <w:start w:w="70" w:type="dxa"/>
              <w:bottom w:w="65" w:type="dxa"/>
              <w:end w:w="70" w:type="dxa"/>
            </w:tcMar>
            <w:vAlign w:val="top"/>
            <w:shd w:fill="F7F9FA"/>
          </w:tcPr>
          <w:p>
            <w:pPr>
              <w:spacing w:after="0"/>
            </w:pPr>
            <w:r>
              <w:rPr>
                <w:sz w:val="13"/>
              </w:rPr>
              <w:t>Distinctive pediatric scope and public-health partnerships</w:t>
            </w:r>
          </w:p>
        </w:tc>
        <w:tc>
          <w:tcPr>
            <w:tcW w:type="dxa" w:w="2304"/>
            <w:tcMar>
              <w:top w:w="65" w:type="dxa"/>
              <w:start w:w="70" w:type="dxa"/>
              <w:bottom w:w="65" w:type="dxa"/>
              <w:end w:w="70" w:type="dxa"/>
            </w:tcMar>
            <w:vAlign w:val="top"/>
            <w:shd w:fill="F7F9FA"/>
          </w:tcPr>
          <w:p>
            <w:pPr>
              <w:spacing w:after="0"/>
            </w:pPr>
            <w:r>
              <w:rPr>
                <w:sz w:val="13"/>
              </w:rPr>
              <w:t>CDC 2025 guidance. [C4]</w:t>
            </w:r>
          </w:p>
        </w:tc>
      </w:tr>
      <w:tr>
        <w:trPr>
          <w:cantSplit/>
        </w:trPr>
        <w:tc>
          <w:tcPr>
            <w:tcW w:type="dxa" w:w="792"/>
            <w:tcMar>
              <w:top w:w="65" w:type="dxa"/>
              <w:start w:w="70" w:type="dxa"/>
              <w:bottom w:w="65" w:type="dxa"/>
              <w:end w:w="70" w:type="dxa"/>
            </w:tcMar>
            <w:vAlign w:val="top"/>
          </w:tcPr>
          <w:p>
            <w:pPr>
              <w:spacing w:after="0"/>
            </w:pPr>
            <w:r>
              <w:rPr>
                <w:sz w:val="13"/>
              </w:rPr>
              <w:t>80</w:t>
            </w:r>
          </w:p>
        </w:tc>
        <w:tc>
          <w:tcPr>
            <w:tcW w:type="dxa" w:w="2088"/>
            <w:tcMar>
              <w:top w:w="65" w:type="dxa"/>
              <w:start w:w="70" w:type="dxa"/>
              <w:bottom w:w="65" w:type="dxa"/>
              <w:end w:w="70" w:type="dxa"/>
            </w:tcMar>
            <w:vAlign w:val="top"/>
          </w:tcPr>
          <w:p>
            <w:pPr>
              <w:spacing w:after="0"/>
            </w:pPr>
            <w:r>
              <w:rPr>
                <w:sz w:val="13"/>
              </w:rPr>
              <w:t>Hemoglobinopathy/newborn-screen pathway</w:t>
            </w:r>
          </w:p>
        </w:tc>
        <w:tc>
          <w:tcPr>
            <w:tcW w:type="dxa" w:w="2520"/>
            <w:tcMar>
              <w:top w:w="65" w:type="dxa"/>
              <w:start w:w="70" w:type="dxa"/>
              <w:bottom w:w="65" w:type="dxa"/>
              <w:end w:w="70" w:type="dxa"/>
            </w:tcMar>
            <w:vAlign w:val="top"/>
          </w:tcPr>
          <w:p>
            <w:pPr>
              <w:spacing w:after="0"/>
            </w:pPr>
            <w:r>
              <w:rPr>
                <w:sz w:val="13"/>
              </w:rPr>
              <w:t>Handles a common pediatric referral and testing problem</w:t>
            </w:r>
          </w:p>
        </w:tc>
        <w:tc>
          <w:tcPr>
            <w:tcW w:type="dxa" w:w="2376"/>
            <w:tcMar>
              <w:top w:w="65" w:type="dxa"/>
              <w:start w:w="70" w:type="dxa"/>
              <w:bottom w:w="65" w:type="dxa"/>
              <w:end w:w="70" w:type="dxa"/>
            </w:tcMar>
            <w:vAlign w:val="top"/>
          </w:tcPr>
          <w:p>
            <w:pPr>
              <w:spacing w:after="0"/>
            </w:pPr>
            <w:r>
              <w:rPr>
                <w:sz w:val="13"/>
              </w:rPr>
              <w:t>Partnership potential with newborn-screen and specialty programs</w:t>
            </w:r>
          </w:p>
        </w:tc>
        <w:tc>
          <w:tcPr>
            <w:tcW w:type="dxa" w:w="2304"/>
            <w:tcMar>
              <w:top w:w="65" w:type="dxa"/>
              <w:start w:w="70" w:type="dxa"/>
              <w:bottom w:w="65" w:type="dxa"/>
              <w:end w:w="70" w:type="dxa"/>
            </w:tcMar>
            <w:vAlign w:val="top"/>
          </w:tcPr>
          <w:p>
            <w:pPr>
              <w:spacing w:after="0"/>
            </w:pPr>
            <w:r>
              <w:rPr>
                <w:sz w:val="13"/>
              </w:rPr>
              <w:t>AAP and pediatric anemia review. [C1; C3]</w:t>
            </w:r>
          </w:p>
        </w:tc>
      </w:tr>
      <w:tr>
        <w:trPr>
          <w:cantSplit/>
        </w:trPr>
        <w:tc>
          <w:tcPr>
            <w:tcW w:type="dxa" w:w="792"/>
            <w:tcMar>
              <w:top w:w="65" w:type="dxa"/>
              <w:start w:w="70" w:type="dxa"/>
              <w:bottom w:w="65" w:type="dxa"/>
              <w:end w:w="70" w:type="dxa"/>
            </w:tcMar>
            <w:vAlign w:val="top"/>
            <w:shd w:fill="F7F9FA"/>
          </w:tcPr>
          <w:p>
            <w:pPr>
              <w:spacing w:after="0"/>
            </w:pPr>
            <w:r>
              <w:rPr>
                <w:sz w:val="13"/>
              </w:rPr>
              <w:t>79</w:t>
            </w:r>
          </w:p>
        </w:tc>
        <w:tc>
          <w:tcPr>
            <w:tcW w:type="dxa" w:w="2088"/>
            <w:tcMar>
              <w:top w:w="65" w:type="dxa"/>
              <w:start w:w="70" w:type="dxa"/>
              <w:bottom w:w="65" w:type="dxa"/>
              <w:end w:w="70" w:type="dxa"/>
            </w:tcMar>
            <w:vAlign w:val="top"/>
            <w:shd w:fill="F7F9FA"/>
          </w:tcPr>
          <w:p>
            <w:pPr>
              <w:spacing w:after="0"/>
            </w:pPr>
            <w:r>
              <w:rPr>
                <w:sz w:val="13"/>
              </w:rPr>
              <w:t>Practice/system analytics</w:t>
            </w:r>
          </w:p>
        </w:tc>
        <w:tc>
          <w:tcPr>
            <w:tcW w:type="dxa" w:w="2520"/>
            <w:tcMar>
              <w:top w:w="65" w:type="dxa"/>
              <w:start w:w="70" w:type="dxa"/>
              <w:bottom w:w="65" w:type="dxa"/>
              <w:end w:w="70" w:type="dxa"/>
            </w:tcMar>
            <w:vAlign w:val="top"/>
            <w:shd w:fill="F7F9FA"/>
          </w:tcPr>
          <w:p>
            <w:pPr>
              <w:spacing w:after="0"/>
            </w:pPr>
            <w:r>
              <w:rPr>
                <w:sz w:val="13"/>
              </w:rPr>
              <w:t>Measures adoption, overrides, workup completion, referrals, and test use</w:t>
            </w:r>
          </w:p>
        </w:tc>
        <w:tc>
          <w:tcPr>
            <w:tcW w:type="dxa" w:w="2376"/>
            <w:tcMar>
              <w:top w:w="65" w:type="dxa"/>
              <w:start w:w="70" w:type="dxa"/>
              <w:bottom w:w="65" w:type="dxa"/>
              <w:end w:w="70" w:type="dxa"/>
            </w:tcMar>
            <w:vAlign w:val="top"/>
            <w:shd w:fill="F7F9FA"/>
          </w:tcPr>
          <w:p>
            <w:pPr>
              <w:spacing w:after="0"/>
            </w:pPr>
            <w:r>
              <w:rPr>
                <w:sz w:val="13"/>
              </w:rPr>
              <w:t>Necessary to prove ROI and renew enterprise contracts</w:t>
            </w:r>
          </w:p>
        </w:tc>
        <w:tc>
          <w:tcPr>
            <w:tcW w:type="dxa" w:w="2304"/>
            <w:tcMar>
              <w:top w:w="65" w:type="dxa"/>
              <w:start w:w="70" w:type="dxa"/>
              <w:bottom w:w="65" w:type="dxa"/>
              <w:end w:w="70" w:type="dxa"/>
            </w:tcMar>
            <w:vAlign w:val="top"/>
            <w:shd w:fill="F7F9FA"/>
          </w:tcPr>
          <w:p>
            <w:pPr>
              <w:spacing w:after="0"/>
            </w:pPr>
            <w:r>
              <w:rPr>
                <w:sz w:val="13"/>
              </w:rPr>
              <w:t>Enterprise CDS products emphasize usage and financial/quality outcomes. [M3; M5-M6]</w:t>
            </w:r>
          </w:p>
        </w:tc>
      </w:tr>
      <w:tr>
        <w:trPr>
          <w:cantSplit/>
        </w:trPr>
        <w:tc>
          <w:tcPr>
            <w:tcW w:type="dxa" w:w="792"/>
            <w:tcMar>
              <w:top w:w="65" w:type="dxa"/>
              <w:start w:w="70" w:type="dxa"/>
              <w:bottom w:w="65" w:type="dxa"/>
              <w:end w:w="70" w:type="dxa"/>
            </w:tcMar>
            <w:vAlign w:val="top"/>
          </w:tcPr>
          <w:p>
            <w:pPr>
              <w:spacing w:after="0"/>
            </w:pPr>
            <w:r>
              <w:rPr>
                <w:sz w:val="13"/>
              </w:rPr>
              <w:t>74</w:t>
            </w:r>
          </w:p>
        </w:tc>
        <w:tc>
          <w:tcPr>
            <w:tcW w:type="dxa" w:w="2088"/>
            <w:tcMar>
              <w:top w:w="65" w:type="dxa"/>
              <w:start w:w="70" w:type="dxa"/>
              <w:bottom w:w="65" w:type="dxa"/>
              <w:end w:w="70" w:type="dxa"/>
            </w:tcMar>
            <w:vAlign w:val="top"/>
          </w:tcPr>
          <w:p>
            <w:pPr>
              <w:spacing w:after="0"/>
            </w:pPr>
            <w:r>
              <w:rPr>
                <w:sz w:val="13"/>
              </w:rPr>
              <w:t>CME / case-based learning mode</w:t>
            </w:r>
          </w:p>
        </w:tc>
        <w:tc>
          <w:tcPr>
            <w:tcW w:type="dxa" w:w="2520"/>
            <w:tcMar>
              <w:top w:w="65" w:type="dxa"/>
              <w:start w:w="70" w:type="dxa"/>
              <w:bottom w:w="65" w:type="dxa"/>
              <w:end w:w="70" w:type="dxa"/>
            </w:tcMar>
            <w:vAlign w:val="top"/>
          </w:tcPr>
          <w:p>
            <w:pPr>
              <w:spacing w:after="0"/>
            </w:pPr>
            <w:r>
              <w:rPr>
                <w:sz w:val="13"/>
              </w:rPr>
              <w:t>Learning from the same explainable cases used in practice</w:t>
            </w:r>
          </w:p>
        </w:tc>
        <w:tc>
          <w:tcPr>
            <w:tcW w:type="dxa" w:w="2376"/>
            <w:tcMar>
              <w:top w:w="65" w:type="dxa"/>
              <w:start w:w="70" w:type="dxa"/>
              <w:bottom w:w="65" w:type="dxa"/>
              <w:end w:w="70" w:type="dxa"/>
            </w:tcMar>
            <w:vAlign w:val="top"/>
          </w:tcPr>
          <w:p>
            <w:pPr>
              <w:spacing w:after="0"/>
            </w:pPr>
            <w:r>
              <w:rPr>
                <w:sz w:val="13"/>
              </w:rPr>
              <w:t>Individual conversion and society partnership</w:t>
            </w:r>
          </w:p>
        </w:tc>
        <w:tc>
          <w:tcPr>
            <w:tcW w:type="dxa" w:w="2304"/>
            <w:tcMar>
              <w:top w:w="65" w:type="dxa"/>
              <w:start w:w="70" w:type="dxa"/>
              <w:bottom w:w="65" w:type="dxa"/>
              <w:end w:w="70" w:type="dxa"/>
            </w:tcMar>
            <w:vAlign w:val="top"/>
          </w:tcPr>
          <w:p>
            <w:pPr>
              <w:spacing w:after="0"/>
            </w:pPr>
            <w:r>
              <w:rPr>
                <w:sz w:val="13"/>
              </w:rPr>
              <w:t>UpToDate and VisualDx use education/CME as product extensions. [M4-M5]</w:t>
            </w:r>
          </w:p>
        </w:tc>
      </w:tr>
      <w:tr>
        <w:trPr>
          <w:cantSplit/>
        </w:trPr>
        <w:tc>
          <w:tcPr>
            <w:tcW w:type="dxa" w:w="792"/>
            <w:tcMar>
              <w:top w:w="65" w:type="dxa"/>
              <w:start w:w="70" w:type="dxa"/>
              <w:bottom w:w="65" w:type="dxa"/>
              <w:end w:w="70" w:type="dxa"/>
            </w:tcMar>
            <w:vAlign w:val="top"/>
            <w:shd w:fill="F7F9FA"/>
          </w:tcPr>
          <w:p>
            <w:pPr>
              <w:spacing w:after="0"/>
            </w:pPr>
            <w:r>
              <w:rPr>
                <w:sz w:val="13"/>
              </w:rPr>
              <w:t>50</w:t>
            </w:r>
          </w:p>
        </w:tc>
        <w:tc>
          <w:tcPr>
            <w:tcW w:type="dxa" w:w="2088"/>
            <w:tcMar>
              <w:top w:w="65" w:type="dxa"/>
              <w:start w:w="70" w:type="dxa"/>
              <w:bottom w:w="65" w:type="dxa"/>
              <w:end w:w="70" w:type="dxa"/>
            </w:tcMar>
            <w:vAlign w:val="top"/>
            <w:shd w:fill="F7F9FA"/>
          </w:tcPr>
          <w:p>
            <w:pPr>
              <w:spacing w:after="0"/>
            </w:pPr>
            <w:r>
              <w:rPr>
                <w:sz w:val="13"/>
              </w:rPr>
              <w:t>Medication dosing and treatment directives</w:t>
            </w:r>
          </w:p>
        </w:tc>
        <w:tc>
          <w:tcPr>
            <w:tcW w:type="dxa" w:w="2520"/>
            <w:tcMar>
              <w:top w:w="65" w:type="dxa"/>
              <w:start w:w="70" w:type="dxa"/>
              <w:bottom w:w="65" w:type="dxa"/>
              <w:end w:w="70" w:type="dxa"/>
            </w:tcMar>
            <w:vAlign w:val="top"/>
            <w:shd w:fill="F7F9FA"/>
          </w:tcPr>
          <w:p>
            <w:pPr>
              <w:spacing w:after="0"/>
            </w:pPr>
            <w:r>
              <w:rPr>
                <w:sz w:val="13"/>
              </w:rPr>
              <w:t>Potential convenience</w:t>
            </w:r>
          </w:p>
        </w:tc>
        <w:tc>
          <w:tcPr>
            <w:tcW w:type="dxa" w:w="2376"/>
            <w:tcMar>
              <w:top w:w="65" w:type="dxa"/>
              <w:start w:w="70" w:type="dxa"/>
              <w:bottom w:w="65" w:type="dxa"/>
              <w:end w:w="70" w:type="dxa"/>
            </w:tcMar>
            <w:vAlign w:val="top"/>
            <w:shd w:fill="F7F9FA"/>
          </w:tcPr>
          <w:p>
            <w:pPr>
              <w:spacing w:after="0"/>
            </w:pPr>
            <w:r>
              <w:rPr>
                <w:sz w:val="13"/>
              </w:rPr>
              <w:t>Large market but crowded and higher liability/regulatory burden</w:t>
            </w:r>
          </w:p>
        </w:tc>
        <w:tc>
          <w:tcPr>
            <w:tcW w:type="dxa" w:w="2304"/>
            <w:tcMar>
              <w:top w:w="65" w:type="dxa"/>
              <w:start w:w="70" w:type="dxa"/>
              <w:bottom w:w="65" w:type="dxa"/>
              <w:end w:w="70" w:type="dxa"/>
            </w:tcMar>
            <w:vAlign w:val="top"/>
            <w:shd w:fill="F7F9FA"/>
          </w:tcPr>
          <w:p>
            <w:pPr>
              <w:spacing w:after="0"/>
            </w:pPr>
            <w:r>
              <w:rPr>
                <w:sz w:val="13"/>
              </w:rPr>
              <w:t>Defer until intended use and validation strategy explicitly support it. [R1]</w:t>
            </w:r>
          </w:p>
        </w:tc>
      </w:tr>
      <w:tr>
        <w:trPr>
          <w:cantSplit/>
        </w:trPr>
        <w:tc>
          <w:tcPr>
            <w:tcW w:type="dxa" w:w="792"/>
            <w:tcMar>
              <w:top w:w="65" w:type="dxa"/>
              <w:start w:w="70" w:type="dxa"/>
              <w:bottom w:w="65" w:type="dxa"/>
              <w:end w:w="70" w:type="dxa"/>
            </w:tcMar>
            <w:vAlign w:val="top"/>
          </w:tcPr>
          <w:p>
            <w:pPr>
              <w:spacing w:after="0"/>
            </w:pPr>
            <w:r>
              <w:rPr>
                <w:sz w:val="13"/>
              </w:rPr>
              <w:t>45</w:t>
            </w:r>
          </w:p>
        </w:tc>
        <w:tc>
          <w:tcPr>
            <w:tcW w:type="dxa" w:w="2088"/>
            <w:tcMar>
              <w:top w:w="65" w:type="dxa"/>
              <w:start w:w="70" w:type="dxa"/>
              <w:bottom w:w="65" w:type="dxa"/>
              <w:end w:w="70" w:type="dxa"/>
            </w:tcMar>
            <w:vAlign w:val="top"/>
          </w:tcPr>
          <w:p>
            <w:pPr>
              <w:spacing w:after="0"/>
            </w:pPr>
            <w:r>
              <w:rPr>
                <w:sz w:val="13"/>
              </w:rPr>
              <w:t>Peripheral-smear image AI</w:t>
            </w:r>
          </w:p>
        </w:tc>
        <w:tc>
          <w:tcPr>
            <w:tcW w:type="dxa" w:w="2520"/>
            <w:tcMar>
              <w:top w:w="65" w:type="dxa"/>
              <w:start w:w="70" w:type="dxa"/>
              <w:bottom w:w="65" w:type="dxa"/>
              <w:end w:w="70" w:type="dxa"/>
            </w:tcMar>
            <w:vAlign w:val="top"/>
          </w:tcPr>
          <w:p>
            <w:pPr>
              <w:spacing w:after="0"/>
            </w:pPr>
            <w:r>
              <w:rPr>
                <w:sz w:val="13"/>
              </w:rPr>
              <w:t>Potential specialist access and educational value</w:t>
            </w:r>
          </w:p>
        </w:tc>
        <w:tc>
          <w:tcPr>
            <w:tcW w:type="dxa" w:w="2376"/>
            <w:tcMar>
              <w:top w:w="65" w:type="dxa"/>
              <w:start w:w="70" w:type="dxa"/>
              <w:bottom w:w="65" w:type="dxa"/>
              <w:end w:w="70" w:type="dxa"/>
            </w:tcMar>
            <w:vAlign w:val="top"/>
          </w:tcPr>
          <w:p>
            <w:pPr>
              <w:spacing w:after="0"/>
            </w:pPr>
            <w:r>
              <w:rPr>
                <w:sz w:val="13"/>
              </w:rPr>
              <w:t>Novel IP if a high-quality pediatric dataset exists</w:t>
            </w:r>
          </w:p>
        </w:tc>
        <w:tc>
          <w:tcPr>
            <w:tcW w:type="dxa" w:w="2304"/>
            <w:tcMar>
              <w:top w:w="65" w:type="dxa"/>
              <w:start w:w="70" w:type="dxa"/>
              <w:bottom w:w="65" w:type="dxa"/>
              <w:end w:w="70" w:type="dxa"/>
            </w:tcMar>
            <w:vAlign w:val="top"/>
          </w:tcPr>
          <w:p>
            <w:pPr>
              <w:spacing w:after="0"/>
            </w:pPr>
            <w:r>
              <w:rPr>
                <w:sz w:val="13"/>
              </w:rPr>
              <w:t>Research-only option; image analysis changes FDA criterion analysis and data burden. [R1]</w:t>
            </w:r>
          </w:p>
        </w:tc>
      </w:tr>
    </w:tbl>
    <w:p>
      <w:pPr>
        <w:spacing w:after="20"/>
      </w:pPr>
    </w:p>
    <w:p>
      <w:pPr>
        <w:pStyle w:val="Heading1"/>
      </w:pPr>
      <w:r>
        <w:t>6. Evidence Foundry: the defensible capability</w:t>
      </w:r>
    </w:p>
    <w:p>
      <w:r>
        <w:t>WHO notes that translating guideline recommendations into digital systems can be challenging, time-consuming, and error-prone. [R2] The strategic opportunity is to turn the current manual research-to-rule process into a governed pipeline that repeatedly produces executable pediatric modules.</w:t>
      </w:r>
    </w:p>
    <w:p>
      <w:pPr>
        <w:jc w:val="center"/>
      </w:pPr>
      <w:r>
        <w:drawing>
          <wp:inline xmlns:a="http://schemas.openxmlformats.org/drawingml/2006/main" xmlns:pic="http://schemas.openxmlformats.org/drawingml/2006/picture">
            <wp:extent cx="6309360" cy="2663952"/>
            <wp:docPr id="2" name="Picture 2"/>
            <wp:cNvGraphicFramePr>
              <a:graphicFrameLocks noChangeAspect="1"/>
            </wp:cNvGraphicFramePr>
            <a:graphic>
              <a:graphicData uri="http://schemas.openxmlformats.org/drawingml/2006/picture">
                <pic:pic>
                  <pic:nvPicPr>
                    <pic:cNvPr id="0" name="evidence-foundry-pipeline.png"/>
                    <pic:cNvPicPr/>
                  </pic:nvPicPr>
                  <pic:blipFill>
                    <a:blip r:embed="rId12"/>
                    <a:stretch>
                      <a:fillRect/>
                    </a:stretch>
                  </pic:blipFill>
                  <pic:spPr>
                    <a:xfrm>
                      <a:off x="0" y="0"/>
                      <a:ext cx="6309360" cy="2663952"/>
                    </a:xfrm>
                    <a:prstGeom prst="rect"/>
                  </pic:spPr>
                </pic:pic>
              </a:graphicData>
            </a:graphic>
          </wp:inline>
        </w:drawing>
      </w:r>
    </w:p>
    <w:p>
      <w:pPr>
        <w:pStyle w:val="CaptionCustom"/>
      </w:pPr>
      <w:r>
        <w:rPr>
          <w:sz w:val="16"/>
        </w:rPr>
        <w:t>Figure 2. Recommended Evidence Foundry lifecycle. AI can assist each authoring step, but no rule is published without source traceability, executable tests, and human approval.</w:t>
      </w:r>
    </w:p>
    <w:p>
      <w:pPr>
        <w:pStyle w:val="Heading2"/>
      </w:pPr>
      <w:r>
        <w:t>6.1 Required artifacts for every clinical module</w:t>
      </w:r>
    </w:p>
    <w:p>
      <w:pPr>
        <w:pStyle w:val="ListBullet"/>
        <w:spacing w:after="50"/>
      </w:pPr>
      <w:r>
        <w:t>Versioned intended use, users, population, care setting, exclusions, and non-goals.</w:t>
      </w:r>
    </w:p>
    <w:p>
      <w:pPr>
        <w:pStyle w:val="ListBullet"/>
        <w:spacing w:after="50"/>
      </w:pPr>
      <w:r>
        <w:t>Search protocol with a five-year priority window, foundational exceptions, retraction/supersession check, and source-rights review.</w:t>
      </w:r>
    </w:p>
    <w:p>
      <w:pPr>
        <w:pStyle w:val="ListBullet"/>
        <w:spacing w:after="50"/>
      </w:pPr>
      <w:r>
        <w:t>Evidence cards containing exact supporting passage, page/section, population, sample/method, threshold, unit, assay, limitations, and strength/grade when supplied.</w:t>
      </w:r>
    </w:p>
    <w:p>
      <w:pPr>
        <w:pStyle w:val="ListBullet"/>
        <w:spacing w:after="50"/>
      </w:pPr>
      <w:r>
        <w:t>Conflict matrix showing divergent thresholds or recommendations and the local configuration or user disclosure required.</w:t>
      </w:r>
    </w:p>
    <w:p>
      <w:pPr>
        <w:pStyle w:val="ListBullet"/>
        <w:spacing w:after="50"/>
      </w:pPr>
      <w:r>
        <w:t>FHIR-aligned data dictionary, terminology bindings, UCUM units, source, timestamp, and present/absent/unknown state.</w:t>
      </w:r>
    </w:p>
    <w:p>
      <w:pPr>
        <w:pStyle w:val="ListBullet"/>
        <w:spacing w:after="50"/>
      </w:pPr>
      <w:r>
        <w:t>Deterministic rules with preconditions, exclusions, output language, severity, evidence IDs, effective dates, and review dates.</w:t>
      </w:r>
    </w:p>
    <w:p>
      <w:pPr>
        <w:pStyle w:val="ListBullet"/>
        <w:spacing w:after="50"/>
      </w:pPr>
      <w:r>
        <w:t>Positive, negative, boundary, missingness, conflict, dangerous-miss, and mutation tests.</w:t>
      </w:r>
    </w:p>
    <w:p>
      <w:pPr>
        <w:pStyle w:val="ListBullet"/>
        <w:spacing w:after="50"/>
      </w:pPr>
      <w:r>
        <w:t>Clinical approval log, release manifest, semantic diff, digital signature, rollback plan, and surveillance query.</w:t>
      </w:r>
    </w:p>
    <w:p>
      <w:pPr>
        <w:pStyle w:val="Heading2"/>
      </w:pPr>
      <w:r>
        <w:t>6.2 Appropriate role of generative AI</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5040"/>
            <w:shd w:fill="123E4A"/>
            <w:tcMar>
              <w:top w:w="75" w:type="dxa"/>
              <w:start w:w="70" w:type="dxa"/>
              <w:bottom w:w="75" w:type="dxa"/>
              <w:end w:w="70" w:type="dxa"/>
            </w:tcMar>
            <w:vAlign w:val="center"/>
          </w:tcPr>
          <w:p>
            <w:r>
              <w:rPr>
                <w:b/>
                <w:color w:val="FFFFFF"/>
                <w:sz w:val="15"/>
              </w:rPr>
              <w:t>Use AI for</w:t>
            </w:r>
          </w:p>
        </w:tc>
        <w:tc>
          <w:tcPr>
            <w:tcW w:type="dxa" w:w="5040"/>
            <w:shd w:fill="123E4A"/>
            <w:tcMar>
              <w:top w:w="75" w:type="dxa"/>
              <w:start w:w="70" w:type="dxa"/>
              <w:bottom w:w="75" w:type="dxa"/>
              <w:end w:w="70" w:type="dxa"/>
            </w:tcMar>
            <w:vAlign w:val="center"/>
          </w:tcPr>
          <w:p>
            <w:r>
              <w:rPr>
                <w:b/>
                <w:color w:val="FFFFFF"/>
                <w:sz w:val="15"/>
              </w:rPr>
              <w:t>Do not use AI for</w:t>
            </w:r>
          </w:p>
        </w:tc>
      </w:tr>
      <w:tr>
        <w:trPr>
          <w:cantSplit/>
        </w:trPr>
        <w:tc>
          <w:tcPr>
            <w:tcW w:type="dxa" w:w="5040"/>
            <w:tcMar>
              <w:top w:w="65" w:type="dxa"/>
              <w:start w:w="70" w:type="dxa"/>
              <w:bottom w:w="65" w:type="dxa"/>
              <w:end w:w="70" w:type="dxa"/>
            </w:tcMar>
            <w:vAlign w:val="top"/>
          </w:tcPr>
          <w:p>
            <w:pPr>
              <w:spacing w:after="0"/>
            </w:pPr>
            <w:r>
              <w:rPr>
                <w:sz w:val="15"/>
              </w:rPr>
              <w:t>Literature discovery and deduplication</w:t>
            </w:r>
          </w:p>
        </w:tc>
        <w:tc>
          <w:tcPr>
            <w:tcW w:type="dxa" w:w="5040"/>
            <w:tcMar>
              <w:top w:w="65" w:type="dxa"/>
              <w:start w:w="70" w:type="dxa"/>
              <w:bottom w:w="65" w:type="dxa"/>
              <w:end w:w="70" w:type="dxa"/>
            </w:tcMar>
            <w:vAlign w:val="top"/>
          </w:tcPr>
          <w:p>
            <w:pPr>
              <w:spacing w:after="0"/>
            </w:pPr>
            <w:r>
              <w:rPr>
                <w:sz w:val="15"/>
              </w:rPr>
              <w:t>Inventing thresholds, citations, evidence grades, or source passages</w:t>
            </w:r>
          </w:p>
        </w:tc>
      </w:tr>
      <w:tr>
        <w:trPr>
          <w:cantSplit/>
        </w:trPr>
        <w:tc>
          <w:tcPr>
            <w:tcW w:type="dxa" w:w="5040"/>
            <w:tcMar>
              <w:top w:w="65" w:type="dxa"/>
              <w:start w:w="70" w:type="dxa"/>
              <w:bottom w:w="65" w:type="dxa"/>
              <w:end w:w="70" w:type="dxa"/>
            </w:tcMar>
            <w:vAlign w:val="top"/>
            <w:shd w:fill="F7F9FA"/>
          </w:tcPr>
          <w:p>
            <w:pPr>
              <w:spacing w:after="0"/>
            </w:pPr>
            <w:r>
              <w:rPr>
                <w:sz w:val="15"/>
              </w:rPr>
              <w:t>Drafting evidence cards from retrieved full text</w:t>
            </w:r>
          </w:p>
        </w:tc>
        <w:tc>
          <w:tcPr>
            <w:tcW w:type="dxa" w:w="5040"/>
            <w:tcMar>
              <w:top w:w="65" w:type="dxa"/>
              <w:start w:w="70" w:type="dxa"/>
              <w:bottom w:w="65" w:type="dxa"/>
              <w:end w:w="70" w:type="dxa"/>
            </w:tcMar>
            <w:vAlign w:val="top"/>
            <w:shd w:fill="F7F9FA"/>
          </w:tcPr>
          <w:p>
            <w:pPr>
              <w:spacing w:after="0"/>
            </w:pPr>
            <w:r>
              <w:rPr>
                <w:sz w:val="15"/>
              </w:rPr>
              <w:t>Patient-specific final inference in the validated pathway</w:t>
            </w:r>
          </w:p>
        </w:tc>
      </w:tr>
      <w:tr>
        <w:trPr>
          <w:cantSplit/>
        </w:trPr>
        <w:tc>
          <w:tcPr>
            <w:tcW w:type="dxa" w:w="5040"/>
            <w:tcMar>
              <w:top w:w="65" w:type="dxa"/>
              <w:start w:w="70" w:type="dxa"/>
              <w:bottom w:w="65" w:type="dxa"/>
              <w:end w:w="70" w:type="dxa"/>
            </w:tcMar>
            <w:vAlign w:val="top"/>
          </w:tcPr>
          <w:p>
            <w:pPr>
              <w:spacing w:after="0"/>
            </w:pPr>
            <w:r>
              <w:rPr>
                <w:sz w:val="15"/>
              </w:rPr>
              <w:t>Proposing candidate rules and test cases</w:t>
            </w:r>
          </w:p>
        </w:tc>
        <w:tc>
          <w:tcPr>
            <w:tcW w:type="dxa" w:w="5040"/>
            <w:tcMar>
              <w:top w:w="65" w:type="dxa"/>
              <w:start w:w="70" w:type="dxa"/>
              <w:bottom w:w="65" w:type="dxa"/>
              <w:end w:w="70" w:type="dxa"/>
            </w:tcMar>
            <w:vAlign w:val="top"/>
          </w:tcPr>
          <w:p>
            <w:pPr>
              <w:spacing w:after="0"/>
            </w:pPr>
            <w:r>
              <w:rPr>
                <w:sz w:val="15"/>
              </w:rPr>
              <w:t>Automatically publishing rule changes</w:t>
            </w:r>
          </w:p>
        </w:tc>
      </w:tr>
      <w:tr>
        <w:trPr>
          <w:cantSplit/>
        </w:trPr>
        <w:tc>
          <w:tcPr>
            <w:tcW w:type="dxa" w:w="5040"/>
            <w:tcMar>
              <w:top w:w="65" w:type="dxa"/>
              <w:start w:w="70" w:type="dxa"/>
              <w:bottom w:w="65" w:type="dxa"/>
              <w:end w:w="70" w:type="dxa"/>
            </w:tcMar>
            <w:vAlign w:val="top"/>
            <w:shd w:fill="F7F9FA"/>
          </w:tcPr>
          <w:p>
            <w:pPr>
              <w:spacing w:after="0"/>
            </w:pPr>
            <w:r>
              <w:rPr>
                <w:sz w:val="15"/>
              </w:rPr>
              <w:t>Detecting rule conflicts, unreachable branches, or missing tests</w:t>
            </w:r>
          </w:p>
        </w:tc>
        <w:tc>
          <w:tcPr>
            <w:tcW w:type="dxa" w:w="5040"/>
            <w:tcMar>
              <w:top w:w="65" w:type="dxa"/>
              <w:start w:w="70" w:type="dxa"/>
              <w:bottom w:w="65" w:type="dxa"/>
              <w:end w:w="70" w:type="dxa"/>
            </w:tcMar>
            <w:vAlign w:val="top"/>
            <w:shd w:fill="F7F9FA"/>
          </w:tcPr>
          <w:p>
            <w:pPr>
              <w:spacing w:after="0"/>
            </w:pPr>
            <w:r>
              <w:rPr>
                <w:sz w:val="15"/>
              </w:rPr>
              <w:t>Replacing pediatric hematology, lab medicine, or regulatory review</w:t>
            </w:r>
          </w:p>
        </w:tc>
      </w:tr>
      <w:tr>
        <w:trPr>
          <w:cantSplit/>
        </w:trPr>
        <w:tc>
          <w:tcPr>
            <w:tcW w:type="dxa" w:w="5040"/>
            <w:tcMar>
              <w:top w:w="65" w:type="dxa"/>
              <w:start w:w="70" w:type="dxa"/>
              <w:bottom w:w="65" w:type="dxa"/>
              <w:end w:w="70" w:type="dxa"/>
            </w:tcMar>
            <w:vAlign w:val="top"/>
          </w:tcPr>
          <w:p>
            <w:pPr>
              <w:spacing w:after="0"/>
            </w:pPr>
            <w:r>
              <w:rPr>
                <w:sz w:val="15"/>
              </w:rPr>
              <w:t>Generating clinician-reviewed explanations and translations</w:t>
            </w:r>
          </w:p>
        </w:tc>
        <w:tc>
          <w:tcPr>
            <w:tcW w:type="dxa" w:w="5040"/>
            <w:tcMar>
              <w:top w:w="65" w:type="dxa"/>
              <w:start w:w="70" w:type="dxa"/>
              <w:bottom w:w="65" w:type="dxa"/>
              <w:end w:w="70" w:type="dxa"/>
            </w:tcMar>
            <w:vAlign w:val="top"/>
          </w:tcPr>
          <w:p>
            <w:pPr>
              <w:spacing w:after="0"/>
            </w:pPr>
            <w:r>
              <w:rPr>
                <w:sz w:val="15"/>
              </w:rPr>
              <w:t>Unbounded patient-facing diagnosis or treatment advice</w:t>
            </w:r>
          </w:p>
        </w:tc>
      </w:tr>
      <w:tr>
        <w:trPr>
          <w:cantSplit/>
        </w:trPr>
        <w:tc>
          <w:tcPr>
            <w:tcW w:type="dxa" w:w="5040"/>
            <w:tcMar>
              <w:top w:w="65" w:type="dxa"/>
              <w:start w:w="70" w:type="dxa"/>
              <w:bottom w:w="65" w:type="dxa"/>
              <w:end w:w="70" w:type="dxa"/>
            </w:tcMar>
            <w:vAlign w:val="top"/>
            <w:shd w:fill="F7F9FA"/>
          </w:tcPr>
          <w:p>
            <w:pPr>
              <w:spacing w:after="0"/>
            </w:pPr>
            <w:r>
              <w:rPr>
                <w:sz w:val="15"/>
              </w:rPr>
              <w:t>Creating synthetic edge cases for software verification</w:t>
            </w:r>
          </w:p>
        </w:tc>
        <w:tc>
          <w:tcPr>
            <w:tcW w:type="dxa" w:w="5040"/>
            <w:tcMar>
              <w:top w:w="65" w:type="dxa"/>
              <w:start w:w="70" w:type="dxa"/>
              <w:bottom w:w="65" w:type="dxa"/>
              <w:end w:w="70" w:type="dxa"/>
            </w:tcMar>
            <w:vAlign w:val="top"/>
            <w:shd w:fill="F7F9FA"/>
          </w:tcPr>
          <w:p>
            <w:pPr>
              <w:spacing w:after="0"/>
            </w:pPr>
            <w:r>
              <w:rPr>
                <w:sz w:val="15"/>
              </w:rPr>
              <w:t>Claiming clinical performance from synthetic cases alone</w:t>
            </w:r>
          </w:p>
        </w:tc>
      </w:tr>
    </w:tbl>
    <w:p>
      <w:pPr>
        <w:spacing w:after="20"/>
      </w:pPr>
    </w:p>
    <w:p>
      <w:pPr>
        <w:pStyle w:val="Heading2"/>
      </w:pPr>
      <w:r>
        <w:t>6.3 Frontier research program</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800"/>
            <w:shd w:fill="123E4A"/>
            <w:tcMar>
              <w:top w:w="75" w:type="dxa"/>
              <w:start w:w="70" w:type="dxa"/>
              <w:bottom w:w="75" w:type="dxa"/>
              <w:end w:w="70" w:type="dxa"/>
            </w:tcMar>
            <w:vAlign w:val="center"/>
          </w:tcPr>
          <w:p>
            <w:r>
              <w:rPr>
                <w:b/>
                <w:color w:val="FFFFFF"/>
                <w:sz w:val="14"/>
              </w:rPr>
              <w:t>Research track</w:t>
            </w:r>
          </w:p>
        </w:tc>
        <w:tc>
          <w:tcPr>
            <w:tcW w:type="dxa" w:w="2880"/>
            <w:shd w:fill="123E4A"/>
            <w:tcMar>
              <w:top w:w="75" w:type="dxa"/>
              <w:start w:w="70" w:type="dxa"/>
              <w:bottom w:w="75" w:type="dxa"/>
              <w:end w:w="70" w:type="dxa"/>
            </w:tcMar>
            <w:vAlign w:val="center"/>
          </w:tcPr>
          <w:p>
            <w:r>
              <w:rPr>
                <w:b/>
                <w:color w:val="FFFFFF"/>
                <w:sz w:val="14"/>
              </w:rPr>
              <w:t>Hypothesis</w:t>
            </w:r>
          </w:p>
        </w:tc>
        <w:tc>
          <w:tcPr>
            <w:tcW w:type="dxa" w:w="3240"/>
            <w:shd w:fill="123E4A"/>
            <w:tcMar>
              <w:top w:w="75" w:type="dxa"/>
              <w:start w:w="70" w:type="dxa"/>
              <w:bottom w:w="75" w:type="dxa"/>
              <w:end w:w="70" w:type="dxa"/>
            </w:tcMar>
            <w:vAlign w:val="center"/>
          </w:tcPr>
          <w:p>
            <w:r>
              <w:rPr>
                <w:b/>
                <w:color w:val="FFFFFF"/>
                <w:sz w:val="14"/>
              </w:rPr>
              <w:t>Proposed study</w:t>
            </w:r>
          </w:p>
        </w:tc>
        <w:tc>
          <w:tcPr>
            <w:tcW w:type="dxa" w:w="2160"/>
            <w:shd w:fill="123E4A"/>
            <w:tcMar>
              <w:top w:w="75" w:type="dxa"/>
              <w:start w:w="70" w:type="dxa"/>
              <w:bottom w:w="75" w:type="dxa"/>
              <w:end w:w="70" w:type="dxa"/>
            </w:tcMar>
            <w:vAlign w:val="center"/>
          </w:tcPr>
          <w:p>
            <w:r>
              <w:rPr>
                <w:b/>
                <w:color w:val="FFFFFF"/>
                <w:sz w:val="14"/>
              </w:rPr>
              <w:t>Potential product value</w:t>
            </w:r>
          </w:p>
        </w:tc>
      </w:tr>
      <w:tr>
        <w:trPr>
          <w:cantSplit/>
        </w:trPr>
        <w:tc>
          <w:tcPr>
            <w:tcW w:type="dxa" w:w="1800"/>
            <w:tcMar>
              <w:top w:w="65" w:type="dxa"/>
              <w:start w:w="70" w:type="dxa"/>
              <w:bottom w:w="65" w:type="dxa"/>
              <w:end w:w="70" w:type="dxa"/>
            </w:tcMar>
            <w:vAlign w:val="top"/>
          </w:tcPr>
          <w:p>
            <w:pPr>
              <w:spacing w:after="0"/>
            </w:pPr>
            <w:r>
              <w:rPr>
                <w:sz w:val="14"/>
              </w:rPr>
              <w:t>Adaptive information gain</w:t>
            </w:r>
          </w:p>
        </w:tc>
        <w:tc>
          <w:tcPr>
            <w:tcW w:type="dxa" w:w="2880"/>
            <w:tcMar>
              <w:top w:w="65" w:type="dxa"/>
              <w:start w:w="70" w:type="dxa"/>
              <w:bottom w:w="65" w:type="dxa"/>
              <w:end w:w="70" w:type="dxa"/>
            </w:tcMar>
            <w:vAlign w:val="top"/>
          </w:tcPr>
          <w:p>
            <w:pPr>
              <w:spacing w:after="0"/>
            </w:pPr>
            <w:r>
              <w:rPr>
                <w:sz w:val="14"/>
              </w:rPr>
              <w:t>A smaller, branch-aware question set can preserve differential coverage while reducing completion time</w:t>
            </w:r>
          </w:p>
        </w:tc>
        <w:tc>
          <w:tcPr>
            <w:tcW w:type="dxa" w:w="3240"/>
            <w:tcMar>
              <w:top w:w="65" w:type="dxa"/>
              <w:start w:w="70" w:type="dxa"/>
              <w:bottom w:w="65" w:type="dxa"/>
              <w:end w:w="70" w:type="dxa"/>
            </w:tcMar>
            <w:vAlign w:val="top"/>
          </w:tcPr>
          <w:p>
            <w:pPr>
              <w:spacing w:after="0"/>
            </w:pPr>
            <w:r>
              <w:rPr>
                <w:sz w:val="14"/>
              </w:rPr>
              <w:t>Retrospective simulation, then randomized usability trial comparing fixed vs adaptive intake</w:t>
            </w:r>
          </w:p>
        </w:tc>
        <w:tc>
          <w:tcPr>
            <w:tcW w:type="dxa" w:w="2160"/>
            <w:tcMar>
              <w:top w:w="65" w:type="dxa"/>
              <w:start w:w="70" w:type="dxa"/>
              <w:bottom w:w="65" w:type="dxa"/>
              <w:end w:w="70" w:type="dxa"/>
            </w:tcMar>
            <w:vAlign w:val="top"/>
          </w:tcPr>
          <w:p>
            <w:pPr>
              <w:spacing w:after="0"/>
            </w:pPr>
            <w:r>
              <w:rPr>
                <w:sz w:val="14"/>
              </w:rPr>
              <w:t>Faster workflow and higher completion without hiding missingness.</w:t>
            </w:r>
          </w:p>
        </w:tc>
      </w:tr>
      <w:tr>
        <w:trPr>
          <w:cantSplit/>
        </w:trPr>
        <w:tc>
          <w:tcPr>
            <w:tcW w:type="dxa" w:w="1800"/>
            <w:tcMar>
              <w:top w:w="65" w:type="dxa"/>
              <w:start w:w="70" w:type="dxa"/>
              <w:bottom w:w="65" w:type="dxa"/>
              <w:end w:w="70" w:type="dxa"/>
            </w:tcMar>
            <w:vAlign w:val="top"/>
            <w:shd w:fill="F7F9FA"/>
          </w:tcPr>
          <w:p>
            <w:pPr>
              <w:spacing w:after="0"/>
            </w:pPr>
            <w:r>
              <w:rPr>
                <w:sz w:val="14"/>
              </w:rPr>
              <w:t>Counterfactual explanations</w:t>
            </w:r>
          </w:p>
        </w:tc>
        <w:tc>
          <w:tcPr>
            <w:tcW w:type="dxa" w:w="2880"/>
            <w:tcMar>
              <w:top w:w="65" w:type="dxa"/>
              <w:start w:w="70" w:type="dxa"/>
              <w:bottom w:w="65" w:type="dxa"/>
              <w:end w:w="70" w:type="dxa"/>
            </w:tcMar>
            <w:vAlign w:val="top"/>
            <w:shd w:fill="F7F9FA"/>
          </w:tcPr>
          <w:p>
            <w:pPr>
              <w:spacing w:after="0"/>
            </w:pPr>
            <w:r>
              <w:rPr>
                <w:sz w:val="14"/>
              </w:rPr>
              <w:t>Showing the few findings that would change the pathway improves independent review</w:t>
            </w:r>
          </w:p>
        </w:tc>
        <w:tc>
          <w:tcPr>
            <w:tcW w:type="dxa" w:w="3240"/>
            <w:tcMar>
              <w:top w:w="65" w:type="dxa"/>
              <w:start w:w="70" w:type="dxa"/>
              <w:bottom w:w="65" w:type="dxa"/>
              <w:end w:w="70" w:type="dxa"/>
            </w:tcMar>
            <w:vAlign w:val="top"/>
            <w:shd w:fill="F7F9FA"/>
          </w:tcPr>
          <w:p>
            <w:pPr>
              <w:spacing w:after="0"/>
            </w:pPr>
            <w:r>
              <w:rPr>
                <w:sz w:val="14"/>
              </w:rPr>
              <w:t>Human-factors study measuring comprehension, anchoring, cognitive load, and error</w:t>
            </w:r>
          </w:p>
        </w:tc>
        <w:tc>
          <w:tcPr>
            <w:tcW w:type="dxa" w:w="2160"/>
            <w:tcMar>
              <w:top w:w="65" w:type="dxa"/>
              <w:start w:w="70" w:type="dxa"/>
              <w:bottom w:w="65" w:type="dxa"/>
              <w:end w:w="70" w:type="dxa"/>
            </w:tcMar>
            <w:vAlign w:val="top"/>
            <w:shd w:fill="F7F9FA"/>
          </w:tcPr>
          <w:p>
            <w:pPr>
              <w:spacing w:after="0"/>
            </w:pPr>
            <w:r>
              <w:rPr>
                <w:sz w:val="14"/>
              </w:rPr>
              <w:t>Differentiated transparency; potential regulatory and education advantage.</w:t>
            </w:r>
          </w:p>
        </w:tc>
      </w:tr>
      <w:tr>
        <w:trPr>
          <w:cantSplit/>
        </w:trPr>
        <w:tc>
          <w:tcPr>
            <w:tcW w:type="dxa" w:w="1800"/>
            <w:tcMar>
              <w:top w:w="65" w:type="dxa"/>
              <w:start w:w="70" w:type="dxa"/>
              <w:bottom w:w="65" w:type="dxa"/>
              <w:end w:w="70" w:type="dxa"/>
            </w:tcMar>
            <w:vAlign w:val="top"/>
          </w:tcPr>
          <w:p>
            <w:pPr>
              <w:spacing w:after="0"/>
            </w:pPr>
            <w:r>
              <w:rPr>
                <w:sz w:val="14"/>
              </w:rPr>
              <w:t>Formal rule verification</w:t>
            </w:r>
          </w:p>
        </w:tc>
        <w:tc>
          <w:tcPr>
            <w:tcW w:type="dxa" w:w="2880"/>
            <w:tcMar>
              <w:top w:w="65" w:type="dxa"/>
              <w:start w:w="70" w:type="dxa"/>
              <w:bottom w:w="65" w:type="dxa"/>
              <w:end w:w="70" w:type="dxa"/>
            </w:tcMar>
            <w:vAlign w:val="top"/>
          </w:tcPr>
          <w:p>
            <w:pPr>
              <w:spacing w:after="0"/>
            </w:pPr>
            <w:r>
              <w:rPr>
                <w:sz w:val="14"/>
              </w:rPr>
              <w:t>Property, mutation, and conflict testing can detect clinically material logic defects before release</w:t>
            </w:r>
          </w:p>
        </w:tc>
        <w:tc>
          <w:tcPr>
            <w:tcW w:type="dxa" w:w="3240"/>
            <w:tcMar>
              <w:top w:w="65" w:type="dxa"/>
              <w:start w:w="70" w:type="dxa"/>
              <w:bottom w:w="65" w:type="dxa"/>
              <w:end w:w="70" w:type="dxa"/>
            </w:tcMar>
            <w:vAlign w:val="top"/>
          </w:tcPr>
          <w:p>
            <w:pPr>
              <w:spacing w:after="0"/>
            </w:pPr>
            <w:r>
              <w:rPr>
                <w:sz w:val="14"/>
              </w:rPr>
              <w:t>Build a rule compiler and mutation benchmark; measure defect detection against manual review</w:t>
            </w:r>
          </w:p>
        </w:tc>
        <w:tc>
          <w:tcPr>
            <w:tcW w:type="dxa" w:w="2160"/>
            <w:tcMar>
              <w:top w:w="65" w:type="dxa"/>
              <w:start w:w="70" w:type="dxa"/>
              <w:bottom w:w="65" w:type="dxa"/>
              <w:end w:w="70" w:type="dxa"/>
            </w:tcMar>
            <w:vAlign w:val="top"/>
          </w:tcPr>
          <w:p>
            <w:pPr>
              <w:spacing w:after="0"/>
            </w:pPr>
            <w:r>
              <w:rPr>
                <w:sz w:val="14"/>
              </w:rPr>
              <w:t>Scalable safety and lower marginal module cost.</w:t>
            </w:r>
          </w:p>
        </w:tc>
      </w:tr>
      <w:tr>
        <w:trPr>
          <w:cantSplit/>
        </w:trPr>
        <w:tc>
          <w:tcPr>
            <w:tcW w:type="dxa" w:w="1800"/>
            <w:tcMar>
              <w:top w:w="65" w:type="dxa"/>
              <w:start w:w="70" w:type="dxa"/>
              <w:bottom w:w="65" w:type="dxa"/>
              <w:end w:w="70" w:type="dxa"/>
            </w:tcMar>
            <w:vAlign w:val="top"/>
            <w:shd w:fill="F7F9FA"/>
          </w:tcPr>
          <w:p>
            <w:pPr>
              <w:spacing w:after="0"/>
            </w:pPr>
            <w:r>
              <w:rPr>
                <w:sz w:val="14"/>
              </w:rPr>
              <w:t>Local range harmonization</w:t>
            </w:r>
          </w:p>
        </w:tc>
        <w:tc>
          <w:tcPr>
            <w:tcW w:type="dxa" w:w="2880"/>
            <w:tcMar>
              <w:top w:w="65" w:type="dxa"/>
              <w:start w:w="70" w:type="dxa"/>
              <w:bottom w:w="65" w:type="dxa"/>
              <w:end w:w="70" w:type="dxa"/>
            </w:tcMar>
            <w:vAlign w:val="top"/>
            <w:shd w:fill="F7F9FA"/>
          </w:tcPr>
          <w:p>
            <w:pPr>
              <w:spacing w:after="0"/>
            </w:pPr>
            <w:r>
              <w:rPr>
                <w:sz w:val="14"/>
              </w:rPr>
              <w:t>A typed local range service can reduce mapping and cutoff errors across sites</w:t>
            </w:r>
          </w:p>
        </w:tc>
        <w:tc>
          <w:tcPr>
            <w:tcW w:type="dxa" w:w="3240"/>
            <w:tcMar>
              <w:top w:w="65" w:type="dxa"/>
              <w:start w:w="70" w:type="dxa"/>
              <w:bottom w:w="65" w:type="dxa"/>
              <w:end w:w="70" w:type="dxa"/>
            </w:tcMar>
            <w:vAlign w:val="top"/>
            <w:shd w:fill="F7F9FA"/>
          </w:tcPr>
          <w:p>
            <w:pPr>
              <w:spacing w:after="0"/>
            </w:pPr>
            <w:r>
              <w:rPr>
                <w:sz w:val="14"/>
              </w:rPr>
              <w:t>Multi-site analyzer/reference-range registry and mapping validation</w:t>
            </w:r>
          </w:p>
        </w:tc>
        <w:tc>
          <w:tcPr>
            <w:tcW w:type="dxa" w:w="2160"/>
            <w:tcMar>
              <w:top w:w="65" w:type="dxa"/>
              <w:start w:w="70" w:type="dxa"/>
              <w:bottom w:w="65" w:type="dxa"/>
              <w:end w:w="70" w:type="dxa"/>
            </w:tcMar>
            <w:vAlign w:val="top"/>
            <w:shd w:fill="F7F9FA"/>
          </w:tcPr>
          <w:p>
            <w:pPr>
              <w:spacing w:after="0"/>
            </w:pPr>
            <w:r>
              <w:rPr>
                <w:sz w:val="14"/>
              </w:rPr>
              <w:t>Enterprise deployment moat and reusable implementation asset.</w:t>
            </w:r>
          </w:p>
        </w:tc>
      </w:tr>
      <w:tr>
        <w:trPr>
          <w:cantSplit/>
        </w:trPr>
        <w:tc>
          <w:tcPr>
            <w:tcW w:type="dxa" w:w="1800"/>
            <w:tcMar>
              <w:top w:w="65" w:type="dxa"/>
              <w:start w:w="70" w:type="dxa"/>
              <w:bottom w:w="65" w:type="dxa"/>
              <w:end w:w="70" w:type="dxa"/>
            </w:tcMar>
            <w:vAlign w:val="top"/>
          </w:tcPr>
          <w:p>
            <w:pPr>
              <w:spacing w:after="0"/>
            </w:pPr>
            <w:r>
              <w:rPr>
                <w:sz w:val="14"/>
              </w:rPr>
              <w:t>Longitudinal trajectories</w:t>
            </w:r>
          </w:p>
        </w:tc>
        <w:tc>
          <w:tcPr>
            <w:tcW w:type="dxa" w:w="2880"/>
            <w:tcMar>
              <w:top w:w="65" w:type="dxa"/>
              <w:start w:w="70" w:type="dxa"/>
              <w:bottom w:w="65" w:type="dxa"/>
              <w:end w:w="70" w:type="dxa"/>
            </w:tcMar>
            <w:vAlign w:val="top"/>
          </w:tcPr>
          <w:p>
            <w:pPr>
              <w:spacing w:after="0"/>
            </w:pPr>
            <w:r>
              <w:rPr>
                <w:sz w:val="14"/>
              </w:rPr>
              <w:t>Change over time adds value beyond a one-time differential</w:t>
            </w:r>
          </w:p>
        </w:tc>
        <w:tc>
          <w:tcPr>
            <w:tcW w:type="dxa" w:w="3240"/>
            <w:tcMar>
              <w:top w:w="65" w:type="dxa"/>
              <w:start w:w="70" w:type="dxa"/>
              <w:bottom w:w="65" w:type="dxa"/>
              <w:end w:w="70" w:type="dxa"/>
            </w:tcMar>
            <w:vAlign w:val="top"/>
          </w:tcPr>
          <w:p>
            <w:pPr>
              <w:spacing w:after="0"/>
            </w:pPr>
            <w:r>
              <w:rPr>
                <w:sz w:val="14"/>
              </w:rPr>
              <w:t>Retrospective cohorts with adjudicated response and follow-up, followed by silent mode</w:t>
            </w:r>
          </w:p>
        </w:tc>
        <w:tc>
          <w:tcPr>
            <w:tcW w:type="dxa" w:w="2160"/>
            <w:tcMar>
              <w:top w:w="65" w:type="dxa"/>
              <w:start w:w="70" w:type="dxa"/>
              <w:bottom w:w="65" w:type="dxa"/>
              <w:end w:w="70" w:type="dxa"/>
            </w:tcMar>
            <w:vAlign w:val="top"/>
          </w:tcPr>
          <w:p>
            <w:pPr>
              <w:spacing w:after="0"/>
            </w:pPr>
            <w:r>
              <w:rPr>
                <w:sz w:val="14"/>
              </w:rPr>
              <w:t>Recurring use, response tracking, and care-gap identification.</w:t>
            </w:r>
          </w:p>
        </w:tc>
      </w:tr>
      <w:tr>
        <w:trPr>
          <w:cantSplit/>
        </w:trPr>
        <w:tc>
          <w:tcPr>
            <w:tcW w:type="dxa" w:w="1800"/>
            <w:tcMar>
              <w:top w:w="65" w:type="dxa"/>
              <w:start w:w="70" w:type="dxa"/>
              <w:bottom w:w="65" w:type="dxa"/>
              <w:end w:w="70" w:type="dxa"/>
            </w:tcMar>
            <w:vAlign w:val="top"/>
            <w:shd w:fill="F7F9FA"/>
          </w:tcPr>
          <w:p>
            <w:pPr>
              <w:spacing w:after="0"/>
            </w:pPr>
            <w:r>
              <w:rPr>
                <w:sz w:val="14"/>
              </w:rPr>
              <w:t>Referral quality</w:t>
            </w:r>
          </w:p>
        </w:tc>
        <w:tc>
          <w:tcPr>
            <w:tcW w:type="dxa" w:w="2880"/>
            <w:tcMar>
              <w:top w:w="65" w:type="dxa"/>
              <w:start w:w="70" w:type="dxa"/>
              <w:bottom w:w="65" w:type="dxa"/>
              <w:end w:w="70" w:type="dxa"/>
            </w:tcMar>
            <w:vAlign w:val="top"/>
            <w:shd w:fill="F7F9FA"/>
          </w:tcPr>
          <w:p>
            <w:pPr>
              <w:spacing w:after="0"/>
            </w:pPr>
            <w:r>
              <w:rPr>
                <w:sz w:val="14"/>
              </w:rPr>
              <w:t>A structured pre-referral pathway improves completeness and specialist triage</w:t>
            </w:r>
          </w:p>
        </w:tc>
        <w:tc>
          <w:tcPr>
            <w:tcW w:type="dxa" w:w="3240"/>
            <w:tcMar>
              <w:top w:w="65" w:type="dxa"/>
              <w:start w:w="70" w:type="dxa"/>
              <w:bottom w:w="65" w:type="dxa"/>
              <w:end w:w="70" w:type="dxa"/>
            </w:tcMar>
            <w:vAlign w:val="top"/>
            <w:shd w:fill="F7F9FA"/>
          </w:tcPr>
          <w:p>
            <w:pPr>
              <w:spacing w:after="0"/>
            </w:pPr>
            <w:r>
              <w:rPr>
                <w:sz w:val="14"/>
              </w:rPr>
              <w:t>Cluster or stepped-wedge implementation study with referral completeness/time metrics</w:t>
            </w:r>
          </w:p>
        </w:tc>
        <w:tc>
          <w:tcPr>
            <w:tcW w:type="dxa" w:w="2160"/>
            <w:tcMar>
              <w:top w:w="65" w:type="dxa"/>
              <w:start w:w="70" w:type="dxa"/>
              <w:bottom w:w="65" w:type="dxa"/>
              <w:end w:w="70" w:type="dxa"/>
            </w:tcMar>
            <w:vAlign w:val="top"/>
            <w:shd w:fill="F7F9FA"/>
          </w:tcPr>
          <w:p>
            <w:pPr>
              <w:spacing w:after="0"/>
            </w:pPr>
            <w:r>
              <w:rPr>
                <w:sz w:val="14"/>
              </w:rPr>
              <w:t>Clear health-system ROI and specialty partnership.</w:t>
            </w:r>
          </w:p>
        </w:tc>
      </w:tr>
      <w:tr>
        <w:trPr>
          <w:cantSplit/>
        </w:trPr>
        <w:tc>
          <w:tcPr>
            <w:tcW w:type="dxa" w:w="1800"/>
            <w:tcMar>
              <w:top w:w="65" w:type="dxa"/>
              <w:start w:w="70" w:type="dxa"/>
              <w:bottom w:w="65" w:type="dxa"/>
              <w:end w:w="70" w:type="dxa"/>
            </w:tcMar>
            <w:vAlign w:val="top"/>
          </w:tcPr>
          <w:p>
            <w:pPr>
              <w:spacing w:after="0"/>
            </w:pPr>
            <w:r>
              <w:rPr>
                <w:sz w:val="14"/>
              </w:rPr>
              <w:t>Test utilization</w:t>
            </w:r>
          </w:p>
        </w:tc>
        <w:tc>
          <w:tcPr>
            <w:tcW w:type="dxa" w:w="2880"/>
            <w:tcMar>
              <w:top w:w="65" w:type="dxa"/>
              <w:start w:w="70" w:type="dxa"/>
              <w:bottom w:w="65" w:type="dxa"/>
              <w:end w:w="70" w:type="dxa"/>
            </w:tcMar>
            <w:vAlign w:val="top"/>
          </w:tcPr>
          <w:p>
            <w:pPr>
              <w:spacing w:after="0"/>
            </w:pPr>
            <w:r>
              <w:rPr>
                <w:sz w:val="14"/>
              </w:rPr>
              <w:t>Transparent pathway guidance can reduce low-value repeat testing without missed harm</w:t>
            </w:r>
          </w:p>
        </w:tc>
        <w:tc>
          <w:tcPr>
            <w:tcW w:type="dxa" w:w="3240"/>
            <w:tcMar>
              <w:top w:w="65" w:type="dxa"/>
              <w:start w:w="70" w:type="dxa"/>
              <w:bottom w:w="65" w:type="dxa"/>
              <w:end w:w="70" w:type="dxa"/>
            </w:tcMar>
            <w:vAlign w:val="top"/>
          </w:tcPr>
          <w:p>
            <w:pPr>
              <w:spacing w:after="0"/>
            </w:pPr>
            <w:r>
              <w:rPr>
                <w:sz w:val="14"/>
              </w:rPr>
              <w:t>Before-after or randomized pragmatic study with safety balancing measures</w:t>
            </w:r>
          </w:p>
        </w:tc>
        <w:tc>
          <w:tcPr>
            <w:tcW w:type="dxa" w:w="2160"/>
            <w:tcMar>
              <w:top w:w="65" w:type="dxa"/>
              <w:start w:w="70" w:type="dxa"/>
              <w:bottom w:w="65" w:type="dxa"/>
              <w:end w:w="70" w:type="dxa"/>
            </w:tcMar>
            <w:vAlign w:val="top"/>
          </w:tcPr>
          <w:p>
            <w:pPr>
              <w:spacing w:after="0"/>
            </w:pPr>
            <w:r>
              <w:rPr>
                <w:sz w:val="14"/>
              </w:rPr>
              <w:t>Direct economic value for enterprise buyers.</w:t>
            </w:r>
          </w:p>
        </w:tc>
      </w:tr>
      <w:tr>
        <w:trPr>
          <w:cantSplit/>
        </w:trPr>
        <w:tc>
          <w:tcPr>
            <w:tcW w:type="dxa" w:w="1800"/>
            <w:tcMar>
              <w:top w:w="65" w:type="dxa"/>
              <w:start w:w="70" w:type="dxa"/>
              <w:bottom w:w="65" w:type="dxa"/>
              <w:end w:w="70" w:type="dxa"/>
            </w:tcMar>
            <w:vAlign w:val="top"/>
            <w:shd w:fill="F7F9FA"/>
          </w:tcPr>
          <w:p>
            <w:pPr>
              <w:spacing w:after="0"/>
            </w:pPr>
            <w:r>
              <w:rPr>
                <w:sz w:val="14"/>
              </w:rPr>
              <w:t>Federated validation</w:t>
            </w:r>
          </w:p>
        </w:tc>
        <w:tc>
          <w:tcPr>
            <w:tcW w:type="dxa" w:w="2880"/>
            <w:tcMar>
              <w:top w:w="65" w:type="dxa"/>
              <w:start w:w="70" w:type="dxa"/>
              <w:bottom w:w="65" w:type="dxa"/>
              <w:end w:w="70" w:type="dxa"/>
            </w:tcMar>
            <w:vAlign w:val="top"/>
            <w:shd w:fill="F7F9FA"/>
          </w:tcPr>
          <w:p>
            <w:pPr>
              <w:spacing w:after="0"/>
            </w:pPr>
            <w:r>
              <w:rPr>
                <w:sz w:val="14"/>
              </w:rPr>
              <w:t>Sites can evaluate modules without centralizing identifiable data</w:t>
            </w:r>
          </w:p>
        </w:tc>
        <w:tc>
          <w:tcPr>
            <w:tcW w:type="dxa" w:w="3240"/>
            <w:tcMar>
              <w:top w:w="65" w:type="dxa"/>
              <w:start w:w="70" w:type="dxa"/>
              <w:bottom w:w="65" w:type="dxa"/>
              <w:end w:w="70" w:type="dxa"/>
            </w:tcMar>
            <w:vAlign w:val="top"/>
            <w:shd w:fill="F7F9FA"/>
          </w:tcPr>
          <w:p>
            <w:pPr>
              <w:spacing w:after="0"/>
            </w:pPr>
            <w:r>
              <w:rPr>
                <w:sz w:val="14"/>
              </w:rPr>
              <w:t>Containerized local validation and aggregate reporting</w:t>
            </w:r>
          </w:p>
        </w:tc>
        <w:tc>
          <w:tcPr>
            <w:tcW w:type="dxa" w:w="2160"/>
            <w:tcMar>
              <w:top w:w="65" w:type="dxa"/>
              <w:start w:w="70" w:type="dxa"/>
              <w:bottom w:w="65" w:type="dxa"/>
              <w:end w:w="70" w:type="dxa"/>
            </w:tcMar>
            <w:vAlign w:val="top"/>
            <w:shd w:fill="F7F9FA"/>
          </w:tcPr>
          <w:p>
            <w:pPr>
              <w:spacing w:after="0"/>
            </w:pPr>
            <w:r>
              <w:rPr>
                <w:sz w:val="14"/>
              </w:rPr>
              <w:t>Faster multi-site evidence and stronger privacy posture.</w:t>
            </w:r>
          </w:p>
        </w:tc>
      </w:tr>
    </w:tbl>
    <w:p>
      <w:pPr>
        <w:spacing w:after="20"/>
      </w:pPr>
    </w:p>
    <w:p>
      <w:pPr>
        <w:pStyle w:val="Heading1"/>
      </w:pPr>
      <w:r>
        <w:t>7. Production platform and interoperability</w:t>
      </w:r>
    </w:p>
    <w:p>
      <w:pPr>
        <w:pStyle w:val="Heading2"/>
      </w:pPr>
      <w:r>
        <w:t>7.1 Recommended architecture</w:t>
      </w:r>
    </w:p>
    <w:tbl>
      <w:tblPr>
        <w:tblW w:type="auto" w:w="0"/>
        <w:jc w:val="center"/>
        <w:tblLayout w:type="fixed"/>
        <w:tblLook w:firstColumn="1" w:firstRow="1" w:lastColumn="0" w:lastRow="0" w:noHBand="0" w:noVBand="1" w:val="04A0"/>
      </w:tblPr>
      <w:tblGrid>
        <w:gridCol w:w="10282"/>
      </w:tblGrid>
      <w:tr>
        <w:tc>
          <w:tcPr>
            <w:tcW w:type="dxa" w:w="10080"/>
            <w:shd w:fill="EEF3F5"/>
            <w:tcMar>
              <w:top w:w="90" w:type="dxa"/>
              <w:start w:w="110" w:type="dxa"/>
              <w:bottom w:w="90" w:type="dxa"/>
              <w:end w:w="110" w:type="dxa"/>
            </w:tcMar>
          </w:tcPr>
          <w:p>
            <w:pPr>
              <w:pStyle w:val="CodeSmall"/>
            </w:pPr>
            <w:r>
              <w:rPr>
                <w:rFonts w:ascii="DejaVu Sans Mono" w:hAnsi="DejaVu Sans Mono"/>
                <w:sz w:val="15"/>
              </w:rPr>
              <w:t>EHR / clinician browser</w:t>
              <w:br/>
              <w:t xml:space="preserve">    -&gt; SMART launch or authenticated web app</w:t>
              <w:br/>
              <w:t xml:space="preserve">    -&gt; FHIR normalization and provenance layer</w:t>
              <w:br/>
              <w:t xml:space="preserve">    -&gt; versioned deterministic assessment service</w:t>
              <w:br/>
              <w:t xml:space="preserve">    -&gt; signed evidence and rule package</w:t>
              <w:br/>
              <w:t xml:space="preserve">    -&gt; clinician explanation + optional workflow suggestions</w:t>
              <w:br/>
              <w:t xml:space="preserve">    -&gt; minimal audit metadata, analytics, and validation telemetry</w:t>
              <w:br/>
              <w:br/>
              <w:t>Evidence Foundry</w:t>
              <w:br/>
              <w:t xml:space="preserve">    -&gt; evidence registry -&gt; rule compiler -&gt; test harness -&gt; clinical approval</w:t>
              <w:br/>
              <w:t xml:space="preserve">    -&gt; signed release -&gt; tenant configuration -&gt; runtime</w:t>
            </w:r>
          </w:p>
        </w:tc>
      </w:tr>
    </w:tbl>
    <w:p>
      <w:pPr>
        <w:spacing w:after="0"/>
      </w:pPr>
    </w:p>
    <w:p>
      <w:r>
        <w:t>SMART App Launch provides a current FHIR-based app authorization and launch pattern. CDS Hooks provides workflow-triggered synchronous CDS and can link to a SMART app. FHIR PlanDefinition can represent conditions, triggers, and actions, while FHIR Questionnaire/QuestionnaireResponse can represent the adaptive intake. [R3-R6]</w:t>
      </w:r>
    </w:p>
    <w:p>
      <w:pPr>
        <w:pStyle w:val="Heading2"/>
      </w:pPr>
      <w:r>
        <w:t>7.2 Platform components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23E4A"/>
            <w:tcMar>
              <w:top w:w="75" w:type="dxa"/>
              <w:start w:w="70" w:type="dxa"/>
              <w:bottom w:w="75" w:type="dxa"/>
              <w:end w:w="70" w:type="dxa"/>
            </w:tcMar>
            <w:vAlign w:val="center"/>
          </w:tcPr>
          <w:p>
            <w:r>
              <w:rPr>
                <w:b/>
                <w:color w:val="FFFFFF"/>
                <w:sz w:val="14"/>
              </w:rPr>
              <w:t>Component</w:t>
            </w:r>
          </w:p>
        </w:tc>
        <w:tc>
          <w:tcPr>
            <w:tcW w:type="dxa" w:w="4464"/>
            <w:shd w:fill="123E4A"/>
            <w:tcMar>
              <w:top w:w="75" w:type="dxa"/>
              <w:start w:w="70" w:type="dxa"/>
              <w:bottom w:w="75" w:type="dxa"/>
              <w:end w:w="70" w:type="dxa"/>
            </w:tcMar>
            <w:vAlign w:val="center"/>
          </w:tcPr>
          <w:p>
            <w:r>
              <w:rPr>
                <w:b/>
                <w:color w:val="FFFFFF"/>
                <w:sz w:val="14"/>
              </w:rPr>
              <w:t>Responsibility</w:t>
            </w:r>
          </w:p>
        </w:tc>
        <w:tc>
          <w:tcPr>
            <w:tcW w:type="dxa" w:w="3240"/>
            <w:shd w:fill="123E4A"/>
            <w:tcMar>
              <w:top w:w="75" w:type="dxa"/>
              <w:start w:w="70" w:type="dxa"/>
              <w:bottom w:w="75" w:type="dxa"/>
              <w:end w:w="70" w:type="dxa"/>
            </w:tcMar>
            <w:vAlign w:val="center"/>
          </w:tcPr>
          <w:p>
            <w:r>
              <w:rPr>
                <w:b/>
                <w:color w:val="FFFFFF"/>
                <w:sz w:val="14"/>
              </w:rPr>
              <w:t>Commercial significance</w:t>
            </w:r>
          </w:p>
        </w:tc>
      </w:tr>
      <w:tr>
        <w:trPr>
          <w:cantSplit/>
        </w:trPr>
        <w:tc>
          <w:tcPr>
            <w:tcW w:type="dxa" w:w="2376"/>
            <w:tcMar>
              <w:top w:w="65" w:type="dxa"/>
              <w:start w:w="70" w:type="dxa"/>
              <w:bottom w:w="65" w:type="dxa"/>
              <w:end w:w="70" w:type="dxa"/>
            </w:tcMar>
            <w:vAlign w:val="top"/>
          </w:tcPr>
          <w:p>
            <w:pPr>
              <w:spacing w:after="0"/>
            </w:pPr>
            <w:r>
              <w:rPr>
                <w:sz w:val="14"/>
              </w:rPr>
              <w:t>Clinician SPA / SMART app</w:t>
            </w:r>
          </w:p>
        </w:tc>
        <w:tc>
          <w:tcPr>
            <w:tcW w:type="dxa" w:w="4464"/>
            <w:tcMar>
              <w:top w:w="65" w:type="dxa"/>
              <w:start w:w="70" w:type="dxa"/>
              <w:bottom w:w="65" w:type="dxa"/>
              <w:end w:w="70" w:type="dxa"/>
            </w:tcMar>
            <w:vAlign w:val="top"/>
          </w:tcPr>
          <w:p>
            <w:pPr>
              <w:spacing w:after="0"/>
            </w:pPr>
            <w:r>
              <w:rPr>
                <w:sz w:val="14"/>
              </w:rPr>
              <w:t>Assessment, explanation, trends, local configuration display, exports</w:t>
            </w:r>
          </w:p>
        </w:tc>
        <w:tc>
          <w:tcPr>
            <w:tcW w:type="dxa" w:w="3240"/>
            <w:tcMar>
              <w:top w:w="65" w:type="dxa"/>
              <w:start w:w="70" w:type="dxa"/>
              <w:bottom w:w="65" w:type="dxa"/>
              <w:end w:w="70" w:type="dxa"/>
            </w:tcMar>
            <w:vAlign w:val="top"/>
          </w:tcPr>
          <w:p>
            <w:pPr>
              <w:spacing w:after="0"/>
            </w:pPr>
            <w:r>
              <w:rPr>
                <w:sz w:val="14"/>
              </w:rPr>
              <w:t>Primary user experience and adoption.</w:t>
            </w:r>
          </w:p>
        </w:tc>
      </w:tr>
      <w:tr>
        <w:trPr>
          <w:cantSplit/>
        </w:trPr>
        <w:tc>
          <w:tcPr>
            <w:tcW w:type="dxa" w:w="2376"/>
            <w:tcMar>
              <w:top w:w="65" w:type="dxa"/>
              <w:start w:w="70" w:type="dxa"/>
              <w:bottom w:w="65" w:type="dxa"/>
              <w:end w:w="70" w:type="dxa"/>
            </w:tcMar>
            <w:vAlign w:val="top"/>
            <w:shd w:fill="F7F9FA"/>
          </w:tcPr>
          <w:p>
            <w:pPr>
              <w:spacing w:after="0"/>
            </w:pPr>
            <w:r>
              <w:rPr>
                <w:sz w:val="14"/>
              </w:rPr>
              <w:t>FHIR adapter and terminology service</w:t>
            </w:r>
          </w:p>
        </w:tc>
        <w:tc>
          <w:tcPr>
            <w:tcW w:type="dxa" w:w="4464"/>
            <w:tcMar>
              <w:top w:w="65" w:type="dxa"/>
              <w:start w:w="70" w:type="dxa"/>
              <w:bottom w:w="65" w:type="dxa"/>
              <w:end w:w="70" w:type="dxa"/>
            </w:tcMar>
            <w:vAlign w:val="top"/>
            <w:shd w:fill="F7F9FA"/>
          </w:tcPr>
          <w:p>
            <w:pPr>
              <w:spacing w:after="0"/>
            </w:pPr>
            <w:r>
              <w:rPr>
                <w:sz w:val="14"/>
              </w:rPr>
              <w:t>Map Patient, Observation, DiagnosticReport, Condition, QuestionnaireResponse, units, and provenance</w:t>
            </w:r>
          </w:p>
        </w:tc>
        <w:tc>
          <w:tcPr>
            <w:tcW w:type="dxa" w:w="3240"/>
            <w:tcMar>
              <w:top w:w="65" w:type="dxa"/>
              <w:start w:w="70" w:type="dxa"/>
              <w:bottom w:w="65" w:type="dxa"/>
              <w:end w:w="70" w:type="dxa"/>
            </w:tcMar>
            <w:vAlign w:val="top"/>
            <w:shd w:fill="F7F9FA"/>
          </w:tcPr>
          <w:p>
            <w:pPr>
              <w:spacing w:after="0"/>
            </w:pPr>
            <w:r>
              <w:rPr>
                <w:sz w:val="14"/>
              </w:rPr>
              <w:t>Reduces implementation burden and makes modules portable.</w:t>
            </w:r>
          </w:p>
        </w:tc>
      </w:tr>
      <w:tr>
        <w:trPr>
          <w:cantSplit/>
        </w:trPr>
        <w:tc>
          <w:tcPr>
            <w:tcW w:type="dxa" w:w="2376"/>
            <w:tcMar>
              <w:top w:w="65" w:type="dxa"/>
              <w:start w:w="70" w:type="dxa"/>
              <w:bottom w:w="65" w:type="dxa"/>
              <w:end w:w="70" w:type="dxa"/>
            </w:tcMar>
            <w:vAlign w:val="top"/>
          </w:tcPr>
          <w:p>
            <w:pPr>
              <w:spacing w:after="0"/>
            </w:pPr>
            <w:r>
              <w:rPr>
                <w:sz w:val="14"/>
              </w:rPr>
              <w:t>Assessment runtime</w:t>
            </w:r>
          </w:p>
        </w:tc>
        <w:tc>
          <w:tcPr>
            <w:tcW w:type="dxa" w:w="4464"/>
            <w:tcMar>
              <w:top w:w="65" w:type="dxa"/>
              <w:start w:w="70" w:type="dxa"/>
              <w:bottom w:w="65" w:type="dxa"/>
              <w:end w:w="70" w:type="dxa"/>
            </w:tcMar>
            <w:vAlign w:val="top"/>
          </w:tcPr>
          <w:p>
            <w:pPr>
              <w:spacing w:after="0"/>
            </w:pPr>
            <w:r>
              <w:rPr>
                <w:sz w:val="14"/>
              </w:rPr>
              <w:t>Validate input, derive facts, execute signed rules, return deterministic result</w:t>
            </w:r>
          </w:p>
        </w:tc>
        <w:tc>
          <w:tcPr>
            <w:tcW w:type="dxa" w:w="3240"/>
            <w:tcMar>
              <w:top w:w="65" w:type="dxa"/>
              <w:start w:w="70" w:type="dxa"/>
              <w:bottom w:w="65" w:type="dxa"/>
              <w:end w:w="70" w:type="dxa"/>
            </w:tcMar>
            <w:vAlign w:val="top"/>
          </w:tcPr>
          <w:p>
            <w:pPr>
              <w:spacing w:after="0"/>
            </w:pPr>
            <w:r>
              <w:rPr>
                <w:sz w:val="14"/>
              </w:rPr>
              <w:t>Core regulated or clinically governed function.</w:t>
            </w:r>
          </w:p>
        </w:tc>
      </w:tr>
      <w:tr>
        <w:trPr>
          <w:cantSplit/>
        </w:trPr>
        <w:tc>
          <w:tcPr>
            <w:tcW w:type="dxa" w:w="2376"/>
            <w:tcMar>
              <w:top w:w="65" w:type="dxa"/>
              <w:start w:w="70" w:type="dxa"/>
              <w:bottom w:w="65" w:type="dxa"/>
              <w:end w:w="70" w:type="dxa"/>
            </w:tcMar>
            <w:vAlign w:val="top"/>
            <w:shd w:fill="F7F9FA"/>
          </w:tcPr>
          <w:p>
            <w:pPr>
              <w:spacing w:after="0"/>
            </w:pPr>
            <w:r>
              <w:rPr>
                <w:sz w:val="14"/>
              </w:rPr>
              <w:t>Knowledge package registry</w:t>
            </w:r>
          </w:p>
        </w:tc>
        <w:tc>
          <w:tcPr>
            <w:tcW w:type="dxa" w:w="4464"/>
            <w:tcMar>
              <w:top w:w="65" w:type="dxa"/>
              <w:start w:w="70" w:type="dxa"/>
              <w:bottom w:w="65" w:type="dxa"/>
              <w:end w:w="70" w:type="dxa"/>
            </w:tcMar>
            <w:vAlign w:val="top"/>
            <w:shd w:fill="F7F9FA"/>
          </w:tcPr>
          <w:p>
            <w:pPr>
              <w:spacing w:after="0"/>
            </w:pPr>
            <w:r>
              <w:rPr>
                <w:sz w:val="14"/>
              </w:rPr>
              <w:t>Immutable rules, evidence, ranges, test manifest, effective/expiry dates</w:t>
            </w:r>
          </w:p>
        </w:tc>
        <w:tc>
          <w:tcPr>
            <w:tcW w:type="dxa" w:w="3240"/>
            <w:tcMar>
              <w:top w:w="65" w:type="dxa"/>
              <w:start w:w="70" w:type="dxa"/>
              <w:bottom w:w="65" w:type="dxa"/>
              <w:end w:w="70" w:type="dxa"/>
            </w:tcMar>
            <w:vAlign w:val="top"/>
            <w:shd w:fill="F7F9FA"/>
          </w:tcPr>
          <w:p>
            <w:pPr>
              <w:spacing w:after="0"/>
            </w:pPr>
            <w:r>
              <w:rPr>
                <w:sz w:val="14"/>
              </w:rPr>
              <w:t>Licensable content asset and reproducibility.</w:t>
            </w:r>
          </w:p>
        </w:tc>
      </w:tr>
      <w:tr>
        <w:trPr>
          <w:cantSplit/>
        </w:trPr>
        <w:tc>
          <w:tcPr>
            <w:tcW w:type="dxa" w:w="2376"/>
            <w:tcMar>
              <w:top w:w="65" w:type="dxa"/>
              <w:start w:w="70" w:type="dxa"/>
              <w:bottom w:w="65" w:type="dxa"/>
              <w:end w:w="70" w:type="dxa"/>
            </w:tcMar>
            <w:vAlign w:val="top"/>
          </w:tcPr>
          <w:p>
            <w:pPr>
              <w:spacing w:after="0"/>
            </w:pPr>
            <w:r>
              <w:rPr>
                <w:sz w:val="14"/>
              </w:rPr>
              <w:t>Clinical content portal</w:t>
            </w:r>
          </w:p>
        </w:tc>
        <w:tc>
          <w:tcPr>
            <w:tcW w:type="dxa" w:w="4464"/>
            <w:tcMar>
              <w:top w:w="65" w:type="dxa"/>
              <w:start w:w="70" w:type="dxa"/>
              <w:bottom w:w="65" w:type="dxa"/>
              <w:end w:w="70" w:type="dxa"/>
            </w:tcMar>
            <w:vAlign w:val="top"/>
          </w:tcPr>
          <w:p>
            <w:pPr>
              <w:spacing w:after="0"/>
            </w:pPr>
            <w:r>
              <w:rPr>
                <w:sz w:val="14"/>
              </w:rPr>
              <w:t>Source review, adjudication, approval, diff, release, rollback</w:t>
            </w:r>
          </w:p>
        </w:tc>
        <w:tc>
          <w:tcPr>
            <w:tcW w:type="dxa" w:w="3240"/>
            <w:tcMar>
              <w:top w:w="65" w:type="dxa"/>
              <w:start w:w="70" w:type="dxa"/>
              <w:bottom w:w="65" w:type="dxa"/>
              <w:end w:w="70" w:type="dxa"/>
            </w:tcMar>
            <w:vAlign w:val="top"/>
          </w:tcPr>
          <w:p>
            <w:pPr>
              <w:spacing w:after="0"/>
            </w:pPr>
            <w:r>
              <w:rPr>
                <w:sz w:val="14"/>
              </w:rPr>
              <w:t>Operational moat and auditability.</w:t>
            </w:r>
          </w:p>
        </w:tc>
      </w:tr>
      <w:tr>
        <w:trPr>
          <w:cantSplit/>
        </w:trPr>
        <w:tc>
          <w:tcPr>
            <w:tcW w:type="dxa" w:w="2376"/>
            <w:tcMar>
              <w:top w:w="65" w:type="dxa"/>
              <w:start w:w="70" w:type="dxa"/>
              <w:bottom w:w="65" w:type="dxa"/>
              <w:end w:w="70" w:type="dxa"/>
            </w:tcMar>
            <w:vAlign w:val="top"/>
            <w:shd w:fill="F7F9FA"/>
          </w:tcPr>
          <w:p>
            <w:pPr>
              <w:spacing w:after="0"/>
            </w:pPr>
            <w:r>
              <w:rPr>
                <w:sz w:val="14"/>
              </w:rPr>
              <w:t>Tenant configuration service</w:t>
            </w:r>
          </w:p>
        </w:tc>
        <w:tc>
          <w:tcPr>
            <w:tcW w:type="dxa" w:w="4464"/>
            <w:tcMar>
              <w:top w:w="65" w:type="dxa"/>
              <w:start w:w="70" w:type="dxa"/>
              <w:bottom w:w="65" w:type="dxa"/>
              <w:end w:w="70" w:type="dxa"/>
            </w:tcMar>
            <w:vAlign w:val="top"/>
            <w:shd w:fill="F7F9FA"/>
          </w:tcPr>
          <w:p>
            <w:pPr>
              <w:spacing w:after="0"/>
            </w:pPr>
            <w:r>
              <w:rPr>
                <w:sz w:val="14"/>
              </w:rPr>
              <w:t>Local lab ranges, policies, labels, escalation contacts, display settings</w:t>
            </w:r>
          </w:p>
        </w:tc>
        <w:tc>
          <w:tcPr>
            <w:tcW w:type="dxa" w:w="3240"/>
            <w:tcMar>
              <w:top w:w="65" w:type="dxa"/>
              <w:start w:w="70" w:type="dxa"/>
              <w:bottom w:w="65" w:type="dxa"/>
              <w:end w:w="70" w:type="dxa"/>
            </w:tcMar>
            <w:vAlign w:val="top"/>
            <w:shd w:fill="F7F9FA"/>
          </w:tcPr>
          <w:p>
            <w:pPr>
              <w:spacing w:after="0"/>
            </w:pPr>
            <w:r>
              <w:rPr>
                <w:sz w:val="14"/>
              </w:rPr>
              <w:t>Enterprise fit without forking core logic.</w:t>
            </w:r>
          </w:p>
        </w:tc>
      </w:tr>
      <w:tr>
        <w:trPr>
          <w:cantSplit/>
        </w:trPr>
        <w:tc>
          <w:tcPr>
            <w:tcW w:type="dxa" w:w="2376"/>
            <w:tcMar>
              <w:top w:w="65" w:type="dxa"/>
              <w:start w:w="70" w:type="dxa"/>
              <w:bottom w:w="65" w:type="dxa"/>
              <w:end w:w="70" w:type="dxa"/>
            </w:tcMar>
            <w:vAlign w:val="top"/>
          </w:tcPr>
          <w:p>
            <w:pPr>
              <w:spacing w:after="0"/>
            </w:pPr>
            <w:r>
              <w:rPr>
                <w:sz w:val="14"/>
              </w:rPr>
              <w:t>Analytics and validation service</w:t>
            </w:r>
          </w:p>
        </w:tc>
        <w:tc>
          <w:tcPr>
            <w:tcW w:type="dxa" w:w="4464"/>
            <w:tcMar>
              <w:top w:w="65" w:type="dxa"/>
              <w:start w:w="70" w:type="dxa"/>
              <w:bottom w:w="65" w:type="dxa"/>
              <w:end w:w="70" w:type="dxa"/>
            </w:tcMar>
            <w:vAlign w:val="top"/>
          </w:tcPr>
          <w:p>
            <w:pPr>
              <w:spacing w:after="0"/>
            </w:pPr>
            <w:r>
              <w:rPr>
                <w:sz w:val="14"/>
              </w:rPr>
              <w:t>Adoption, override, completion, test/referral metrics, subgroup and site performance</w:t>
            </w:r>
          </w:p>
        </w:tc>
        <w:tc>
          <w:tcPr>
            <w:tcW w:type="dxa" w:w="3240"/>
            <w:tcMar>
              <w:top w:w="65" w:type="dxa"/>
              <w:start w:w="70" w:type="dxa"/>
              <w:bottom w:w="65" w:type="dxa"/>
              <w:end w:w="70" w:type="dxa"/>
            </w:tcMar>
            <w:vAlign w:val="top"/>
          </w:tcPr>
          <w:p>
            <w:pPr>
              <w:spacing w:after="0"/>
            </w:pPr>
            <w:r>
              <w:rPr>
                <w:sz w:val="14"/>
              </w:rPr>
              <w:t>Proves value and supports renewal and research.</w:t>
            </w:r>
          </w:p>
        </w:tc>
      </w:tr>
      <w:tr>
        <w:trPr>
          <w:cantSplit/>
        </w:trPr>
        <w:tc>
          <w:tcPr>
            <w:tcW w:type="dxa" w:w="2376"/>
            <w:tcMar>
              <w:top w:w="65" w:type="dxa"/>
              <w:start w:w="70" w:type="dxa"/>
              <w:bottom w:w="65" w:type="dxa"/>
              <w:end w:w="70" w:type="dxa"/>
            </w:tcMar>
            <w:vAlign w:val="top"/>
            <w:shd w:fill="F7F9FA"/>
          </w:tcPr>
          <w:p>
            <w:pPr>
              <w:spacing w:after="0"/>
            </w:pPr>
            <w:r>
              <w:rPr>
                <w:sz w:val="14"/>
              </w:rPr>
              <w:t>Security and audit layer</w:t>
            </w:r>
          </w:p>
        </w:tc>
        <w:tc>
          <w:tcPr>
            <w:tcW w:type="dxa" w:w="4464"/>
            <w:tcMar>
              <w:top w:w="65" w:type="dxa"/>
              <w:start w:w="70" w:type="dxa"/>
              <w:bottom w:w="65" w:type="dxa"/>
              <w:end w:w="70" w:type="dxa"/>
            </w:tcMar>
            <w:vAlign w:val="top"/>
            <w:shd w:fill="F7F9FA"/>
          </w:tcPr>
          <w:p>
            <w:pPr>
              <w:spacing w:after="0"/>
            </w:pPr>
            <w:r>
              <w:rPr>
                <w:sz w:val="14"/>
              </w:rPr>
              <w:t>Identity, tenant isolation, access logs, keys, retention, incident response</w:t>
            </w:r>
          </w:p>
        </w:tc>
        <w:tc>
          <w:tcPr>
            <w:tcW w:type="dxa" w:w="3240"/>
            <w:tcMar>
              <w:top w:w="65" w:type="dxa"/>
              <w:start w:w="70" w:type="dxa"/>
              <w:bottom w:w="65" w:type="dxa"/>
              <w:end w:w="70" w:type="dxa"/>
            </w:tcMar>
            <w:vAlign w:val="top"/>
            <w:shd w:fill="F7F9FA"/>
          </w:tcPr>
          <w:p>
            <w:pPr>
              <w:spacing w:after="0"/>
            </w:pPr>
            <w:r>
              <w:rPr>
                <w:sz w:val="14"/>
              </w:rPr>
              <w:t>Required for PHI and enterprise procurement.</w:t>
            </w:r>
          </w:p>
        </w:tc>
      </w:tr>
    </w:tbl>
    <w:p>
      <w:pPr>
        <w:spacing w:after="20"/>
      </w:pPr>
    </w:p>
    <w:p>
      <w:pPr>
        <w:pStyle w:val="Heading2"/>
      </w:pPr>
      <w:r>
        <w:t>7.3 Public and clinical deployment separation</w:t>
      </w:r>
    </w:p>
    <w:tbl>
      <w:tblPr>
        <w:tblW w:type="auto" w:w="0"/>
        <w:jc w:val="center"/>
        <w:tblLayout w:type="fixed"/>
        <w:tblLook w:firstColumn="1" w:firstRow="1" w:lastColumn="0" w:lastRow="0" w:noHBand="0" w:noVBand="1" w:val="04A0"/>
      </w:tblPr>
      <w:tblGrid>
        <w:gridCol w:w="10282"/>
      </w:tblGrid>
      <w:tr>
        <w:tc>
          <w:tcPr>
            <w:tcW w:type="dxa" w:w="10080"/>
            <w:shd w:fill="FFF6DA"/>
            <w:tcMar>
              <w:top w:w="130" w:type="dxa"/>
              <w:start w:w="160" w:type="dxa"/>
              <w:bottom w:w="130" w:type="dxa"/>
              <w:end w:w="160" w:type="dxa"/>
            </w:tcMar>
          </w:tcPr>
          <w:p>
            <w:r>
              <w:rPr>
                <w:b/>
                <w:color w:val="D9A526"/>
                <w:sz w:val="16"/>
              </w:rPr>
              <w:t>ARCHITECTURE DECISION</w:t>
            </w:r>
          </w:p>
          <w:p>
            <w:r>
              <w:rPr>
                <w:sz w:val="18"/>
              </w:rPr>
              <w:t>Keep a no-login, no-PHI public reference microsite separate from the authenticated clinical workspace. The public site should never silently become a patient record system.</w:t>
            </w:r>
          </w:p>
        </w:tc>
      </w:tr>
    </w:tbl>
    <w:p>
      <w:pPr>
        <w:spacing w:after="0"/>
      </w:pPr>
    </w:p>
    <w:p>
      <w:pPr>
        <w:pStyle w:val="ListBullet"/>
        <w:spacing w:after="50"/>
      </w:pPr>
      <w:r>
        <w:t>Public site: browser-local, no identifiers, no analytics that capture clinical values, no persistence, clear research/reference boundary.</w:t>
      </w:r>
    </w:p>
    <w:p>
      <w:pPr>
        <w:pStyle w:val="ListBullet"/>
        <w:spacing w:after="50"/>
      </w:pPr>
      <w:r>
        <w:t>Clinical SaaS: authenticated, BAA-ready where applicable, explicit data flows and retention, tenant isolation, versioned audit, and EHR integration.</w:t>
      </w:r>
    </w:p>
    <w:p>
      <w:pPr>
        <w:pStyle w:val="ListBullet"/>
        <w:spacing w:after="50"/>
      </w:pPr>
      <w:r>
        <w:t>Private enterprise option: health-system cloud or controlled deployment when procurement or data policy requires it.</w:t>
      </w:r>
    </w:p>
    <w:p>
      <w:pPr>
        <w:pStyle w:val="Heading1"/>
      </w:pPr>
      <w:r>
        <w:t>8. Clinical validation, regulatory, privacy, and quality strategy</w:t>
      </w:r>
    </w:p>
    <w:p>
      <w:pPr>
        <w:pStyle w:val="Heading2"/>
      </w:pPr>
      <w:r>
        <w:t>8.1 Intended-use design choices</w:t>
      </w:r>
    </w:p>
    <w:p>
      <w:r>
        <w:t>FDA's January 2026 CDS guidance describes four criteria for certain non-device CDS functions and emphasizes clinician independent review. The guidance says the software or labeling should identify intended use, user, population, required inputs and data-quality requirements, underlying logic, validation basis, relevant patient-specific knowns and unknowns, and supporting sources. It also distinguishes reviewable lists/options from specific directives and treats time-critical use as an important concern. [R1]</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23E4A"/>
            <w:tcMar>
              <w:top w:w="75" w:type="dxa"/>
              <w:start w:w="70" w:type="dxa"/>
              <w:bottom w:w="75" w:type="dxa"/>
              <w:end w:w="70" w:type="dxa"/>
            </w:tcMar>
            <w:vAlign w:val="center"/>
          </w:tcPr>
          <w:p>
            <w:r>
              <w:rPr>
                <w:b/>
                <w:color w:val="FFFFFF"/>
                <w:sz w:val="16"/>
              </w:rPr>
              <w:t>Design choice</w:t>
            </w:r>
          </w:p>
        </w:tc>
        <w:tc>
          <w:tcPr>
            <w:tcW w:type="dxa" w:w="8136"/>
            <w:shd w:fill="123E4A"/>
            <w:tcMar>
              <w:top w:w="75" w:type="dxa"/>
              <w:start w:w="70" w:type="dxa"/>
              <w:bottom w:w="75" w:type="dxa"/>
              <w:end w:w="70" w:type="dxa"/>
            </w:tcMar>
            <w:vAlign w:val="center"/>
          </w:tcPr>
          <w:p>
            <w:r>
              <w:rPr>
                <w:b/>
                <w:color w:val="FFFFFF"/>
                <w:sz w:val="16"/>
              </w:rPr>
              <w:t>Recommended posture</w:t>
            </w:r>
          </w:p>
        </w:tc>
      </w:tr>
      <w:tr>
        <w:trPr>
          <w:cantSplit/>
        </w:trPr>
        <w:tc>
          <w:tcPr>
            <w:tcW w:type="dxa" w:w="1944"/>
            <w:tcMar>
              <w:top w:w="65" w:type="dxa"/>
              <w:start w:w="70" w:type="dxa"/>
              <w:bottom w:w="65" w:type="dxa"/>
              <w:end w:w="70" w:type="dxa"/>
            </w:tcMar>
            <w:vAlign w:val="top"/>
          </w:tcPr>
          <w:p>
            <w:pPr>
              <w:spacing w:after="0"/>
            </w:pPr>
            <w:r>
              <w:rPr>
                <w:sz w:val="16"/>
              </w:rPr>
              <w:t>User</w:t>
            </w:r>
          </w:p>
        </w:tc>
        <w:tc>
          <w:tcPr>
            <w:tcW w:type="dxa" w:w="8136"/>
            <w:tcMar>
              <w:top w:w="65" w:type="dxa"/>
              <w:start w:w="70" w:type="dxa"/>
              <w:bottom w:w="65" w:type="dxa"/>
              <w:end w:w="70" w:type="dxa"/>
            </w:tcMar>
            <w:vAlign w:val="top"/>
          </w:tcPr>
          <w:p>
            <w:pPr>
              <w:spacing w:after="0"/>
            </w:pPr>
            <w:r>
              <w:rPr>
                <w:sz w:val="16"/>
              </w:rPr>
              <w:t>Licensed healthcare professional. Keep patient/caregiver content educational and clinician-mediated.</w:t>
            </w:r>
          </w:p>
        </w:tc>
      </w:tr>
      <w:tr>
        <w:trPr>
          <w:cantSplit/>
        </w:trPr>
        <w:tc>
          <w:tcPr>
            <w:tcW w:type="dxa" w:w="1944"/>
            <w:tcMar>
              <w:top w:w="65" w:type="dxa"/>
              <w:start w:w="70" w:type="dxa"/>
              <w:bottom w:w="65" w:type="dxa"/>
              <w:end w:w="70" w:type="dxa"/>
            </w:tcMar>
            <w:vAlign w:val="top"/>
            <w:shd w:fill="F7F9FA"/>
          </w:tcPr>
          <w:p>
            <w:pPr>
              <w:spacing w:after="0"/>
            </w:pPr>
            <w:r>
              <w:rPr>
                <w:sz w:val="16"/>
              </w:rPr>
              <w:t>Output</w:t>
            </w:r>
          </w:p>
        </w:tc>
        <w:tc>
          <w:tcPr>
            <w:tcW w:type="dxa" w:w="8136"/>
            <w:tcMar>
              <w:top w:w="65" w:type="dxa"/>
              <w:start w:w="70" w:type="dxa"/>
              <w:bottom w:w="65" w:type="dxa"/>
              <w:end w:w="70" w:type="dxa"/>
            </w:tcMar>
            <w:vAlign w:val="top"/>
            <w:shd w:fill="F7F9FA"/>
          </w:tcPr>
          <w:p>
            <w:pPr>
              <w:spacing w:after="0"/>
            </w:pPr>
            <w:r>
              <w:rPr>
                <w:sz w:val="16"/>
              </w:rPr>
              <w:t>Reviewable diagnostic patterns, questions, and next-step options; not a guaranteed diagnosis or mandatory directive.</w:t>
            </w:r>
          </w:p>
        </w:tc>
      </w:tr>
      <w:tr>
        <w:trPr>
          <w:cantSplit/>
        </w:trPr>
        <w:tc>
          <w:tcPr>
            <w:tcW w:type="dxa" w:w="1944"/>
            <w:tcMar>
              <w:top w:w="65" w:type="dxa"/>
              <w:start w:w="70" w:type="dxa"/>
              <w:bottom w:w="65" w:type="dxa"/>
              <w:end w:w="70" w:type="dxa"/>
            </w:tcMar>
            <w:vAlign w:val="top"/>
          </w:tcPr>
          <w:p>
            <w:pPr>
              <w:spacing w:after="0"/>
            </w:pPr>
            <w:r>
              <w:rPr>
                <w:sz w:val="16"/>
              </w:rPr>
              <w:t>Urgency</w:t>
            </w:r>
          </w:p>
        </w:tc>
        <w:tc>
          <w:tcPr>
            <w:tcW w:type="dxa" w:w="8136"/>
            <w:tcMar>
              <w:top w:w="65" w:type="dxa"/>
              <w:start w:w="70" w:type="dxa"/>
              <w:bottom w:w="65" w:type="dxa"/>
              <w:end w:w="70" w:type="dxa"/>
            </w:tcMar>
            <w:vAlign w:val="top"/>
          </w:tcPr>
          <w:p>
            <w:pPr>
              <w:spacing w:after="0"/>
            </w:pPr>
            <w:r>
              <w:rPr>
                <w:sz w:val="16"/>
              </w:rPr>
              <w:t>Surface red flags but do not market the product as autonomous time-critical triage or emergency management.</w:t>
            </w:r>
          </w:p>
        </w:tc>
      </w:tr>
      <w:tr>
        <w:trPr>
          <w:cantSplit/>
        </w:trPr>
        <w:tc>
          <w:tcPr>
            <w:tcW w:type="dxa" w:w="1944"/>
            <w:tcMar>
              <w:top w:w="65" w:type="dxa"/>
              <w:start w:w="70" w:type="dxa"/>
              <w:bottom w:w="65" w:type="dxa"/>
              <w:end w:w="70" w:type="dxa"/>
            </w:tcMar>
            <w:vAlign w:val="top"/>
            <w:shd w:fill="F7F9FA"/>
          </w:tcPr>
          <w:p>
            <w:pPr>
              <w:spacing w:after="0"/>
            </w:pPr>
            <w:r>
              <w:rPr>
                <w:sz w:val="16"/>
              </w:rPr>
              <w:t>Transparency</w:t>
            </w:r>
          </w:p>
        </w:tc>
        <w:tc>
          <w:tcPr>
            <w:tcW w:type="dxa" w:w="8136"/>
            <w:tcMar>
              <w:top w:w="65" w:type="dxa"/>
              <w:start w:w="70" w:type="dxa"/>
              <w:bottom w:w="65" w:type="dxa"/>
              <w:end w:w="70" w:type="dxa"/>
            </w:tcMar>
            <w:vAlign w:val="top"/>
            <w:shd w:fill="F7F9FA"/>
          </w:tcPr>
          <w:p>
            <w:pPr>
              <w:spacing w:after="0"/>
            </w:pPr>
            <w:r>
              <w:rPr>
                <w:sz w:val="16"/>
              </w:rPr>
              <w:t>Expose inputs, local/reference ranges, rules, evidence, conflicts, missingness, version, and validation limitations.</w:t>
            </w:r>
          </w:p>
        </w:tc>
      </w:tr>
      <w:tr>
        <w:trPr>
          <w:cantSplit/>
        </w:trPr>
        <w:tc>
          <w:tcPr>
            <w:tcW w:type="dxa" w:w="1944"/>
            <w:tcMar>
              <w:top w:w="65" w:type="dxa"/>
              <w:start w:w="70" w:type="dxa"/>
              <w:bottom w:w="65" w:type="dxa"/>
              <w:end w:w="70" w:type="dxa"/>
            </w:tcMar>
            <w:vAlign w:val="top"/>
          </w:tcPr>
          <w:p>
            <w:pPr>
              <w:spacing w:after="0"/>
            </w:pPr>
            <w:r>
              <w:rPr>
                <w:sz w:val="16"/>
              </w:rPr>
              <w:t>Automation</w:t>
            </w:r>
          </w:p>
        </w:tc>
        <w:tc>
          <w:tcPr>
            <w:tcW w:type="dxa" w:w="8136"/>
            <w:tcMar>
              <w:top w:w="65" w:type="dxa"/>
              <w:start w:w="70" w:type="dxa"/>
              <w:bottom w:w="65" w:type="dxa"/>
              <w:end w:w="70" w:type="dxa"/>
            </w:tcMar>
            <w:vAlign w:val="top"/>
          </w:tcPr>
          <w:p>
            <w:pPr>
              <w:spacing w:after="0"/>
            </w:pPr>
            <w:r>
              <w:rPr>
                <w:sz w:val="16"/>
              </w:rPr>
              <w:t>Autofill with provenance and confirmation; no silent auto-action or automatic diagnosis/order placement.</w:t>
            </w:r>
          </w:p>
        </w:tc>
      </w:tr>
      <w:tr>
        <w:trPr>
          <w:cantSplit/>
        </w:trPr>
        <w:tc>
          <w:tcPr>
            <w:tcW w:type="dxa" w:w="1944"/>
            <w:tcMar>
              <w:top w:w="65" w:type="dxa"/>
              <w:start w:w="70" w:type="dxa"/>
              <w:bottom w:w="65" w:type="dxa"/>
              <w:end w:w="70" w:type="dxa"/>
            </w:tcMar>
            <w:vAlign w:val="top"/>
            <w:shd w:fill="F7F9FA"/>
          </w:tcPr>
          <w:p>
            <w:pPr>
              <w:spacing w:after="0"/>
            </w:pPr>
            <w:r>
              <w:rPr>
                <w:sz w:val="16"/>
              </w:rPr>
              <w:t>Treatment</w:t>
            </w:r>
          </w:p>
        </w:tc>
        <w:tc>
          <w:tcPr>
            <w:tcW w:type="dxa" w:w="8136"/>
            <w:tcMar>
              <w:top w:w="65" w:type="dxa"/>
              <w:start w:w="70" w:type="dxa"/>
              <w:bottom w:w="65" w:type="dxa"/>
              <w:end w:w="70" w:type="dxa"/>
            </w:tcMar>
            <w:vAlign w:val="top"/>
            <w:shd w:fill="F7F9FA"/>
          </w:tcPr>
          <w:p>
            <w:pPr>
              <w:spacing w:after="0"/>
            </w:pPr>
            <w:r>
              <w:rPr>
                <w:sz w:val="16"/>
              </w:rPr>
              <w:t>Keep treatment, dosing, transfusion, and order directives out of the first commercial intended use.</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FCECEC"/>
            <w:tcMar>
              <w:top w:w="130" w:type="dxa"/>
              <w:start w:w="160" w:type="dxa"/>
              <w:bottom w:w="130" w:type="dxa"/>
              <w:end w:w="160" w:type="dxa"/>
            </w:tcMar>
          </w:tcPr>
          <w:p>
            <w:r>
              <w:rPr>
                <w:b/>
                <w:color w:val="B23A3A"/>
                <w:sz w:val="16"/>
              </w:rPr>
              <w:t>REGULATORY LIMIT</w:t>
            </w:r>
          </w:p>
          <w:p>
            <w:r>
              <w:rPr>
                <w:sz w:val="18"/>
              </w:rPr>
              <w:t>These choices improve reviewability but do not prove that the finished product is excluded from device regulation. Classification depends on final claims, function, workflow, automation, time criticality, and implementation. Obtain specialized counsel and consider an FDA interaction before launch.</w:t>
            </w:r>
          </w:p>
        </w:tc>
      </w:tr>
    </w:tbl>
    <w:p>
      <w:pPr>
        <w:spacing w:after="0"/>
      </w:pPr>
    </w:p>
    <w:p>
      <w:pPr>
        <w:pStyle w:val="Heading2"/>
      </w:pPr>
      <w:r>
        <w:t>8.2 Validation program</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655"/>
            <w:shd w:fill="123E4A"/>
            <w:tcMar>
              <w:top w:w="75" w:type="dxa"/>
              <w:start w:w="70" w:type="dxa"/>
              <w:bottom w:w="75" w:type="dxa"/>
              <w:end w:w="70" w:type="dxa"/>
            </w:tcMar>
            <w:vAlign w:val="center"/>
          </w:tcPr>
          <w:p>
            <w:r>
              <w:rPr>
                <w:b/>
                <w:color w:val="FFFFFF"/>
                <w:sz w:val="14"/>
              </w:rPr>
              <w:t>Phase</w:t>
            </w:r>
          </w:p>
        </w:tc>
        <w:tc>
          <w:tcPr>
            <w:tcW w:type="dxa" w:w="2664"/>
            <w:shd w:fill="123E4A"/>
            <w:tcMar>
              <w:top w:w="75" w:type="dxa"/>
              <w:start w:w="70" w:type="dxa"/>
              <w:bottom w:w="75" w:type="dxa"/>
              <w:end w:w="70" w:type="dxa"/>
            </w:tcMar>
            <w:vAlign w:val="center"/>
          </w:tcPr>
          <w:p>
            <w:r>
              <w:rPr>
                <w:b/>
                <w:color w:val="FFFFFF"/>
                <w:sz w:val="14"/>
              </w:rPr>
              <w:t>Objective</w:t>
            </w:r>
          </w:p>
        </w:tc>
        <w:tc>
          <w:tcPr>
            <w:tcW w:type="dxa" w:w="3816"/>
            <w:shd w:fill="123E4A"/>
            <w:tcMar>
              <w:top w:w="75" w:type="dxa"/>
              <w:start w:w="70" w:type="dxa"/>
              <w:bottom w:w="75" w:type="dxa"/>
              <w:end w:w="70" w:type="dxa"/>
            </w:tcMar>
            <w:vAlign w:val="center"/>
          </w:tcPr>
          <w:p>
            <w:r>
              <w:rPr>
                <w:b/>
                <w:color w:val="FFFFFF"/>
                <w:sz w:val="14"/>
              </w:rPr>
              <w:t>Key measures</w:t>
            </w:r>
          </w:p>
        </w:tc>
        <w:tc>
          <w:tcPr>
            <w:tcW w:type="dxa" w:w="1944"/>
            <w:shd w:fill="123E4A"/>
            <w:tcMar>
              <w:top w:w="75" w:type="dxa"/>
              <w:start w:w="70" w:type="dxa"/>
              <w:bottom w:w="75" w:type="dxa"/>
              <w:end w:w="70" w:type="dxa"/>
            </w:tcMar>
            <w:vAlign w:val="center"/>
          </w:tcPr>
          <w:p>
            <w:r>
              <w:rPr>
                <w:b/>
                <w:color w:val="FFFFFF"/>
                <w:sz w:val="14"/>
              </w:rPr>
              <w:t>Release gate</w:t>
            </w:r>
          </w:p>
        </w:tc>
      </w:tr>
      <w:tr>
        <w:trPr>
          <w:cantSplit/>
        </w:trPr>
        <w:tc>
          <w:tcPr>
            <w:tcW w:type="dxa" w:w="1655"/>
            <w:tcMar>
              <w:top w:w="65" w:type="dxa"/>
              <w:start w:w="70" w:type="dxa"/>
              <w:bottom w:w="65" w:type="dxa"/>
              <w:end w:w="70" w:type="dxa"/>
            </w:tcMar>
            <w:vAlign w:val="top"/>
          </w:tcPr>
          <w:p>
            <w:pPr>
              <w:spacing w:after="0"/>
            </w:pPr>
            <w:r>
              <w:rPr>
                <w:sz w:val="14"/>
              </w:rPr>
              <w:t>A. Clinical content verification</w:t>
            </w:r>
          </w:p>
        </w:tc>
        <w:tc>
          <w:tcPr>
            <w:tcW w:type="dxa" w:w="2664"/>
            <w:tcMar>
              <w:top w:w="65" w:type="dxa"/>
              <w:start w:w="70" w:type="dxa"/>
              <w:bottom w:w="65" w:type="dxa"/>
              <w:end w:w="70" w:type="dxa"/>
            </w:tcMar>
            <w:vAlign w:val="top"/>
          </w:tcPr>
          <w:p>
            <w:pPr>
              <w:spacing w:after="0"/>
            </w:pPr>
            <w:r>
              <w:rPr>
                <w:sz w:val="14"/>
              </w:rPr>
              <w:t>Approve every rule and source passage</w:t>
            </w:r>
          </w:p>
        </w:tc>
        <w:tc>
          <w:tcPr>
            <w:tcW w:type="dxa" w:w="3816"/>
            <w:tcMar>
              <w:top w:w="65" w:type="dxa"/>
              <w:start w:w="70" w:type="dxa"/>
              <w:bottom w:w="65" w:type="dxa"/>
              <w:end w:w="70" w:type="dxa"/>
            </w:tcMar>
            <w:vAlign w:val="top"/>
          </w:tcPr>
          <w:p>
            <w:pPr>
              <w:spacing w:after="0"/>
            </w:pPr>
            <w:r>
              <w:rPr>
                <w:sz w:val="14"/>
              </w:rPr>
              <w:t>Dual review; lab-method review; conflict resolution; full traceability</w:t>
            </w:r>
          </w:p>
        </w:tc>
        <w:tc>
          <w:tcPr>
            <w:tcW w:type="dxa" w:w="1944"/>
            <w:tcMar>
              <w:top w:w="65" w:type="dxa"/>
              <w:start w:w="70" w:type="dxa"/>
              <w:bottom w:w="65" w:type="dxa"/>
              <w:end w:w="70" w:type="dxa"/>
            </w:tcMar>
            <w:vAlign w:val="top"/>
          </w:tcPr>
          <w:p>
            <w:pPr>
              <w:spacing w:after="0"/>
            </w:pPr>
            <w:r>
              <w:rPr>
                <w:sz w:val="14"/>
              </w:rPr>
              <w:t>No unapproved rule in a release.</w:t>
            </w:r>
          </w:p>
        </w:tc>
      </w:tr>
      <w:tr>
        <w:trPr>
          <w:cantSplit/>
        </w:trPr>
        <w:tc>
          <w:tcPr>
            <w:tcW w:type="dxa" w:w="1655"/>
            <w:tcMar>
              <w:top w:w="65" w:type="dxa"/>
              <w:start w:w="70" w:type="dxa"/>
              <w:bottom w:w="65" w:type="dxa"/>
              <w:end w:w="70" w:type="dxa"/>
            </w:tcMar>
            <w:vAlign w:val="top"/>
            <w:shd w:fill="F7F9FA"/>
          </w:tcPr>
          <w:p>
            <w:pPr>
              <w:spacing w:after="0"/>
            </w:pPr>
            <w:r>
              <w:rPr>
                <w:sz w:val="14"/>
              </w:rPr>
              <w:t>B. Software verification</w:t>
            </w:r>
          </w:p>
        </w:tc>
        <w:tc>
          <w:tcPr>
            <w:tcW w:type="dxa" w:w="2664"/>
            <w:tcMar>
              <w:top w:w="65" w:type="dxa"/>
              <w:start w:w="70" w:type="dxa"/>
              <w:bottom w:w="65" w:type="dxa"/>
              <w:end w:w="70" w:type="dxa"/>
            </w:tcMar>
            <w:vAlign w:val="top"/>
            <w:shd w:fill="F7F9FA"/>
          </w:tcPr>
          <w:p>
            <w:pPr>
              <w:spacing w:after="0"/>
            </w:pPr>
            <w:r>
              <w:rPr>
                <w:sz w:val="14"/>
              </w:rPr>
              <w:t>Prove deterministic implementation and change safety</w:t>
            </w:r>
          </w:p>
        </w:tc>
        <w:tc>
          <w:tcPr>
            <w:tcW w:type="dxa" w:w="3816"/>
            <w:tcMar>
              <w:top w:w="65" w:type="dxa"/>
              <w:start w:w="70" w:type="dxa"/>
              <w:bottom w:w="65" w:type="dxa"/>
              <w:end w:w="70" w:type="dxa"/>
            </w:tcMar>
            <w:vAlign w:val="top"/>
            <w:shd w:fill="F7F9FA"/>
          </w:tcPr>
          <w:p>
            <w:pPr>
              <w:spacing w:after="0"/>
            </w:pPr>
            <w:r>
              <w:rPr>
                <w:sz w:val="14"/>
              </w:rPr>
              <w:t>100% rule activation; boundaries; units; missingness; mutation; semantic diffs</w:t>
            </w:r>
          </w:p>
        </w:tc>
        <w:tc>
          <w:tcPr>
            <w:tcW w:type="dxa" w:w="1944"/>
            <w:tcMar>
              <w:top w:w="65" w:type="dxa"/>
              <w:start w:w="70" w:type="dxa"/>
              <w:bottom w:w="65" w:type="dxa"/>
              <w:end w:w="70" w:type="dxa"/>
            </w:tcMar>
            <w:vAlign w:val="top"/>
            <w:shd w:fill="F7F9FA"/>
          </w:tcPr>
          <w:p>
            <w:pPr>
              <w:spacing w:after="0"/>
            </w:pPr>
            <w:r>
              <w:rPr>
                <w:sz w:val="14"/>
              </w:rPr>
              <w:t>No unresolved critical defects.</w:t>
            </w:r>
          </w:p>
        </w:tc>
      </w:tr>
      <w:tr>
        <w:trPr>
          <w:cantSplit/>
        </w:trPr>
        <w:tc>
          <w:tcPr>
            <w:tcW w:type="dxa" w:w="1655"/>
            <w:tcMar>
              <w:top w:w="65" w:type="dxa"/>
              <w:start w:w="70" w:type="dxa"/>
              <w:bottom w:w="65" w:type="dxa"/>
              <w:end w:w="70" w:type="dxa"/>
            </w:tcMar>
            <w:vAlign w:val="top"/>
          </w:tcPr>
          <w:p>
            <w:pPr>
              <w:spacing w:after="0"/>
            </w:pPr>
            <w:r>
              <w:rPr>
                <w:sz w:val="14"/>
              </w:rPr>
              <w:t>C. Retrospective multi-site validation</w:t>
            </w:r>
          </w:p>
        </w:tc>
        <w:tc>
          <w:tcPr>
            <w:tcW w:type="dxa" w:w="2664"/>
            <w:tcMar>
              <w:top w:w="65" w:type="dxa"/>
              <w:start w:w="70" w:type="dxa"/>
              <w:bottom w:w="65" w:type="dxa"/>
              <w:end w:w="70" w:type="dxa"/>
            </w:tcMar>
            <w:vAlign w:val="top"/>
          </w:tcPr>
          <w:p>
            <w:pPr>
              <w:spacing w:after="0"/>
            </w:pPr>
            <w:r>
              <w:rPr>
                <w:sz w:val="14"/>
              </w:rPr>
              <w:t>Measure diagnostic coverage and dangerous misses</w:t>
            </w:r>
          </w:p>
        </w:tc>
        <w:tc>
          <w:tcPr>
            <w:tcW w:type="dxa" w:w="3816"/>
            <w:tcMar>
              <w:top w:w="65" w:type="dxa"/>
              <w:start w:w="70" w:type="dxa"/>
              <w:bottom w:w="65" w:type="dxa"/>
              <w:end w:w="70" w:type="dxa"/>
            </w:tcMar>
            <w:vAlign w:val="top"/>
          </w:tcPr>
          <w:p>
            <w:pPr>
              <w:spacing w:after="0"/>
            </w:pPr>
            <w:r>
              <w:rPr>
                <w:sz w:val="14"/>
              </w:rPr>
              <w:t>Alert sensitivity; top-1/top-3 recall; final-diagnosis coverage; subgroup/site/analyzer performance</w:t>
            </w:r>
          </w:p>
        </w:tc>
        <w:tc>
          <w:tcPr>
            <w:tcW w:type="dxa" w:w="1944"/>
            <w:tcMar>
              <w:top w:w="65" w:type="dxa"/>
              <w:start w:w="70" w:type="dxa"/>
              <w:bottom w:w="65" w:type="dxa"/>
              <w:end w:w="70" w:type="dxa"/>
            </w:tcMar>
            <w:vAlign w:val="top"/>
          </w:tcPr>
          <w:p>
            <w:pPr>
              <w:spacing w:after="0"/>
            </w:pPr>
            <w:r>
              <w:rPr>
                <w:sz w:val="14"/>
              </w:rPr>
              <w:t>Prespecified safety targets met or mitigated.</w:t>
            </w:r>
          </w:p>
        </w:tc>
      </w:tr>
      <w:tr>
        <w:trPr>
          <w:cantSplit/>
        </w:trPr>
        <w:tc>
          <w:tcPr>
            <w:tcW w:type="dxa" w:w="1655"/>
            <w:tcMar>
              <w:top w:w="65" w:type="dxa"/>
              <w:start w:w="70" w:type="dxa"/>
              <w:bottom w:w="65" w:type="dxa"/>
              <w:end w:w="70" w:type="dxa"/>
            </w:tcMar>
            <w:vAlign w:val="top"/>
            <w:shd w:fill="F7F9FA"/>
          </w:tcPr>
          <w:p>
            <w:pPr>
              <w:spacing w:after="0"/>
            </w:pPr>
            <w:r>
              <w:rPr>
                <w:sz w:val="14"/>
              </w:rPr>
              <w:t>D. Prospective silent mode</w:t>
            </w:r>
          </w:p>
        </w:tc>
        <w:tc>
          <w:tcPr>
            <w:tcW w:type="dxa" w:w="2664"/>
            <w:tcMar>
              <w:top w:w="65" w:type="dxa"/>
              <w:start w:w="70" w:type="dxa"/>
              <w:bottom w:w="65" w:type="dxa"/>
              <w:end w:w="70" w:type="dxa"/>
            </w:tcMar>
            <w:vAlign w:val="top"/>
            <w:shd w:fill="F7F9FA"/>
          </w:tcPr>
          <w:p>
            <w:pPr>
              <w:spacing w:after="0"/>
            </w:pPr>
            <w:r>
              <w:rPr>
                <w:sz w:val="14"/>
              </w:rPr>
              <w:t>Test real mapping, missingness, alert burden, and workflow fit</w:t>
            </w:r>
          </w:p>
        </w:tc>
        <w:tc>
          <w:tcPr>
            <w:tcW w:type="dxa" w:w="3816"/>
            <w:tcMar>
              <w:top w:w="65" w:type="dxa"/>
              <w:start w:w="70" w:type="dxa"/>
              <w:bottom w:w="65" w:type="dxa"/>
              <w:end w:w="70" w:type="dxa"/>
            </w:tcMar>
            <w:vAlign w:val="top"/>
            <w:shd w:fill="F7F9FA"/>
          </w:tcPr>
          <w:p>
            <w:pPr>
              <w:spacing w:after="0"/>
            </w:pPr>
            <w:r>
              <w:rPr>
                <w:sz w:val="14"/>
              </w:rPr>
              <w:t>Mapping errors; missing data; false alerts; override reasons; latency</w:t>
            </w:r>
          </w:p>
        </w:tc>
        <w:tc>
          <w:tcPr>
            <w:tcW w:type="dxa" w:w="1944"/>
            <w:tcMar>
              <w:top w:w="65" w:type="dxa"/>
              <w:start w:w="70" w:type="dxa"/>
              <w:bottom w:w="65" w:type="dxa"/>
              <w:end w:w="70" w:type="dxa"/>
            </w:tcMar>
            <w:vAlign w:val="top"/>
            <w:shd w:fill="F7F9FA"/>
          </w:tcPr>
          <w:p>
            <w:pPr>
              <w:spacing w:after="0"/>
            </w:pPr>
            <w:r>
              <w:rPr>
                <w:sz w:val="14"/>
              </w:rPr>
              <w:t>Stable site performance without clinical display.</w:t>
            </w:r>
          </w:p>
        </w:tc>
      </w:tr>
      <w:tr>
        <w:trPr>
          <w:cantSplit/>
        </w:trPr>
        <w:tc>
          <w:tcPr>
            <w:tcW w:type="dxa" w:w="1655"/>
            <w:tcMar>
              <w:top w:w="65" w:type="dxa"/>
              <w:start w:w="70" w:type="dxa"/>
              <w:bottom w:w="65" w:type="dxa"/>
              <w:end w:w="70" w:type="dxa"/>
            </w:tcMar>
            <w:vAlign w:val="top"/>
          </w:tcPr>
          <w:p>
            <w:pPr>
              <w:spacing w:after="0"/>
            </w:pPr>
            <w:r>
              <w:rPr>
                <w:sz w:val="14"/>
              </w:rPr>
              <w:t>E. Human-factors validation</w:t>
            </w:r>
          </w:p>
        </w:tc>
        <w:tc>
          <w:tcPr>
            <w:tcW w:type="dxa" w:w="2664"/>
            <w:tcMar>
              <w:top w:w="65" w:type="dxa"/>
              <w:start w:w="70" w:type="dxa"/>
              <w:bottom w:w="65" w:type="dxa"/>
              <w:end w:w="70" w:type="dxa"/>
            </w:tcMar>
            <w:vAlign w:val="top"/>
          </w:tcPr>
          <w:p>
            <w:pPr>
              <w:spacing w:after="0"/>
            </w:pPr>
            <w:r>
              <w:rPr>
                <w:sz w:val="14"/>
              </w:rPr>
              <w:t>Confirm independent review and safe use</w:t>
            </w:r>
          </w:p>
        </w:tc>
        <w:tc>
          <w:tcPr>
            <w:tcW w:type="dxa" w:w="3816"/>
            <w:tcMar>
              <w:top w:w="65" w:type="dxa"/>
              <w:start w:w="70" w:type="dxa"/>
              <w:bottom w:w="65" w:type="dxa"/>
              <w:end w:w="70" w:type="dxa"/>
            </w:tcMar>
            <w:vAlign w:val="top"/>
          </w:tcPr>
          <w:p>
            <w:pPr>
              <w:spacing w:after="0"/>
            </w:pPr>
            <w:r>
              <w:rPr>
                <w:sz w:val="14"/>
              </w:rPr>
              <w:t>Comprehension; time; anchoring; automation bias; error; workload</w:t>
            </w:r>
          </w:p>
        </w:tc>
        <w:tc>
          <w:tcPr>
            <w:tcW w:type="dxa" w:w="1944"/>
            <w:tcMar>
              <w:top w:w="65" w:type="dxa"/>
              <w:start w:w="70" w:type="dxa"/>
              <w:bottom w:w="65" w:type="dxa"/>
              <w:end w:w="70" w:type="dxa"/>
            </w:tcMar>
            <w:vAlign w:val="top"/>
          </w:tcPr>
          <w:p>
            <w:pPr>
              <w:spacing w:after="0"/>
            </w:pPr>
            <w:r>
              <w:rPr>
                <w:sz w:val="14"/>
              </w:rPr>
              <w:t>Intended users use and explain output correctly.</w:t>
            </w:r>
          </w:p>
        </w:tc>
      </w:tr>
      <w:tr>
        <w:trPr>
          <w:cantSplit/>
        </w:trPr>
        <w:tc>
          <w:tcPr>
            <w:tcW w:type="dxa" w:w="1655"/>
            <w:tcMar>
              <w:top w:w="65" w:type="dxa"/>
              <w:start w:w="70" w:type="dxa"/>
              <w:bottom w:w="65" w:type="dxa"/>
              <w:end w:w="70" w:type="dxa"/>
            </w:tcMar>
            <w:vAlign w:val="top"/>
            <w:shd w:fill="F7F9FA"/>
          </w:tcPr>
          <w:p>
            <w:pPr>
              <w:spacing w:after="0"/>
            </w:pPr>
            <w:r>
              <w:rPr>
                <w:sz w:val="14"/>
              </w:rPr>
              <w:t>F. Controlled rollout</w:t>
            </w:r>
          </w:p>
        </w:tc>
        <w:tc>
          <w:tcPr>
            <w:tcW w:type="dxa" w:w="2664"/>
            <w:tcMar>
              <w:top w:w="65" w:type="dxa"/>
              <w:start w:w="70" w:type="dxa"/>
              <w:bottom w:w="65" w:type="dxa"/>
              <w:end w:w="70" w:type="dxa"/>
            </w:tcMar>
            <w:vAlign w:val="top"/>
            <w:shd w:fill="F7F9FA"/>
          </w:tcPr>
          <w:p>
            <w:pPr>
              <w:spacing w:after="0"/>
            </w:pPr>
            <w:r>
              <w:rPr>
                <w:sz w:val="14"/>
              </w:rPr>
              <w:t>Measure utility and safety in practice</w:t>
            </w:r>
          </w:p>
        </w:tc>
        <w:tc>
          <w:tcPr>
            <w:tcW w:type="dxa" w:w="3816"/>
            <w:tcMar>
              <w:top w:w="65" w:type="dxa"/>
              <w:start w:w="70" w:type="dxa"/>
              <w:bottom w:w="65" w:type="dxa"/>
              <w:end w:w="70" w:type="dxa"/>
            </w:tcMar>
            <w:vAlign w:val="top"/>
            <w:shd w:fill="F7F9FA"/>
          </w:tcPr>
          <w:p>
            <w:pPr>
              <w:spacing w:after="0"/>
            </w:pPr>
            <w:r>
              <w:rPr>
                <w:sz w:val="14"/>
              </w:rPr>
              <w:t>Completion, referral quality, test use, time, incidents, rollback triggers</w:t>
            </w:r>
          </w:p>
        </w:tc>
        <w:tc>
          <w:tcPr>
            <w:tcW w:type="dxa" w:w="1944"/>
            <w:tcMar>
              <w:top w:w="65" w:type="dxa"/>
              <w:start w:w="70" w:type="dxa"/>
              <w:bottom w:w="65" w:type="dxa"/>
              <w:end w:w="70" w:type="dxa"/>
            </w:tcMar>
            <w:vAlign w:val="top"/>
            <w:shd w:fill="F7F9FA"/>
          </w:tcPr>
          <w:p>
            <w:pPr>
              <w:spacing w:after="0"/>
            </w:pPr>
            <w:r>
              <w:rPr>
                <w:sz w:val="14"/>
              </w:rPr>
              <w:t>Governed expansion based on monitored evidence.</w:t>
            </w:r>
          </w:p>
        </w:tc>
      </w:tr>
    </w:tbl>
    <w:p>
      <w:pPr>
        <w:spacing w:after="20"/>
      </w:pPr>
    </w:p>
    <w:p>
      <w:pPr>
        <w:pStyle w:val="Heading2"/>
      </w:pPr>
      <w:r>
        <w:t>8.3 Privacy and security</w:t>
      </w:r>
    </w:p>
    <w:p>
      <w:r>
        <w:t>If the product creates, receives, maintains, or transmits ePHI for a covered entity or business associate, the HIPAA Security Rule requires appropriate administrative, physical, and technical safeguards. [R7] A consumer-facing health record or related service can also create obligations outside HIPAA; the FTC Health Breach Notification Rule requires covered vendors and related entities to notify consumers following certain breaches of unsecured health information. [R8] Legal counsel must map the exact business and data model.</w:t>
      </w:r>
    </w:p>
    <w:p>
      <w:pPr>
        <w:pStyle w:val="ListBullet"/>
        <w:spacing w:after="50"/>
      </w:pPr>
      <w:r>
        <w:t>No clinical values in URLs, third-party analytics, session replay, crash payloads, or marketing pixels.</w:t>
      </w:r>
    </w:p>
    <w:p>
      <w:pPr>
        <w:pStyle w:val="ListBullet"/>
        <w:spacing w:after="50"/>
      </w:pPr>
      <w:r>
        <w:t>Data minimization; structured fields instead of free text; explicit retention and deletion; encryption; tenant isolation; MFA/SSO; least privilege.</w:t>
      </w:r>
    </w:p>
    <w:p>
      <w:pPr>
        <w:pStyle w:val="ListBullet"/>
        <w:spacing w:after="50"/>
      </w:pPr>
      <w:r>
        <w:t>Secure SDLC, threat modeling, SBOM, dependency and container scanning, vulnerability disclosure, penetration testing, incident response, backup/restore drills.</w:t>
      </w:r>
    </w:p>
    <w:p>
      <w:pPr>
        <w:pStyle w:val="ListBullet"/>
        <w:spacing w:after="50"/>
      </w:pPr>
      <w:r>
        <w:t>SOC 2 Type II as a practical enterprise milestone; HITRUST only if customer requirements and economics justify it.</w:t>
      </w:r>
    </w:p>
    <w:p>
      <w:pPr>
        <w:pStyle w:val="ListBullet"/>
        <w:spacing w:after="50"/>
      </w:pPr>
      <w:r>
        <w:t>Quality system and risk management proportionate to final regulatory classification; plan for ISO 14971, IEC 62304, IEC 62366-1, and possibly ISO 13485 if applicable.</w:t>
      </w:r>
    </w:p>
    <w:p>
      <w:pPr>
        <w:pStyle w:val="Heading1"/>
      </w:pPr>
      <w:r>
        <w:t>9. Monetization model</w:t>
      </w:r>
    </w:p>
    <w:p>
      <w:pPr>
        <w:pStyle w:val="Heading2"/>
      </w:pPr>
      <w:r>
        <w:t>9.1 What customers pay for</w:t>
      </w:r>
    </w:p>
    <w:p>
      <w:r>
        <w:t xml:space="preserve">Static medical facts are difficult to monetize because clinicians already have broad references and free calculators. The paid value is </w:t>
      </w:r>
      <w:r>
        <w:rPr>
          <w:b/>
        </w:rPr>
        <w:t>workflow and governance</w:t>
      </w:r>
      <w:r>
        <w:t>: EHR context, local ranges, longitudinal state, team standardization, documentation/referral outputs, validated modules, analytics, deployment support, and accountable evidence maintenance. Current market products bundle individual and enterprise access, EHR integration, editorial governance, patient education, CME, APIs, and usage reporting, which supports this packaging logic. [M3-M5]</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23E4A"/>
            <w:tcMar>
              <w:top w:w="75" w:type="dxa"/>
              <w:start w:w="70" w:type="dxa"/>
              <w:bottom w:w="75" w:type="dxa"/>
              <w:end w:w="70" w:type="dxa"/>
            </w:tcMar>
            <w:vAlign w:val="center"/>
          </w:tcPr>
          <w:p>
            <w:r>
              <w:rPr>
                <w:b/>
                <w:color w:val="FFFFFF"/>
                <w:sz w:val="14"/>
              </w:rPr>
              <w:t>Revenue line</w:t>
            </w:r>
          </w:p>
        </w:tc>
        <w:tc>
          <w:tcPr>
            <w:tcW w:type="dxa" w:w="2088"/>
            <w:shd w:fill="123E4A"/>
            <w:tcMar>
              <w:top w:w="75" w:type="dxa"/>
              <w:start w:w="70" w:type="dxa"/>
              <w:bottom w:w="75" w:type="dxa"/>
              <w:end w:w="70" w:type="dxa"/>
            </w:tcMar>
            <w:vAlign w:val="center"/>
          </w:tcPr>
          <w:p>
            <w:r>
              <w:rPr>
                <w:b/>
                <w:color w:val="FFFFFF"/>
                <w:sz w:val="14"/>
              </w:rPr>
              <w:t>Illustrative pricing hypothesis</w:t>
            </w:r>
          </w:p>
        </w:tc>
        <w:tc>
          <w:tcPr>
            <w:tcW w:type="dxa" w:w="3671"/>
            <w:shd w:fill="123E4A"/>
            <w:tcMar>
              <w:top w:w="75" w:type="dxa"/>
              <w:start w:w="70" w:type="dxa"/>
              <w:bottom w:w="75" w:type="dxa"/>
              <w:end w:w="70" w:type="dxa"/>
            </w:tcMar>
            <w:vAlign w:val="center"/>
          </w:tcPr>
          <w:p>
            <w:r>
              <w:rPr>
                <w:b/>
                <w:color w:val="FFFFFF"/>
                <w:sz w:val="14"/>
              </w:rPr>
              <w:t>Why a buyer pays</w:t>
            </w:r>
          </w:p>
        </w:tc>
        <w:tc>
          <w:tcPr>
            <w:tcW w:type="dxa" w:w="2376"/>
            <w:shd w:fill="123E4A"/>
            <w:tcMar>
              <w:top w:w="75" w:type="dxa"/>
              <w:start w:w="70" w:type="dxa"/>
              <w:bottom w:w="75" w:type="dxa"/>
              <w:end w:w="70" w:type="dxa"/>
            </w:tcMar>
            <w:vAlign w:val="center"/>
          </w:tcPr>
          <w:p>
            <w:r>
              <w:rPr>
                <w:b/>
                <w:color w:val="FFFFFF"/>
                <w:sz w:val="14"/>
              </w:rPr>
              <w:t>Proof required</w:t>
            </w:r>
          </w:p>
        </w:tc>
      </w:tr>
      <w:tr>
        <w:trPr>
          <w:cantSplit/>
        </w:trPr>
        <w:tc>
          <w:tcPr>
            <w:tcW w:type="dxa" w:w="1944"/>
            <w:tcMar>
              <w:top w:w="65" w:type="dxa"/>
              <w:start w:w="70" w:type="dxa"/>
              <w:bottom w:w="65" w:type="dxa"/>
              <w:end w:w="70" w:type="dxa"/>
            </w:tcMar>
            <w:vAlign w:val="top"/>
          </w:tcPr>
          <w:p>
            <w:pPr>
              <w:spacing w:after="0"/>
            </w:pPr>
            <w:r>
              <w:rPr>
                <w:sz w:val="14"/>
              </w:rPr>
              <w:t>Clinician Pro</w:t>
            </w:r>
          </w:p>
        </w:tc>
        <w:tc>
          <w:tcPr>
            <w:tcW w:type="dxa" w:w="2088"/>
            <w:tcMar>
              <w:top w:w="65" w:type="dxa"/>
              <w:start w:w="70" w:type="dxa"/>
              <w:bottom w:w="65" w:type="dxa"/>
              <w:end w:w="70" w:type="dxa"/>
            </w:tcMar>
            <w:vAlign w:val="top"/>
          </w:tcPr>
          <w:p>
            <w:pPr>
              <w:spacing w:after="0"/>
            </w:pPr>
            <w:r>
              <w:rPr>
                <w:sz w:val="14"/>
              </w:rPr>
              <w:t>$149-$299 per user/year</w:t>
            </w:r>
          </w:p>
        </w:tc>
        <w:tc>
          <w:tcPr>
            <w:tcW w:type="dxa" w:w="3671"/>
            <w:tcMar>
              <w:top w:w="65" w:type="dxa"/>
              <w:start w:w="70" w:type="dxa"/>
              <w:bottom w:w="65" w:type="dxa"/>
              <w:end w:w="70" w:type="dxa"/>
            </w:tcMar>
            <w:vAlign w:val="top"/>
          </w:tcPr>
          <w:p>
            <w:pPr>
              <w:spacing w:after="0"/>
            </w:pPr>
            <w:r>
              <w:rPr>
                <w:sz w:val="14"/>
              </w:rPr>
              <w:t>Personal longitudinal workspace, exports, education/CME, convenience</w:t>
            </w:r>
          </w:p>
        </w:tc>
        <w:tc>
          <w:tcPr>
            <w:tcW w:type="dxa" w:w="2376"/>
            <w:tcMar>
              <w:top w:w="65" w:type="dxa"/>
              <w:start w:w="70" w:type="dxa"/>
              <w:bottom w:w="65" w:type="dxa"/>
              <w:end w:w="70" w:type="dxa"/>
            </w:tcMar>
            <w:vAlign w:val="top"/>
          </w:tcPr>
          <w:p>
            <w:pPr>
              <w:spacing w:after="0"/>
            </w:pPr>
            <w:r>
              <w:rPr>
                <w:sz w:val="14"/>
              </w:rPr>
              <w:t>High repeat use and strong conversion from free.</w:t>
            </w:r>
          </w:p>
        </w:tc>
      </w:tr>
      <w:tr>
        <w:trPr>
          <w:cantSplit/>
        </w:trPr>
        <w:tc>
          <w:tcPr>
            <w:tcW w:type="dxa" w:w="1944"/>
            <w:tcMar>
              <w:top w:w="65" w:type="dxa"/>
              <w:start w:w="70" w:type="dxa"/>
              <w:bottom w:w="65" w:type="dxa"/>
              <w:end w:w="70" w:type="dxa"/>
            </w:tcMar>
            <w:vAlign w:val="top"/>
            <w:shd w:fill="F7F9FA"/>
          </w:tcPr>
          <w:p>
            <w:pPr>
              <w:spacing w:after="0"/>
            </w:pPr>
            <w:r>
              <w:rPr>
                <w:sz w:val="14"/>
              </w:rPr>
              <w:t>Practice</w:t>
            </w:r>
          </w:p>
        </w:tc>
        <w:tc>
          <w:tcPr>
            <w:tcW w:type="dxa" w:w="2088"/>
            <w:tcMar>
              <w:top w:w="65" w:type="dxa"/>
              <w:start w:w="70" w:type="dxa"/>
              <w:bottom w:w="65" w:type="dxa"/>
              <w:end w:w="70" w:type="dxa"/>
            </w:tcMar>
            <w:vAlign w:val="top"/>
            <w:shd w:fill="F7F9FA"/>
          </w:tcPr>
          <w:p>
            <w:pPr>
              <w:spacing w:after="0"/>
            </w:pPr>
            <w:r>
              <w:rPr>
                <w:sz w:val="14"/>
              </w:rPr>
              <w:t>$3,000-$15,000 per practice/year</w:t>
            </w:r>
          </w:p>
        </w:tc>
        <w:tc>
          <w:tcPr>
            <w:tcW w:type="dxa" w:w="3671"/>
            <w:tcMar>
              <w:top w:w="65" w:type="dxa"/>
              <w:start w:w="70" w:type="dxa"/>
              <w:bottom w:w="65" w:type="dxa"/>
              <w:end w:w="70" w:type="dxa"/>
            </w:tcMar>
            <w:vAlign w:val="top"/>
            <w:shd w:fill="F7F9FA"/>
          </w:tcPr>
          <w:p>
            <w:pPr>
              <w:spacing w:after="0"/>
            </w:pPr>
            <w:r>
              <w:rPr>
                <w:sz w:val="14"/>
              </w:rPr>
              <w:t>Shared pathways, local ranges, referral quality, QI analytics, support</w:t>
            </w:r>
          </w:p>
        </w:tc>
        <w:tc>
          <w:tcPr>
            <w:tcW w:type="dxa" w:w="2376"/>
            <w:tcMar>
              <w:top w:w="65" w:type="dxa"/>
              <w:start w:w="70" w:type="dxa"/>
              <w:bottom w:w="65" w:type="dxa"/>
              <w:end w:w="70" w:type="dxa"/>
            </w:tcMar>
            <w:vAlign w:val="top"/>
            <w:shd w:fill="F7F9FA"/>
          </w:tcPr>
          <w:p>
            <w:pPr>
              <w:spacing w:after="0"/>
            </w:pPr>
            <w:r>
              <w:rPr>
                <w:sz w:val="14"/>
              </w:rPr>
              <w:t>Time saved, referral completeness, team adoption.</w:t>
            </w:r>
          </w:p>
        </w:tc>
      </w:tr>
      <w:tr>
        <w:trPr>
          <w:cantSplit/>
        </w:trPr>
        <w:tc>
          <w:tcPr>
            <w:tcW w:type="dxa" w:w="1944"/>
            <w:tcMar>
              <w:top w:w="65" w:type="dxa"/>
              <w:start w:w="70" w:type="dxa"/>
              <w:bottom w:w="65" w:type="dxa"/>
              <w:end w:w="70" w:type="dxa"/>
            </w:tcMar>
            <w:vAlign w:val="top"/>
          </w:tcPr>
          <w:p>
            <w:pPr>
              <w:spacing w:after="0"/>
            </w:pPr>
            <w:r>
              <w:rPr>
                <w:sz w:val="14"/>
              </w:rPr>
              <w:t>Enterprise</w:t>
            </w:r>
          </w:p>
        </w:tc>
        <w:tc>
          <w:tcPr>
            <w:tcW w:type="dxa" w:w="2088"/>
            <w:tcMar>
              <w:top w:w="65" w:type="dxa"/>
              <w:start w:w="70" w:type="dxa"/>
              <w:bottom w:w="65" w:type="dxa"/>
              <w:end w:w="70" w:type="dxa"/>
            </w:tcMar>
            <w:vAlign w:val="top"/>
          </w:tcPr>
          <w:p>
            <w:pPr>
              <w:spacing w:after="0"/>
            </w:pPr>
            <w:r>
              <w:rPr>
                <w:sz w:val="14"/>
              </w:rPr>
              <w:t>$50,000-$250,000+ per organization/year</w:t>
            </w:r>
          </w:p>
        </w:tc>
        <w:tc>
          <w:tcPr>
            <w:tcW w:type="dxa" w:w="3671"/>
            <w:tcMar>
              <w:top w:w="65" w:type="dxa"/>
              <w:start w:w="70" w:type="dxa"/>
              <w:bottom w:w="65" w:type="dxa"/>
              <w:end w:w="70" w:type="dxa"/>
            </w:tcMar>
            <w:vAlign w:val="top"/>
          </w:tcPr>
          <w:p>
            <w:pPr>
              <w:spacing w:after="0"/>
            </w:pPr>
            <w:r>
              <w:rPr>
                <w:sz w:val="14"/>
              </w:rPr>
              <w:t>EHR integration, SSO, governance, validated modules, analytics, SLA</w:t>
            </w:r>
          </w:p>
        </w:tc>
        <w:tc>
          <w:tcPr>
            <w:tcW w:type="dxa" w:w="2376"/>
            <w:tcMar>
              <w:top w:w="65" w:type="dxa"/>
              <w:start w:w="70" w:type="dxa"/>
              <w:bottom w:w="65" w:type="dxa"/>
              <w:end w:w="70" w:type="dxa"/>
            </w:tcMar>
            <w:vAlign w:val="top"/>
          </w:tcPr>
          <w:p>
            <w:pPr>
              <w:spacing w:after="0"/>
            </w:pPr>
            <w:r>
              <w:rPr>
                <w:sz w:val="14"/>
              </w:rPr>
              <w:t>Multi-site validation, procurement readiness, measurable workflow/economic impact.</w:t>
            </w:r>
          </w:p>
        </w:tc>
      </w:tr>
      <w:tr>
        <w:trPr>
          <w:cantSplit/>
        </w:trPr>
        <w:tc>
          <w:tcPr>
            <w:tcW w:type="dxa" w:w="1944"/>
            <w:tcMar>
              <w:top w:w="65" w:type="dxa"/>
              <w:start w:w="70" w:type="dxa"/>
              <w:bottom w:w="65" w:type="dxa"/>
              <w:end w:w="70" w:type="dxa"/>
            </w:tcMar>
            <w:vAlign w:val="top"/>
            <w:shd w:fill="F7F9FA"/>
          </w:tcPr>
          <w:p>
            <w:pPr>
              <w:spacing w:after="0"/>
            </w:pPr>
            <w:r>
              <w:rPr>
                <w:sz w:val="14"/>
              </w:rPr>
              <w:t>API / content license</w:t>
            </w:r>
          </w:p>
        </w:tc>
        <w:tc>
          <w:tcPr>
            <w:tcW w:type="dxa" w:w="2088"/>
            <w:tcMar>
              <w:top w:w="65" w:type="dxa"/>
              <w:start w:w="70" w:type="dxa"/>
              <w:bottom w:w="65" w:type="dxa"/>
              <w:end w:w="70" w:type="dxa"/>
            </w:tcMar>
            <w:vAlign w:val="top"/>
            <w:shd w:fill="F7F9FA"/>
          </w:tcPr>
          <w:p>
            <w:pPr>
              <w:spacing w:after="0"/>
            </w:pPr>
            <w:r>
              <w:rPr>
                <w:sz w:val="14"/>
              </w:rPr>
              <w:t>$25,000-$200,000+ annual minimum</w:t>
            </w:r>
          </w:p>
        </w:tc>
        <w:tc>
          <w:tcPr>
            <w:tcW w:type="dxa" w:w="3671"/>
            <w:tcMar>
              <w:top w:w="65" w:type="dxa"/>
              <w:start w:w="70" w:type="dxa"/>
              <w:bottom w:w="65" w:type="dxa"/>
              <w:end w:w="70" w:type="dxa"/>
            </w:tcMar>
            <w:vAlign w:val="top"/>
            <w:shd w:fill="F7F9FA"/>
          </w:tcPr>
          <w:p>
            <w:pPr>
              <w:spacing w:after="0"/>
            </w:pPr>
            <w:r>
              <w:rPr>
                <w:sz w:val="14"/>
              </w:rPr>
              <w:t>White-label executable modules and evidence updates</w:t>
            </w:r>
          </w:p>
        </w:tc>
        <w:tc>
          <w:tcPr>
            <w:tcW w:type="dxa" w:w="2376"/>
            <w:tcMar>
              <w:top w:w="65" w:type="dxa"/>
              <w:start w:w="70" w:type="dxa"/>
              <w:bottom w:w="65" w:type="dxa"/>
              <w:end w:w="70" w:type="dxa"/>
            </w:tcMar>
            <w:vAlign w:val="top"/>
            <w:shd w:fill="F7F9FA"/>
          </w:tcPr>
          <w:p>
            <w:pPr>
              <w:spacing w:after="0"/>
            </w:pPr>
            <w:r>
              <w:rPr>
                <w:sz w:val="14"/>
              </w:rPr>
              <w:t>Stable API, clean rights, versioning, support, customer integration.</w:t>
            </w:r>
          </w:p>
        </w:tc>
      </w:tr>
      <w:tr>
        <w:trPr>
          <w:cantSplit/>
        </w:trPr>
        <w:tc>
          <w:tcPr>
            <w:tcW w:type="dxa" w:w="1944"/>
            <w:tcMar>
              <w:top w:w="65" w:type="dxa"/>
              <w:start w:w="70" w:type="dxa"/>
              <w:bottom w:w="65" w:type="dxa"/>
              <w:end w:w="70" w:type="dxa"/>
            </w:tcMar>
            <w:vAlign w:val="top"/>
          </w:tcPr>
          <w:p>
            <w:pPr>
              <w:spacing w:after="0"/>
            </w:pPr>
            <w:r>
              <w:rPr>
                <w:sz w:val="14"/>
              </w:rPr>
              <w:t>Implementation / validation</w:t>
            </w:r>
          </w:p>
        </w:tc>
        <w:tc>
          <w:tcPr>
            <w:tcW w:type="dxa" w:w="2088"/>
            <w:tcMar>
              <w:top w:w="65" w:type="dxa"/>
              <w:start w:w="70" w:type="dxa"/>
              <w:bottom w:w="65" w:type="dxa"/>
              <w:end w:w="70" w:type="dxa"/>
            </w:tcMar>
            <w:vAlign w:val="top"/>
          </w:tcPr>
          <w:p>
            <w:pPr>
              <w:spacing w:after="0"/>
            </w:pPr>
            <w:r>
              <w:rPr>
                <w:sz w:val="14"/>
              </w:rPr>
              <w:t>Fixed-fee or milestone services</w:t>
            </w:r>
          </w:p>
        </w:tc>
        <w:tc>
          <w:tcPr>
            <w:tcW w:type="dxa" w:w="3671"/>
            <w:tcMar>
              <w:top w:w="65" w:type="dxa"/>
              <w:start w:w="70" w:type="dxa"/>
              <w:bottom w:w="65" w:type="dxa"/>
              <w:end w:w="70" w:type="dxa"/>
            </w:tcMar>
            <w:vAlign w:val="top"/>
          </w:tcPr>
          <w:p>
            <w:pPr>
              <w:spacing w:after="0"/>
            </w:pPr>
            <w:r>
              <w:rPr>
                <w:sz w:val="14"/>
              </w:rPr>
              <w:t>FHIR mapping, local ranges, silent-mode study, workflow design</w:t>
            </w:r>
          </w:p>
        </w:tc>
        <w:tc>
          <w:tcPr>
            <w:tcW w:type="dxa" w:w="2376"/>
            <w:tcMar>
              <w:top w:w="65" w:type="dxa"/>
              <w:start w:w="70" w:type="dxa"/>
              <w:bottom w:w="65" w:type="dxa"/>
              <w:end w:w="70" w:type="dxa"/>
            </w:tcMar>
            <w:vAlign w:val="top"/>
          </w:tcPr>
          <w:p>
            <w:pPr>
              <w:spacing w:after="0"/>
            </w:pPr>
            <w:r>
              <w:rPr>
                <w:sz w:val="14"/>
              </w:rPr>
              <w:t>Reusable implementation playbook and credible team.</w:t>
            </w:r>
          </w:p>
        </w:tc>
      </w:tr>
      <w:tr>
        <w:trPr>
          <w:cantSplit/>
        </w:trPr>
        <w:tc>
          <w:tcPr>
            <w:tcW w:type="dxa" w:w="1944"/>
            <w:tcMar>
              <w:top w:w="65" w:type="dxa"/>
              <w:start w:w="70" w:type="dxa"/>
              <w:bottom w:w="65" w:type="dxa"/>
              <w:end w:w="70" w:type="dxa"/>
            </w:tcMar>
            <w:vAlign w:val="top"/>
            <w:shd w:fill="F7F9FA"/>
          </w:tcPr>
          <w:p>
            <w:pPr>
              <w:spacing w:after="0"/>
            </w:pPr>
            <w:r>
              <w:rPr>
                <w:sz w:val="14"/>
              </w:rPr>
              <w:t>Research / non-dilutive funding</w:t>
            </w:r>
          </w:p>
        </w:tc>
        <w:tc>
          <w:tcPr>
            <w:tcW w:type="dxa" w:w="2088"/>
            <w:tcMar>
              <w:top w:w="65" w:type="dxa"/>
              <w:start w:w="70" w:type="dxa"/>
              <w:bottom w:w="65" w:type="dxa"/>
              <w:end w:w="70" w:type="dxa"/>
            </w:tcMar>
            <w:vAlign w:val="top"/>
            <w:shd w:fill="F7F9FA"/>
          </w:tcPr>
          <w:p>
            <w:pPr>
              <w:spacing w:after="0"/>
            </w:pPr>
            <w:r>
              <w:rPr>
                <w:sz w:val="14"/>
              </w:rPr>
              <w:t>Grant- or contract-funded</w:t>
            </w:r>
          </w:p>
        </w:tc>
        <w:tc>
          <w:tcPr>
            <w:tcW w:type="dxa" w:w="3671"/>
            <w:tcMar>
              <w:top w:w="65" w:type="dxa"/>
              <w:start w:w="70" w:type="dxa"/>
              <w:bottom w:w="65" w:type="dxa"/>
              <w:end w:w="70" w:type="dxa"/>
            </w:tcMar>
            <w:vAlign w:val="top"/>
            <w:shd w:fill="F7F9FA"/>
          </w:tcPr>
          <w:p>
            <w:pPr>
              <w:spacing w:after="0"/>
            </w:pPr>
            <w:r>
              <w:rPr>
                <w:sz w:val="14"/>
              </w:rPr>
              <w:t>Novel validation, guideline digitization, health-services research</w:t>
            </w:r>
          </w:p>
        </w:tc>
        <w:tc>
          <w:tcPr>
            <w:tcW w:type="dxa" w:w="2376"/>
            <w:tcMar>
              <w:top w:w="65" w:type="dxa"/>
              <w:start w:w="70" w:type="dxa"/>
              <w:bottom w:w="65" w:type="dxa"/>
              <w:end w:w="70" w:type="dxa"/>
            </w:tcMar>
            <w:vAlign w:val="top"/>
            <w:shd w:fill="F7F9FA"/>
          </w:tcPr>
          <w:p>
            <w:pPr>
              <w:spacing w:after="0"/>
            </w:pPr>
            <w:r>
              <w:rPr>
                <w:sz w:val="14"/>
              </w:rPr>
              <w:t>Strong clinical/academic partners and publishable protocol.</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FFF6DA"/>
            <w:tcMar>
              <w:top w:w="130" w:type="dxa"/>
              <w:start w:w="160" w:type="dxa"/>
              <w:bottom w:w="130" w:type="dxa"/>
              <w:end w:w="160" w:type="dxa"/>
            </w:tcMar>
          </w:tcPr>
          <w:p>
            <w:r>
              <w:rPr>
                <w:b/>
                <w:color w:val="D9A526"/>
                <w:sz w:val="16"/>
              </w:rPr>
              <w:t>PRICING CAVEAT</w:t>
            </w:r>
          </w:p>
          <w:p>
            <w:r>
              <w:rPr>
                <w:sz w:val="18"/>
              </w:rPr>
              <w:t>These ranges are product-planning hypotheses, not observed willingness-to-pay. Validate them through 20-30 structured buyer interviews and paid design-partner pilots before building a financial plan around them.</w:t>
            </w:r>
          </w:p>
        </w:tc>
      </w:tr>
    </w:tbl>
    <w:p>
      <w:pPr>
        <w:spacing w:after="0"/>
      </w:pPr>
    </w:p>
    <w:p>
      <w:pPr>
        <w:pStyle w:val="Heading2"/>
      </w:pPr>
      <w:r>
        <w:t>9.2 Business-model recommendation</w:t>
      </w:r>
    </w:p>
    <w:p>
      <w:pPr>
        <w:pStyle w:val="ListBullet"/>
        <w:spacing w:after="50"/>
      </w:pPr>
      <w:r>
        <w:t>Use the free anemia module as a trust and acquisition channel; do not place essential safety information behind a paywall.</w:t>
      </w:r>
    </w:p>
    <w:p>
      <w:pPr>
        <w:pStyle w:val="ListBullet"/>
        <w:spacing w:after="50"/>
      </w:pPr>
      <w:r>
        <w:t>Sell workflow, integration, governance, and measurable enterprise value rather than access to a static differential.</w:t>
      </w:r>
    </w:p>
    <w:p>
      <w:pPr>
        <w:pStyle w:val="ListBullet"/>
        <w:spacing w:after="50"/>
      </w:pPr>
      <w:r>
        <w:t>Prefer subscription and license revenue. Use services selectively to fund implementation and learn, then productize recurring work.</w:t>
      </w:r>
    </w:p>
    <w:p>
      <w:pPr>
        <w:pStyle w:val="ListBullet"/>
        <w:spacing w:after="50"/>
      </w:pPr>
      <w:r>
        <w:t>Avoid advertising or sponsorship that could bias test, treatment, or referral outputs. Any commercial support must be firewalled from clinical content governance.</w:t>
      </w:r>
    </w:p>
    <w:p>
      <w:pPr>
        <w:pStyle w:val="ListBullet"/>
        <w:spacing w:after="50"/>
      </w:pPr>
      <w:r>
        <w:t>Preserve a clean separation between engine code, clinical knowledge packages, tenant configuration, and validation evidence for licensing and diligence.</w:t>
      </w:r>
    </w:p>
    <w:p>
      <w:pPr>
        <w:pStyle w:val="Heading1"/>
      </w:pPr>
      <w:r>
        <w:t>10. Market and financial scenarios</w:t>
      </w:r>
    </w:p>
    <w:p>
      <w:pPr>
        <w:pStyle w:val="Heading2"/>
      </w:pPr>
      <w:r>
        <w:t>10.1 Reachable audience anchor</w:t>
      </w:r>
    </w:p>
    <w:p>
      <w:r>
        <w:t>AAP states that certain recruitment offerings reach 67,000 board-certified AAP members. [M1] This is a useful U.S. pediatric audience anchor, not a formal total-addressable-market estimate: it may include members outside the intended buying population, exclude non-member users, and does not represent institutions or international markets.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311"/>
            <w:shd w:fill="123E4A"/>
            <w:tcMar>
              <w:top w:w="75" w:type="dxa"/>
              <w:start w:w="70" w:type="dxa"/>
              <w:bottom w:w="75" w:type="dxa"/>
              <w:end w:w="70" w:type="dxa"/>
            </w:tcMar>
            <w:vAlign w:val="center"/>
          </w:tcPr>
          <w:p>
            <w:r>
              <w:rPr>
                <w:b/>
                <w:color w:val="FFFFFF"/>
                <w:sz w:val="16"/>
              </w:rPr>
              <w:t>Individual adoption scenario</w:t>
            </w:r>
          </w:p>
        </w:tc>
        <w:tc>
          <w:tcPr>
            <w:tcW w:type="dxa" w:w="2160"/>
            <w:shd w:fill="123E4A"/>
            <w:tcMar>
              <w:top w:w="75" w:type="dxa"/>
              <w:start w:w="70" w:type="dxa"/>
              <w:bottom w:w="75" w:type="dxa"/>
              <w:end w:w="70" w:type="dxa"/>
            </w:tcMar>
            <w:vAlign w:val="center"/>
          </w:tcPr>
          <w:p>
            <w:r>
              <w:rPr>
                <w:b/>
                <w:color w:val="FFFFFF"/>
                <w:sz w:val="16"/>
              </w:rPr>
              <w:t>Users (of 67,000)</w:t>
            </w:r>
          </w:p>
        </w:tc>
        <w:tc>
          <w:tcPr>
            <w:tcW w:type="dxa" w:w="2015"/>
            <w:shd w:fill="123E4A"/>
            <w:tcMar>
              <w:top w:w="75" w:type="dxa"/>
              <w:start w:w="70" w:type="dxa"/>
              <w:bottom w:w="75" w:type="dxa"/>
              <w:end w:w="70" w:type="dxa"/>
            </w:tcMar>
            <w:vAlign w:val="center"/>
          </w:tcPr>
          <w:p>
            <w:r>
              <w:rPr>
                <w:b/>
                <w:color w:val="FFFFFF"/>
                <w:sz w:val="16"/>
              </w:rPr>
              <w:t>Price hypothesis</w:t>
            </w:r>
          </w:p>
        </w:tc>
        <w:tc>
          <w:tcPr>
            <w:tcW w:type="dxa" w:w="2592"/>
            <w:shd w:fill="123E4A"/>
            <w:tcMar>
              <w:top w:w="75" w:type="dxa"/>
              <w:start w:w="70" w:type="dxa"/>
              <w:bottom w:w="75" w:type="dxa"/>
              <w:end w:w="70" w:type="dxa"/>
            </w:tcMar>
            <w:vAlign w:val="center"/>
          </w:tcPr>
          <w:p>
            <w:r>
              <w:rPr>
                <w:b/>
                <w:color w:val="FFFFFF"/>
                <w:sz w:val="16"/>
              </w:rPr>
              <w:t>Illustrative ARR</w:t>
            </w:r>
          </w:p>
        </w:tc>
      </w:tr>
      <w:tr>
        <w:trPr>
          <w:cantSplit/>
        </w:trPr>
        <w:tc>
          <w:tcPr>
            <w:tcW w:type="dxa" w:w="3311"/>
            <w:tcMar>
              <w:top w:w="65" w:type="dxa"/>
              <w:start w:w="70" w:type="dxa"/>
              <w:bottom w:w="65" w:type="dxa"/>
              <w:end w:w="70" w:type="dxa"/>
            </w:tcMar>
            <w:vAlign w:val="top"/>
          </w:tcPr>
          <w:p>
            <w:pPr>
              <w:spacing w:after="0"/>
            </w:pPr>
            <w:r>
              <w:rPr>
                <w:sz w:val="16"/>
              </w:rPr>
              <w:t>5%</w:t>
            </w:r>
          </w:p>
        </w:tc>
        <w:tc>
          <w:tcPr>
            <w:tcW w:type="dxa" w:w="2160"/>
            <w:tcMar>
              <w:top w:w="65" w:type="dxa"/>
              <w:start w:w="70" w:type="dxa"/>
              <w:bottom w:w="65" w:type="dxa"/>
              <w:end w:w="70" w:type="dxa"/>
            </w:tcMar>
            <w:vAlign w:val="top"/>
          </w:tcPr>
          <w:p>
            <w:pPr>
              <w:spacing w:after="0"/>
            </w:pPr>
            <w:r>
              <w:rPr>
                <w:sz w:val="16"/>
              </w:rPr>
              <w:t>3,350</w:t>
            </w:r>
          </w:p>
        </w:tc>
        <w:tc>
          <w:tcPr>
            <w:tcW w:type="dxa" w:w="2015"/>
            <w:tcMar>
              <w:top w:w="65" w:type="dxa"/>
              <w:start w:w="70" w:type="dxa"/>
              <w:bottom w:w="65" w:type="dxa"/>
              <w:end w:w="70" w:type="dxa"/>
            </w:tcMar>
            <w:vAlign w:val="top"/>
          </w:tcPr>
          <w:p>
            <w:pPr>
              <w:spacing w:after="0"/>
            </w:pPr>
            <w:r>
              <w:rPr>
                <w:sz w:val="16"/>
              </w:rPr>
              <w:t>$249/year</w:t>
            </w:r>
          </w:p>
        </w:tc>
        <w:tc>
          <w:tcPr>
            <w:tcW w:type="dxa" w:w="2592"/>
            <w:tcMar>
              <w:top w:w="65" w:type="dxa"/>
              <w:start w:w="70" w:type="dxa"/>
              <w:bottom w:w="65" w:type="dxa"/>
              <w:end w:w="70" w:type="dxa"/>
            </w:tcMar>
            <w:vAlign w:val="top"/>
          </w:tcPr>
          <w:p>
            <w:pPr>
              <w:spacing w:after="0"/>
            </w:pPr>
            <w:r>
              <w:rPr>
                <w:sz w:val="16"/>
              </w:rPr>
              <w:t>$834,150</w:t>
            </w:r>
          </w:p>
        </w:tc>
      </w:tr>
      <w:tr>
        <w:trPr>
          <w:cantSplit/>
        </w:trPr>
        <w:tc>
          <w:tcPr>
            <w:tcW w:type="dxa" w:w="3311"/>
            <w:tcMar>
              <w:top w:w="65" w:type="dxa"/>
              <w:start w:w="70" w:type="dxa"/>
              <w:bottom w:w="65" w:type="dxa"/>
              <w:end w:w="70" w:type="dxa"/>
            </w:tcMar>
            <w:vAlign w:val="top"/>
            <w:shd w:fill="F7F9FA"/>
          </w:tcPr>
          <w:p>
            <w:pPr>
              <w:spacing w:after="0"/>
            </w:pPr>
            <w:r>
              <w:rPr>
                <w:sz w:val="16"/>
              </w:rPr>
              <w:t>15%</w:t>
            </w:r>
          </w:p>
        </w:tc>
        <w:tc>
          <w:tcPr>
            <w:tcW w:type="dxa" w:w="2160"/>
            <w:tcMar>
              <w:top w:w="65" w:type="dxa"/>
              <w:start w:w="70" w:type="dxa"/>
              <w:bottom w:w="65" w:type="dxa"/>
              <w:end w:w="70" w:type="dxa"/>
            </w:tcMar>
            <w:vAlign w:val="top"/>
            <w:shd w:fill="F7F9FA"/>
          </w:tcPr>
          <w:p>
            <w:pPr>
              <w:spacing w:after="0"/>
            </w:pPr>
            <w:r>
              <w:rPr>
                <w:sz w:val="16"/>
              </w:rPr>
              <w:t>10,050</w:t>
            </w:r>
          </w:p>
        </w:tc>
        <w:tc>
          <w:tcPr>
            <w:tcW w:type="dxa" w:w="2015"/>
            <w:tcMar>
              <w:top w:w="65" w:type="dxa"/>
              <w:start w:w="70" w:type="dxa"/>
              <w:bottom w:w="65" w:type="dxa"/>
              <w:end w:w="70" w:type="dxa"/>
            </w:tcMar>
            <w:vAlign w:val="top"/>
            <w:shd w:fill="F7F9FA"/>
          </w:tcPr>
          <w:p>
            <w:pPr>
              <w:spacing w:after="0"/>
            </w:pPr>
            <w:r>
              <w:rPr>
                <w:sz w:val="16"/>
              </w:rPr>
              <w:t>$249/year</w:t>
            </w:r>
          </w:p>
        </w:tc>
        <w:tc>
          <w:tcPr>
            <w:tcW w:type="dxa" w:w="2592"/>
            <w:tcMar>
              <w:top w:w="65" w:type="dxa"/>
              <w:start w:w="70" w:type="dxa"/>
              <w:bottom w:w="65" w:type="dxa"/>
              <w:end w:w="70" w:type="dxa"/>
            </w:tcMar>
            <w:vAlign w:val="top"/>
            <w:shd w:fill="F7F9FA"/>
          </w:tcPr>
          <w:p>
            <w:pPr>
              <w:spacing w:after="0"/>
            </w:pPr>
            <w:r>
              <w:rPr>
                <w:sz w:val="16"/>
              </w:rPr>
              <w:t>$2,502,450</w:t>
            </w:r>
          </w:p>
        </w:tc>
      </w:tr>
      <w:tr>
        <w:trPr>
          <w:cantSplit/>
        </w:trPr>
        <w:tc>
          <w:tcPr>
            <w:tcW w:type="dxa" w:w="3311"/>
            <w:tcMar>
              <w:top w:w="65" w:type="dxa"/>
              <w:start w:w="70" w:type="dxa"/>
              <w:bottom w:w="65" w:type="dxa"/>
              <w:end w:w="70" w:type="dxa"/>
            </w:tcMar>
            <w:vAlign w:val="top"/>
          </w:tcPr>
          <w:p>
            <w:pPr>
              <w:spacing w:after="0"/>
            </w:pPr>
            <w:r>
              <w:rPr>
                <w:sz w:val="16"/>
              </w:rPr>
              <w:t>25%</w:t>
            </w:r>
          </w:p>
        </w:tc>
        <w:tc>
          <w:tcPr>
            <w:tcW w:type="dxa" w:w="2160"/>
            <w:tcMar>
              <w:top w:w="65" w:type="dxa"/>
              <w:start w:w="70" w:type="dxa"/>
              <w:bottom w:w="65" w:type="dxa"/>
              <w:end w:w="70" w:type="dxa"/>
            </w:tcMar>
            <w:vAlign w:val="top"/>
          </w:tcPr>
          <w:p>
            <w:pPr>
              <w:spacing w:after="0"/>
            </w:pPr>
            <w:r>
              <w:rPr>
                <w:sz w:val="16"/>
              </w:rPr>
              <w:t>16,750</w:t>
            </w:r>
          </w:p>
        </w:tc>
        <w:tc>
          <w:tcPr>
            <w:tcW w:type="dxa" w:w="2015"/>
            <w:tcMar>
              <w:top w:w="65" w:type="dxa"/>
              <w:start w:w="70" w:type="dxa"/>
              <w:bottom w:w="65" w:type="dxa"/>
              <w:end w:w="70" w:type="dxa"/>
            </w:tcMar>
            <w:vAlign w:val="top"/>
          </w:tcPr>
          <w:p>
            <w:pPr>
              <w:spacing w:after="0"/>
            </w:pPr>
            <w:r>
              <w:rPr>
                <w:sz w:val="16"/>
              </w:rPr>
              <w:t>$249/year</w:t>
            </w:r>
          </w:p>
        </w:tc>
        <w:tc>
          <w:tcPr>
            <w:tcW w:type="dxa" w:w="2592"/>
            <w:tcMar>
              <w:top w:w="65" w:type="dxa"/>
              <w:start w:w="70" w:type="dxa"/>
              <w:bottom w:w="65" w:type="dxa"/>
              <w:end w:w="70" w:type="dxa"/>
            </w:tcMar>
            <w:vAlign w:val="top"/>
          </w:tcPr>
          <w:p>
            <w:pPr>
              <w:spacing w:after="0"/>
            </w:pPr>
            <w:r>
              <w:rPr>
                <w:sz w:val="16"/>
              </w:rPr>
              <w:t>$4,170,750</w:t>
            </w:r>
          </w:p>
        </w:tc>
      </w:tr>
    </w:tbl>
    <w:p>
      <w:pPr>
        <w:spacing w:after="20"/>
      </w:pPr>
    </w:p>
    <w:p>
      <w:r>
        <w:t>These scenarios show why individual subscriptions alone are unlikely to justify a large company unless adoption is exceptional or the suite broadens. Enterprise and licensing revenue materially change the opportunity.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311"/>
            <w:shd w:fill="123E4A"/>
            <w:tcMar>
              <w:top w:w="75" w:type="dxa"/>
              <w:start w:w="70" w:type="dxa"/>
              <w:bottom w:w="75" w:type="dxa"/>
              <w:end w:w="70" w:type="dxa"/>
            </w:tcMar>
            <w:vAlign w:val="center"/>
          </w:tcPr>
          <w:p>
            <w:r>
              <w:rPr>
                <w:b/>
                <w:color w:val="FFFFFF"/>
                <w:sz w:val="16"/>
              </w:rPr>
              <w:t>Enterprise scenario</w:t>
            </w:r>
          </w:p>
        </w:tc>
        <w:tc>
          <w:tcPr>
            <w:tcW w:type="dxa" w:w="1800"/>
            <w:shd w:fill="123E4A"/>
            <w:tcMar>
              <w:top w:w="75" w:type="dxa"/>
              <w:start w:w="70" w:type="dxa"/>
              <w:bottom w:w="75" w:type="dxa"/>
              <w:end w:w="70" w:type="dxa"/>
            </w:tcMar>
            <w:vAlign w:val="center"/>
          </w:tcPr>
          <w:p>
            <w:r>
              <w:rPr>
                <w:b/>
                <w:color w:val="FFFFFF"/>
                <w:sz w:val="16"/>
              </w:rPr>
              <w:t>Organizations</w:t>
            </w:r>
          </w:p>
        </w:tc>
        <w:tc>
          <w:tcPr>
            <w:tcW w:type="dxa" w:w="2376"/>
            <w:shd w:fill="123E4A"/>
            <w:tcMar>
              <w:top w:w="75" w:type="dxa"/>
              <w:start w:w="70" w:type="dxa"/>
              <w:bottom w:w="75" w:type="dxa"/>
              <w:end w:w="70" w:type="dxa"/>
            </w:tcMar>
            <w:vAlign w:val="center"/>
          </w:tcPr>
          <w:p>
            <w:r>
              <w:rPr>
                <w:b/>
                <w:color w:val="FFFFFF"/>
                <w:sz w:val="16"/>
              </w:rPr>
              <w:t>Average annual contract</w:t>
            </w:r>
          </w:p>
        </w:tc>
        <w:tc>
          <w:tcPr>
            <w:tcW w:type="dxa" w:w="2592"/>
            <w:shd w:fill="123E4A"/>
            <w:tcMar>
              <w:top w:w="75" w:type="dxa"/>
              <w:start w:w="70" w:type="dxa"/>
              <w:bottom w:w="75" w:type="dxa"/>
              <w:end w:w="70" w:type="dxa"/>
            </w:tcMar>
            <w:vAlign w:val="center"/>
          </w:tcPr>
          <w:p>
            <w:r>
              <w:rPr>
                <w:b/>
                <w:color w:val="FFFFFF"/>
                <w:sz w:val="16"/>
              </w:rPr>
              <w:t>Illustrative ARR</w:t>
            </w:r>
          </w:p>
        </w:tc>
      </w:tr>
      <w:tr>
        <w:trPr>
          <w:cantSplit/>
        </w:trPr>
        <w:tc>
          <w:tcPr>
            <w:tcW w:type="dxa" w:w="3311"/>
            <w:tcMar>
              <w:top w:w="65" w:type="dxa"/>
              <w:start w:w="70" w:type="dxa"/>
              <w:bottom w:w="65" w:type="dxa"/>
              <w:end w:w="70" w:type="dxa"/>
            </w:tcMar>
            <w:vAlign w:val="top"/>
          </w:tcPr>
          <w:p>
            <w:pPr>
              <w:spacing w:after="0"/>
            </w:pPr>
            <w:r>
              <w:rPr>
                <w:sz w:val="16"/>
              </w:rPr>
              <w:t>Early institutional footprint</w:t>
            </w:r>
          </w:p>
        </w:tc>
        <w:tc>
          <w:tcPr>
            <w:tcW w:type="dxa" w:w="1800"/>
            <w:tcMar>
              <w:top w:w="65" w:type="dxa"/>
              <w:start w:w="70" w:type="dxa"/>
              <w:bottom w:w="65" w:type="dxa"/>
              <w:end w:w="70" w:type="dxa"/>
            </w:tcMar>
            <w:vAlign w:val="top"/>
          </w:tcPr>
          <w:p>
            <w:pPr>
              <w:spacing w:after="0"/>
            </w:pPr>
            <w:r>
              <w:rPr>
                <w:sz w:val="16"/>
              </w:rPr>
              <w:t>20</w:t>
            </w:r>
          </w:p>
        </w:tc>
        <w:tc>
          <w:tcPr>
            <w:tcW w:type="dxa" w:w="2376"/>
            <w:tcMar>
              <w:top w:w="65" w:type="dxa"/>
              <w:start w:w="70" w:type="dxa"/>
              <w:bottom w:w="65" w:type="dxa"/>
              <w:end w:w="70" w:type="dxa"/>
            </w:tcMar>
            <w:vAlign w:val="top"/>
          </w:tcPr>
          <w:p>
            <w:pPr>
              <w:spacing w:after="0"/>
            </w:pPr>
            <w:r>
              <w:rPr>
                <w:sz w:val="16"/>
              </w:rPr>
              <w:t>$75,000</w:t>
            </w:r>
          </w:p>
        </w:tc>
        <w:tc>
          <w:tcPr>
            <w:tcW w:type="dxa" w:w="2592"/>
            <w:tcMar>
              <w:top w:w="65" w:type="dxa"/>
              <w:start w:w="70" w:type="dxa"/>
              <w:bottom w:w="65" w:type="dxa"/>
              <w:end w:w="70" w:type="dxa"/>
            </w:tcMar>
            <w:vAlign w:val="top"/>
          </w:tcPr>
          <w:p>
            <w:pPr>
              <w:spacing w:after="0"/>
            </w:pPr>
            <w:r>
              <w:rPr>
                <w:sz w:val="16"/>
              </w:rPr>
              <w:t>$1,500,000</w:t>
            </w:r>
          </w:p>
        </w:tc>
      </w:tr>
      <w:tr>
        <w:trPr>
          <w:cantSplit/>
        </w:trPr>
        <w:tc>
          <w:tcPr>
            <w:tcW w:type="dxa" w:w="3311"/>
            <w:tcMar>
              <w:top w:w="65" w:type="dxa"/>
              <w:start w:w="70" w:type="dxa"/>
              <w:bottom w:w="65" w:type="dxa"/>
              <w:end w:w="70" w:type="dxa"/>
            </w:tcMar>
            <w:vAlign w:val="top"/>
            <w:shd w:fill="F7F9FA"/>
          </w:tcPr>
          <w:p>
            <w:pPr>
              <w:spacing w:after="0"/>
            </w:pPr>
            <w:r>
              <w:rPr>
                <w:sz w:val="16"/>
              </w:rPr>
              <w:t>Established product</w:t>
            </w:r>
          </w:p>
        </w:tc>
        <w:tc>
          <w:tcPr>
            <w:tcW w:type="dxa" w:w="1800"/>
            <w:tcMar>
              <w:top w:w="65" w:type="dxa"/>
              <w:start w:w="70" w:type="dxa"/>
              <w:bottom w:w="65" w:type="dxa"/>
              <w:end w:w="70" w:type="dxa"/>
            </w:tcMar>
            <w:vAlign w:val="top"/>
            <w:shd w:fill="F7F9FA"/>
          </w:tcPr>
          <w:p>
            <w:pPr>
              <w:spacing w:after="0"/>
            </w:pPr>
            <w:r>
              <w:rPr>
                <w:sz w:val="16"/>
              </w:rPr>
              <w:t>50</w:t>
            </w:r>
          </w:p>
        </w:tc>
        <w:tc>
          <w:tcPr>
            <w:tcW w:type="dxa" w:w="2376"/>
            <w:tcMar>
              <w:top w:w="65" w:type="dxa"/>
              <w:start w:w="70" w:type="dxa"/>
              <w:bottom w:w="65" w:type="dxa"/>
              <w:end w:w="70" w:type="dxa"/>
            </w:tcMar>
            <w:vAlign w:val="top"/>
            <w:shd w:fill="F7F9FA"/>
          </w:tcPr>
          <w:p>
            <w:pPr>
              <w:spacing w:after="0"/>
            </w:pPr>
            <w:r>
              <w:rPr>
                <w:sz w:val="16"/>
              </w:rPr>
              <w:t>$125,000</w:t>
            </w:r>
          </w:p>
        </w:tc>
        <w:tc>
          <w:tcPr>
            <w:tcW w:type="dxa" w:w="2592"/>
            <w:tcMar>
              <w:top w:w="65" w:type="dxa"/>
              <w:start w:w="70" w:type="dxa"/>
              <w:bottom w:w="65" w:type="dxa"/>
              <w:end w:w="70" w:type="dxa"/>
            </w:tcMar>
            <w:vAlign w:val="top"/>
            <w:shd w:fill="F7F9FA"/>
          </w:tcPr>
          <w:p>
            <w:pPr>
              <w:spacing w:after="0"/>
            </w:pPr>
            <w:r>
              <w:rPr>
                <w:sz w:val="16"/>
              </w:rPr>
              <w:t>$6,250,000</w:t>
            </w:r>
          </w:p>
        </w:tc>
      </w:tr>
      <w:tr>
        <w:trPr>
          <w:cantSplit/>
        </w:trPr>
        <w:tc>
          <w:tcPr>
            <w:tcW w:type="dxa" w:w="3311"/>
            <w:tcMar>
              <w:top w:w="65" w:type="dxa"/>
              <w:start w:w="70" w:type="dxa"/>
              <w:bottom w:w="65" w:type="dxa"/>
              <w:end w:w="70" w:type="dxa"/>
            </w:tcMar>
            <w:vAlign w:val="top"/>
          </w:tcPr>
          <w:p>
            <w:pPr>
              <w:spacing w:after="0"/>
            </w:pPr>
            <w:r>
              <w:rPr>
                <w:sz w:val="16"/>
              </w:rPr>
              <w:t>Scaled enterprise platform</w:t>
            </w:r>
          </w:p>
        </w:tc>
        <w:tc>
          <w:tcPr>
            <w:tcW w:type="dxa" w:w="1800"/>
            <w:tcMar>
              <w:top w:w="65" w:type="dxa"/>
              <w:start w:w="70" w:type="dxa"/>
              <w:bottom w:w="65" w:type="dxa"/>
              <w:end w:w="70" w:type="dxa"/>
            </w:tcMar>
            <w:vAlign w:val="top"/>
          </w:tcPr>
          <w:p>
            <w:pPr>
              <w:spacing w:after="0"/>
            </w:pPr>
            <w:r>
              <w:rPr>
                <w:sz w:val="16"/>
              </w:rPr>
              <w:t>100</w:t>
            </w:r>
          </w:p>
        </w:tc>
        <w:tc>
          <w:tcPr>
            <w:tcW w:type="dxa" w:w="2376"/>
            <w:tcMar>
              <w:top w:w="65" w:type="dxa"/>
              <w:start w:w="70" w:type="dxa"/>
              <w:bottom w:w="65" w:type="dxa"/>
              <w:end w:w="70" w:type="dxa"/>
            </w:tcMar>
            <w:vAlign w:val="top"/>
          </w:tcPr>
          <w:p>
            <w:pPr>
              <w:spacing w:after="0"/>
            </w:pPr>
            <w:r>
              <w:rPr>
                <w:sz w:val="16"/>
              </w:rPr>
              <w:t>$150,000</w:t>
            </w:r>
          </w:p>
        </w:tc>
        <w:tc>
          <w:tcPr>
            <w:tcW w:type="dxa" w:w="2592"/>
            <w:tcMar>
              <w:top w:w="65" w:type="dxa"/>
              <w:start w:w="70" w:type="dxa"/>
              <w:bottom w:w="65" w:type="dxa"/>
              <w:end w:w="70" w:type="dxa"/>
            </w:tcMar>
            <w:vAlign w:val="top"/>
          </w:tcPr>
          <w:p>
            <w:pPr>
              <w:spacing w:after="0"/>
            </w:pPr>
            <w:r>
              <w:rPr>
                <w:sz w:val="16"/>
              </w:rPr>
              <w:t>$15,000,000</w:t>
            </w:r>
          </w:p>
        </w:tc>
      </w:tr>
    </w:tbl>
    <w:p>
      <w:pPr>
        <w:spacing w:after="20"/>
      </w:pPr>
    </w:p>
    <w:p>
      <w:pPr>
        <w:pStyle w:val="Heading2"/>
      </w:pPr>
      <w:r>
        <w:t>10.2 Illustrative buyer ROI</w:t>
      </w:r>
    </w:p>
    <w:p>
      <w:r>
        <w:t>A simple time-savings case can frame pilot economics, but it must be measured rather than assumed. Example:</w:t>
      </w:r>
    </w:p>
    <w:tbl>
      <w:tblPr>
        <w:tblW w:type="auto" w:w="0"/>
        <w:jc w:val="center"/>
        <w:tblLayout w:type="fixed"/>
        <w:tblLook w:firstColumn="1" w:firstRow="1" w:lastColumn="0" w:lastRow="0" w:noHBand="0" w:noVBand="1" w:val="04A0"/>
      </w:tblPr>
      <w:tblGrid>
        <w:gridCol w:w="10282"/>
      </w:tblGrid>
      <w:tr>
        <w:tc>
          <w:tcPr>
            <w:tcW w:type="dxa" w:w="10080"/>
            <w:shd w:fill="EEF3F5"/>
            <w:tcMar>
              <w:top w:w="90" w:type="dxa"/>
              <w:start w:w="110" w:type="dxa"/>
              <w:bottom w:w="90" w:type="dxa"/>
              <w:end w:w="110" w:type="dxa"/>
            </w:tcMar>
          </w:tcPr>
          <w:p>
            <w:pPr>
              <w:pStyle w:val="CodeSmall"/>
            </w:pPr>
            <w:r>
              <w:rPr>
                <w:rFonts w:ascii="DejaVu Sans Mono" w:hAnsi="DejaVu Sans Mono"/>
                <w:sz w:val="15"/>
              </w:rPr>
              <w:t>50 clinicians x 3 uses/week x 4 minutes saved x 46 working weeks = 460 clinician hours/year</w:t>
              <w:br/>
              <w:t>460 hours x $200 loaded clinician-hour assumption = $92,000/year of time value</w:t>
            </w:r>
          </w:p>
        </w:tc>
      </w:tr>
    </w:tbl>
    <w:p>
      <w:pPr>
        <w:spacing w:after="0"/>
      </w:pPr>
    </w:p>
    <w:p>
      <w:r>
        <w:t>This would make a $50,000-$75,000 annual contract plausible only if the workflow actually saves that time, adoption is sustained, and the organization values the released capacity. Stronger ROI may come from referral completeness, reduced duplicate or low-value testing, fewer delayed escalations, standardized care, and avoided integration maintenance, but those claims require site-specific baseline and prospective measurement. EvidenceCare and other enterprise CDS vendors explicitly sell clinical and financial outcomes; their stated ROI figures are vendor claims and should not be reused as our evidence. [M6]</w:t>
      </w:r>
    </w:p>
    <w:p>
      <w:pPr>
        <w:pStyle w:val="Heading1"/>
      </w:pPr>
      <w:r>
        <w:t>11. Go-to-market and distribution</w:t>
      </w:r>
    </w:p>
    <w:p>
      <w:pPr>
        <w:pStyle w:val="Heading2"/>
      </w:pPr>
      <w:r>
        <w:t>11.1 Beachhead</w:t>
      </w:r>
    </w:p>
    <w:p>
      <w:r>
        <w:t>Start with general pediatric practices and children's-hospital ambulatory networks that see abnormal CBCs but do not have hematology at the point of care. The best design partners combine: meaningful volume, a motivated pediatric hematologist, laboratory medicine support, an informatics champion, and the ability to conduct retrospective and silent-mode studies.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368"/>
            <w:shd w:fill="123E4A"/>
            <w:tcMar>
              <w:top w:w="75" w:type="dxa"/>
              <w:start w:w="70" w:type="dxa"/>
              <w:bottom w:w="75" w:type="dxa"/>
              <w:end w:w="70" w:type="dxa"/>
            </w:tcMar>
            <w:vAlign w:val="center"/>
          </w:tcPr>
          <w:p>
            <w:r>
              <w:rPr>
                <w:b/>
                <w:color w:val="FFFFFF"/>
                <w:sz w:val="14"/>
              </w:rPr>
              <w:t>Stage</w:t>
            </w:r>
          </w:p>
        </w:tc>
        <w:tc>
          <w:tcPr>
            <w:tcW w:type="dxa" w:w="2232"/>
            <w:shd w:fill="123E4A"/>
            <w:tcMar>
              <w:top w:w="75" w:type="dxa"/>
              <w:start w:w="70" w:type="dxa"/>
              <w:bottom w:w="75" w:type="dxa"/>
              <w:end w:w="70" w:type="dxa"/>
            </w:tcMar>
            <w:vAlign w:val="center"/>
          </w:tcPr>
          <w:p>
            <w:r>
              <w:rPr>
                <w:b/>
                <w:color w:val="FFFFFF"/>
                <w:sz w:val="14"/>
              </w:rPr>
              <w:t>Primary objective</w:t>
            </w:r>
          </w:p>
        </w:tc>
        <w:tc>
          <w:tcPr>
            <w:tcW w:type="dxa" w:w="4536"/>
            <w:shd w:fill="123E4A"/>
            <w:tcMar>
              <w:top w:w="75" w:type="dxa"/>
              <w:start w:w="70" w:type="dxa"/>
              <w:bottom w:w="75" w:type="dxa"/>
              <w:end w:w="70" w:type="dxa"/>
            </w:tcMar>
            <w:vAlign w:val="center"/>
          </w:tcPr>
          <w:p>
            <w:r>
              <w:rPr>
                <w:b/>
                <w:color w:val="FFFFFF"/>
                <w:sz w:val="14"/>
              </w:rPr>
              <w:t>Actions</w:t>
            </w:r>
          </w:p>
        </w:tc>
        <w:tc>
          <w:tcPr>
            <w:tcW w:type="dxa" w:w="1944"/>
            <w:shd w:fill="123E4A"/>
            <w:tcMar>
              <w:top w:w="75" w:type="dxa"/>
              <w:start w:w="70" w:type="dxa"/>
              <w:bottom w:w="75" w:type="dxa"/>
              <w:end w:w="70" w:type="dxa"/>
            </w:tcMar>
            <w:vAlign w:val="center"/>
          </w:tcPr>
          <w:p>
            <w:r>
              <w:rPr>
                <w:b/>
                <w:color w:val="FFFFFF"/>
                <w:sz w:val="14"/>
              </w:rPr>
              <w:t>Exit evidence</w:t>
            </w:r>
          </w:p>
        </w:tc>
      </w:tr>
      <w:tr>
        <w:trPr>
          <w:cantSplit/>
        </w:trPr>
        <w:tc>
          <w:tcPr>
            <w:tcW w:type="dxa" w:w="1368"/>
            <w:tcMar>
              <w:top w:w="65" w:type="dxa"/>
              <w:start w:w="70" w:type="dxa"/>
              <w:bottom w:w="65" w:type="dxa"/>
              <w:end w:w="70" w:type="dxa"/>
            </w:tcMar>
            <w:vAlign w:val="top"/>
          </w:tcPr>
          <w:p>
            <w:pPr>
              <w:spacing w:after="0"/>
            </w:pPr>
            <w:r>
              <w:rPr>
                <w:sz w:val="14"/>
              </w:rPr>
              <w:t>0-3 months</w:t>
            </w:r>
          </w:p>
        </w:tc>
        <w:tc>
          <w:tcPr>
            <w:tcW w:type="dxa" w:w="2232"/>
            <w:tcMar>
              <w:top w:w="65" w:type="dxa"/>
              <w:start w:w="70" w:type="dxa"/>
              <w:bottom w:w="65" w:type="dxa"/>
              <w:end w:w="70" w:type="dxa"/>
            </w:tcMar>
            <w:vAlign w:val="top"/>
          </w:tcPr>
          <w:p>
            <w:pPr>
              <w:spacing w:after="0"/>
            </w:pPr>
            <w:r>
              <w:rPr>
                <w:sz w:val="14"/>
              </w:rPr>
              <w:t>Problem and buyer validation</w:t>
            </w:r>
          </w:p>
        </w:tc>
        <w:tc>
          <w:tcPr>
            <w:tcW w:type="dxa" w:w="4536"/>
            <w:tcMar>
              <w:top w:w="65" w:type="dxa"/>
              <w:start w:w="70" w:type="dxa"/>
              <w:bottom w:w="65" w:type="dxa"/>
              <w:end w:w="70" w:type="dxa"/>
            </w:tcMar>
            <w:vAlign w:val="top"/>
          </w:tcPr>
          <w:p>
            <w:pPr>
              <w:spacing w:after="0"/>
            </w:pPr>
            <w:r>
              <w:rPr>
                <w:sz w:val="14"/>
              </w:rPr>
              <w:t>20-30 interviews; advisory board; intended-use memo; product analytics plan; source-rights review</w:t>
            </w:r>
          </w:p>
        </w:tc>
        <w:tc>
          <w:tcPr>
            <w:tcW w:type="dxa" w:w="1944"/>
            <w:tcMar>
              <w:top w:w="65" w:type="dxa"/>
              <w:start w:w="70" w:type="dxa"/>
              <w:bottom w:w="65" w:type="dxa"/>
              <w:end w:w="70" w:type="dxa"/>
            </w:tcMar>
            <w:vAlign w:val="top"/>
          </w:tcPr>
          <w:p>
            <w:pPr>
              <w:spacing w:after="0"/>
            </w:pPr>
            <w:r>
              <w:rPr>
                <w:sz w:val="14"/>
              </w:rPr>
              <w:t>Confirmed high-frequency jobs, buyer, budget owner, and module sequence.</w:t>
            </w:r>
          </w:p>
        </w:tc>
      </w:tr>
      <w:tr>
        <w:trPr>
          <w:cantSplit/>
        </w:trPr>
        <w:tc>
          <w:tcPr>
            <w:tcW w:type="dxa" w:w="1368"/>
            <w:tcMar>
              <w:top w:w="65" w:type="dxa"/>
              <w:start w:w="70" w:type="dxa"/>
              <w:bottom w:w="65" w:type="dxa"/>
              <w:end w:w="70" w:type="dxa"/>
            </w:tcMar>
            <w:vAlign w:val="top"/>
            <w:shd w:fill="F7F9FA"/>
          </w:tcPr>
          <w:p>
            <w:pPr>
              <w:spacing w:after="0"/>
            </w:pPr>
            <w:r>
              <w:rPr>
                <w:sz w:val="14"/>
              </w:rPr>
              <w:t>3-6 months</w:t>
            </w:r>
          </w:p>
        </w:tc>
        <w:tc>
          <w:tcPr>
            <w:tcW w:type="dxa" w:w="2232"/>
            <w:tcMar>
              <w:top w:w="65" w:type="dxa"/>
              <w:start w:w="70" w:type="dxa"/>
              <w:bottom w:w="65" w:type="dxa"/>
              <w:end w:w="70" w:type="dxa"/>
            </w:tcMar>
            <w:vAlign w:val="top"/>
            <w:shd w:fill="F7F9FA"/>
          </w:tcPr>
          <w:p>
            <w:pPr>
              <w:spacing w:after="0"/>
            </w:pPr>
            <w:r>
              <w:rPr>
                <w:sz w:val="14"/>
              </w:rPr>
              <w:t>Clinical-grade foundation</w:t>
            </w:r>
          </w:p>
        </w:tc>
        <w:tc>
          <w:tcPr>
            <w:tcW w:type="dxa" w:w="4536"/>
            <w:tcMar>
              <w:top w:w="65" w:type="dxa"/>
              <w:start w:w="70" w:type="dxa"/>
              <w:bottom w:w="65" w:type="dxa"/>
              <w:end w:w="70" w:type="dxa"/>
            </w:tcMar>
            <w:vAlign w:val="top"/>
            <w:shd w:fill="F7F9FA"/>
          </w:tcPr>
          <w:p>
            <w:pPr>
              <w:spacing w:after="0"/>
            </w:pPr>
            <w:r>
              <w:rPr>
                <w:sz w:val="14"/>
              </w:rPr>
              <w:t>Tri-state data, exact passages, review portal, test harness, threat model, protocol, local range model</w:t>
            </w:r>
          </w:p>
        </w:tc>
        <w:tc>
          <w:tcPr>
            <w:tcW w:type="dxa" w:w="1944"/>
            <w:tcMar>
              <w:top w:w="65" w:type="dxa"/>
              <w:start w:w="70" w:type="dxa"/>
              <w:bottom w:w="65" w:type="dxa"/>
              <w:end w:w="70" w:type="dxa"/>
            </w:tcMar>
            <w:vAlign w:val="top"/>
            <w:shd w:fill="F7F9FA"/>
          </w:tcPr>
          <w:p>
            <w:pPr>
              <w:spacing w:after="0"/>
            </w:pPr>
            <w:r>
              <w:rPr>
                <w:sz w:val="14"/>
              </w:rPr>
              <w:t>Clinically approved anemia KB and ready retrospective protocol.</w:t>
            </w:r>
          </w:p>
        </w:tc>
      </w:tr>
      <w:tr>
        <w:trPr>
          <w:cantSplit/>
        </w:trPr>
        <w:tc>
          <w:tcPr>
            <w:tcW w:type="dxa" w:w="1368"/>
            <w:tcMar>
              <w:top w:w="65" w:type="dxa"/>
              <w:start w:w="70" w:type="dxa"/>
              <w:bottom w:w="65" w:type="dxa"/>
              <w:end w:w="70" w:type="dxa"/>
            </w:tcMar>
            <w:vAlign w:val="top"/>
          </w:tcPr>
          <w:p>
            <w:pPr>
              <w:spacing w:after="0"/>
            </w:pPr>
            <w:r>
              <w:rPr>
                <w:sz w:val="14"/>
              </w:rPr>
              <w:t>6-12 months</w:t>
            </w:r>
          </w:p>
        </w:tc>
        <w:tc>
          <w:tcPr>
            <w:tcW w:type="dxa" w:w="2232"/>
            <w:tcMar>
              <w:top w:w="65" w:type="dxa"/>
              <w:start w:w="70" w:type="dxa"/>
              <w:bottom w:w="65" w:type="dxa"/>
              <w:end w:w="70" w:type="dxa"/>
            </w:tcMar>
            <w:vAlign w:val="top"/>
          </w:tcPr>
          <w:p>
            <w:pPr>
              <w:spacing w:after="0"/>
            </w:pPr>
            <w:r>
              <w:rPr>
                <w:sz w:val="14"/>
              </w:rPr>
              <w:t>Design-partner validation</w:t>
            </w:r>
          </w:p>
        </w:tc>
        <w:tc>
          <w:tcPr>
            <w:tcW w:type="dxa" w:w="4536"/>
            <w:tcMar>
              <w:top w:w="65" w:type="dxa"/>
              <w:start w:w="70" w:type="dxa"/>
              <w:bottom w:w="65" w:type="dxa"/>
              <w:end w:w="70" w:type="dxa"/>
            </w:tcMar>
            <w:vAlign w:val="top"/>
          </w:tcPr>
          <w:p>
            <w:pPr>
              <w:spacing w:after="0"/>
            </w:pPr>
            <w:r>
              <w:rPr>
                <w:sz w:val="14"/>
              </w:rPr>
              <w:t>3-5 sites; retrospective study; silent-mode FHIR prototype; full CBC alpha; referral workflow</w:t>
            </w:r>
          </w:p>
        </w:tc>
        <w:tc>
          <w:tcPr>
            <w:tcW w:type="dxa" w:w="1944"/>
            <w:tcMar>
              <w:top w:w="65" w:type="dxa"/>
              <w:start w:w="70" w:type="dxa"/>
              <w:bottom w:w="65" w:type="dxa"/>
              <w:end w:w="70" w:type="dxa"/>
            </w:tcMar>
            <w:vAlign w:val="top"/>
          </w:tcPr>
          <w:p>
            <w:pPr>
              <w:spacing w:after="0"/>
            </w:pPr>
            <w:r>
              <w:rPr>
                <w:sz w:val="14"/>
              </w:rPr>
              <w:t>Publishable performance and workflow evidence; paid or cost-sharing pilots.</w:t>
            </w:r>
          </w:p>
        </w:tc>
      </w:tr>
      <w:tr>
        <w:trPr>
          <w:cantSplit/>
        </w:trPr>
        <w:tc>
          <w:tcPr>
            <w:tcW w:type="dxa" w:w="1368"/>
            <w:tcMar>
              <w:top w:w="65" w:type="dxa"/>
              <w:start w:w="70" w:type="dxa"/>
              <w:bottom w:w="65" w:type="dxa"/>
              <w:end w:w="70" w:type="dxa"/>
            </w:tcMar>
            <w:vAlign w:val="top"/>
            <w:shd w:fill="F7F9FA"/>
          </w:tcPr>
          <w:p>
            <w:pPr>
              <w:spacing w:after="0"/>
            </w:pPr>
            <w:r>
              <w:rPr>
                <w:sz w:val="14"/>
              </w:rPr>
              <w:t>12-18 months</w:t>
            </w:r>
          </w:p>
        </w:tc>
        <w:tc>
          <w:tcPr>
            <w:tcW w:type="dxa" w:w="2232"/>
            <w:tcMar>
              <w:top w:w="65" w:type="dxa"/>
              <w:start w:w="70" w:type="dxa"/>
              <w:bottom w:w="65" w:type="dxa"/>
              <w:end w:w="70" w:type="dxa"/>
            </w:tcMar>
            <w:vAlign w:val="top"/>
            <w:shd w:fill="F7F9FA"/>
          </w:tcPr>
          <w:p>
            <w:pPr>
              <w:spacing w:after="0"/>
            </w:pPr>
            <w:r>
              <w:rPr>
                <w:sz w:val="14"/>
              </w:rPr>
              <w:t>Commercial pilot</w:t>
            </w:r>
          </w:p>
        </w:tc>
        <w:tc>
          <w:tcPr>
            <w:tcW w:type="dxa" w:w="4536"/>
            <w:tcMar>
              <w:top w:w="65" w:type="dxa"/>
              <w:start w:w="70" w:type="dxa"/>
              <w:bottom w:w="65" w:type="dxa"/>
              <w:end w:w="70" w:type="dxa"/>
            </w:tcMar>
            <w:vAlign w:val="top"/>
            <w:shd w:fill="F7F9FA"/>
          </w:tcPr>
          <w:p>
            <w:pPr>
              <w:spacing w:after="0"/>
            </w:pPr>
            <w:r>
              <w:rPr>
                <w:sz w:val="14"/>
              </w:rPr>
              <w:t>Enterprise security baseline; SMART app; practice analytics; 2-4 modules; paid contracts</w:t>
            </w:r>
          </w:p>
        </w:tc>
        <w:tc>
          <w:tcPr>
            <w:tcW w:type="dxa" w:w="1944"/>
            <w:tcMar>
              <w:top w:w="65" w:type="dxa"/>
              <w:start w:w="70" w:type="dxa"/>
              <w:bottom w:w="65" w:type="dxa"/>
              <w:end w:w="70" w:type="dxa"/>
            </w:tcMar>
            <w:vAlign w:val="top"/>
            <w:shd w:fill="F7F9FA"/>
          </w:tcPr>
          <w:p>
            <w:pPr>
              <w:spacing w:after="0"/>
            </w:pPr>
            <w:r>
              <w:rPr>
                <w:sz w:val="14"/>
              </w:rPr>
              <w:t>Renewal intent, measured value, product usage, low critical incident rate.</w:t>
            </w:r>
          </w:p>
        </w:tc>
      </w:tr>
      <w:tr>
        <w:trPr>
          <w:cantSplit/>
        </w:trPr>
        <w:tc>
          <w:tcPr>
            <w:tcW w:type="dxa" w:w="1368"/>
            <w:tcMar>
              <w:top w:w="65" w:type="dxa"/>
              <w:start w:w="70" w:type="dxa"/>
              <w:bottom w:w="65" w:type="dxa"/>
              <w:end w:w="70" w:type="dxa"/>
            </w:tcMar>
            <w:vAlign w:val="top"/>
          </w:tcPr>
          <w:p>
            <w:pPr>
              <w:spacing w:after="0"/>
            </w:pPr>
            <w:r>
              <w:rPr>
                <w:sz w:val="14"/>
              </w:rPr>
              <w:t>18-24 months</w:t>
            </w:r>
          </w:p>
        </w:tc>
        <w:tc>
          <w:tcPr>
            <w:tcW w:type="dxa" w:w="2232"/>
            <w:tcMar>
              <w:top w:w="65" w:type="dxa"/>
              <w:start w:w="70" w:type="dxa"/>
              <w:bottom w:w="65" w:type="dxa"/>
              <w:end w:w="70" w:type="dxa"/>
            </w:tcMar>
            <w:vAlign w:val="top"/>
          </w:tcPr>
          <w:p>
            <w:pPr>
              <w:spacing w:after="0"/>
            </w:pPr>
            <w:r>
              <w:rPr>
                <w:sz w:val="14"/>
              </w:rPr>
              <w:t>Repeatable growth</w:t>
            </w:r>
          </w:p>
        </w:tc>
        <w:tc>
          <w:tcPr>
            <w:tcW w:type="dxa" w:w="4536"/>
            <w:tcMar>
              <w:top w:w="65" w:type="dxa"/>
              <w:start w:w="70" w:type="dxa"/>
              <w:bottom w:w="65" w:type="dxa"/>
              <w:end w:w="70" w:type="dxa"/>
            </w:tcMar>
            <w:vAlign w:val="top"/>
          </w:tcPr>
          <w:p>
            <w:pPr>
              <w:spacing w:after="0"/>
            </w:pPr>
            <w:r>
              <w:rPr>
                <w:sz w:val="14"/>
              </w:rPr>
              <w:t>5-8 modules; deployment playbook; partner channel; API licensing; quality system maturity</w:t>
            </w:r>
          </w:p>
        </w:tc>
        <w:tc>
          <w:tcPr>
            <w:tcW w:type="dxa" w:w="1944"/>
            <w:tcMar>
              <w:top w:w="65" w:type="dxa"/>
              <w:start w:w="70" w:type="dxa"/>
              <w:bottom w:w="65" w:type="dxa"/>
              <w:end w:w="70" w:type="dxa"/>
            </w:tcMar>
            <w:vAlign w:val="top"/>
          </w:tcPr>
          <w:p>
            <w:pPr>
              <w:spacing w:after="0"/>
            </w:pPr>
            <w:r>
              <w:rPr>
                <w:sz w:val="14"/>
              </w:rPr>
              <w:t>Repeatable sales and implementation, recurring revenue, reference customers.</w:t>
            </w:r>
          </w:p>
        </w:tc>
      </w:tr>
    </w:tbl>
    <w:p>
      <w:pPr>
        <w:spacing w:after="20"/>
      </w:pPr>
    </w:p>
    <w:p>
      <w:pPr>
        <w:pStyle w:val="Heading2"/>
      </w:pPr>
      <w:r>
        <w:t>11.2 Distribution channels</w:t>
      </w:r>
    </w:p>
    <w:p>
      <w:pPr>
        <w:pStyle w:val="ListBullet"/>
        <w:spacing w:after="50"/>
      </w:pPr>
      <w:r>
        <w:t>Free evidence-rich microsite and case library to build clinician trust and organic discovery.</w:t>
      </w:r>
    </w:p>
    <w:p>
      <w:pPr>
        <w:pStyle w:val="ListBullet"/>
        <w:spacing w:after="50"/>
      </w:pPr>
      <w:r>
        <w:t>Pediatric residency and continuing education programs; case-based CME after accreditation partnership.</w:t>
      </w:r>
    </w:p>
    <w:p>
      <w:pPr>
        <w:pStyle w:val="ListBullet"/>
        <w:spacing w:after="50"/>
      </w:pPr>
      <w:r>
        <w:t>AAP sections, pediatric hematology groups, laboratory medicine organizations, and quality collaboratives as research and distribution partners.</w:t>
      </w:r>
    </w:p>
    <w:p>
      <w:pPr>
        <w:pStyle w:val="ListBullet"/>
        <w:spacing w:after="50"/>
      </w:pPr>
      <w:r>
        <w:t>SMART app galleries, EHR partner programs, and pediatric EHR/practice vendors after validation.</w:t>
      </w:r>
    </w:p>
    <w:p>
      <w:pPr>
        <w:pStyle w:val="ListBullet"/>
        <w:spacing w:after="50"/>
      </w:pPr>
      <w:r>
        <w:t>Children's hospital networks and reference laboratories for local range and referral pathway partnerships, with strict conflict-of-interest governance.</w:t>
      </w:r>
    </w:p>
    <w:p>
      <w:pPr>
        <w:pStyle w:val="ListBullet"/>
        <w:spacing w:after="50"/>
      </w:pPr>
      <w:r>
        <w:t>Publisher or CDS-platform licensing once the module package and update process are demonstrably reusable.</w:t>
      </w:r>
    </w:p>
    <w:p>
      <w:pPr>
        <w:pStyle w:val="Heading1"/>
      </w:pPr>
      <w:r>
        <w:t>12. Acquisition logic and readiness</w:t>
      </w:r>
    </w:p>
    <w:p>
      <w:pPr>
        <w:pStyle w:val="Heading2"/>
      </w:pPr>
      <w:r>
        <w:t>12.1 Likely buyer categories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23E4A"/>
            <w:tcMar>
              <w:top w:w="75" w:type="dxa"/>
              <w:start w:w="70" w:type="dxa"/>
              <w:bottom w:w="75" w:type="dxa"/>
              <w:end w:w="70" w:type="dxa"/>
            </w:tcMar>
            <w:vAlign w:val="center"/>
          </w:tcPr>
          <w:p>
            <w:r>
              <w:rPr>
                <w:b/>
                <w:color w:val="FFFFFF"/>
                <w:sz w:val="14"/>
              </w:rPr>
              <w:t>Buyer category</w:t>
            </w:r>
          </w:p>
        </w:tc>
        <w:tc>
          <w:tcPr>
            <w:tcW w:type="dxa" w:w="3960"/>
            <w:shd w:fill="123E4A"/>
            <w:tcMar>
              <w:top w:w="75" w:type="dxa"/>
              <w:start w:w="70" w:type="dxa"/>
              <w:bottom w:w="75" w:type="dxa"/>
              <w:end w:w="70" w:type="dxa"/>
            </w:tcMar>
            <w:vAlign w:val="center"/>
          </w:tcPr>
          <w:p>
            <w:r>
              <w:rPr>
                <w:b/>
                <w:color w:val="FFFFFF"/>
                <w:sz w:val="14"/>
              </w:rPr>
              <w:t>What they may value</w:t>
            </w:r>
          </w:p>
        </w:tc>
        <w:tc>
          <w:tcPr>
            <w:tcW w:type="dxa" w:w="3744"/>
            <w:shd w:fill="123E4A"/>
            <w:tcMar>
              <w:top w:w="75" w:type="dxa"/>
              <w:start w:w="70" w:type="dxa"/>
              <w:bottom w:w="75" w:type="dxa"/>
              <w:end w:w="70" w:type="dxa"/>
            </w:tcMar>
            <w:vAlign w:val="center"/>
          </w:tcPr>
          <w:p>
            <w:r>
              <w:rPr>
                <w:b/>
                <w:color w:val="FFFFFF"/>
                <w:sz w:val="14"/>
              </w:rPr>
              <w:t>What must exist first</w:t>
            </w:r>
          </w:p>
        </w:tc>
      </w:tr>
      <w:tr>
        <w:trPr>
          <w:cantSplit/>
        </w:trPr>
        <w:tc>
          <w:tcPr>
            <w:tcW w:type="dxa" w:w="2376"/>
            <w:tcMar>
              <w:top w:w="65" w:type="dxa"/>
              <w:start w:w="70" w:type="dxa"/>
              <w:bottom w:w="65" w:type="dxa"/>
              <w:end w:w="70" w:type="dxa"/>
            </w:tcMar>
            <w:vAlign w:val="top"/>
          </w:tcPr>
          <w:p>
            <w:pPr>
              <w:spacing w:after="0"/>
            </w:pPr>
            <w:r>
              <w:rPr>
                <w:sz w:val="14"/>
              </w:rPr>
              <w:t>Medical knowledge publishers</w:t>
            </w:r>
          </w:p>
        </w:tc>
        <w:tc>
          <w:tcPr>
            <w:tcW w:type="dxa" w:w="3960"/>
            <w:tcMar>
              <w:top w:w="65" w:type="dxa"/>
              <w:start w:w="70" w:type="dxa"/>
              <w:bottom w:w="65" w:type="dxa"/>
              <w:end w:w="70" w:type="dxa"/>
            </w:tcMar>
            <w:vAlign w:val="top"/>
          </w:tcPr>
          <w:p>
            <w:pPr>
              <w:spacing w:after="0"/>
            </w:pPr>
            <w:r>
              <w:rPr>
                <w:sz w:val="14"/>
              </w:rPr>
              <w:t>Executable pediatric content, evidence pipeline, CME/education, patient materials</w:t>
            </w:r>
          </w:p>
        </w:tc>
        <w:tc>
          <w:tcPr>
            <w:tcW w:type="dxa" w:w="3744"/>
            <w:tcMar>
              <w:top w:w="65" w:type="dxa"/>
              <w:start w:w="70" w:type="dxa"/>
              <w:bottom w:w="65" w:type="dxa"/>
              <w:end w:w="70" w:type="dxa"/>
            </w:tcMar>
            <w:vAlign w:val="top"/>
          </w:tcPr>
          <w:p>
            <w:pPr>
              <w:spacing w:after="0"/>
            </w:pPr>
            <w:r>
              <w:rPr>
                <w:sz w:val="14"/>
              </w:rPr>
              <w:t>Clean content rights, editorial governance, module breadth, usage.</w:t>
            </w:r>
          </w:p>
        </w:tc>
      </w:tr>
      <w:tr>
        <w:trPr>
          <w:cantSplit/>
        </w:trPr>
        <w:tc>
          <w:tcPr>
            <w:tcW w:type="dxa" w:w="2376"/>
            <w:tcMar>
              <w:top w:w="65" w:type="dxa"/>
              <w:start w:w="70" w:type="dxa"/>
              <w:bottom w:w="65" w:type="dxa"/>
              <w:end w:w="70" w:type="dxa"/>
            </w:tcMar>
            <w:vAlign w:val="top"/>
            <w:shd w:fill="F7F9FA"/>
          </w:tcPr>
          <w:p>
            <w:pPr>
              <w:spacing w:after="0"/>
            </w:pPr>
            <w:r>
              <w:rPr>
                <w:sz w:val="14"/>
              </w:rPr>
              <w:t>Clinical reference / calculator / diagnostic support vendors</w:t>
            </w:r>
          </w:p>
        </w:tc>
        <w:tc>
          <w:tcPr>
            <w:tcW w:type="dxa" w:w="3960"/>
            <w:tcMar>
              <w:top w:w="65" w:type="dxa"/>
              <w:start w:w="70" w:type="dxa"/>
              <w:bottom w:w="65" w:type="dxa"/>
              <w:end w:w="70" w:type="dxa"/>
            </w:tcMar>
            <w:vAlign w:val="top"/>
            <w:shd w:fill="F7F9FA"/>
          </w:tcPr>
          <w:p>
            <w:pPr>
              <w:spacing w:after="0"/>
            </w:pPr>
            <w:r>
              <w:rPr>
                <w:sz w:val="14"/>
              </w:rPr>
              <w:t>Pediatric specialization, transparent pathways, local ranges, EHR-ready modules</w:t>
            </w:r>
          </w:p>
        </w:tc>
        <w:tc>
          <w:tcPr>
            <w:tcW w:type="dxa" w:w="3744"/>
            <w:tcMar>
              <w:top w:w="65" w:type="dxa"/>
              <w:start w:w="70" w:type="dxa"/>
              <w:bottom w:w="65" w:type="dxa"/>
              <w:end w:w="70" w:type="dxa"/>
            </w:tcMar>
            <w:vAlign w:val="top"/>
            <w:shd w:fill="F7F9FA"/>
          </w:tcPr>
          <w:p>
            <w:pPr>
              <w:spacing w:after="0"/>
            </w:pPr>
            <w:r>
              <w:rPr>
                <w:sz w:val="14"/>
              </w:rPr>
              <w:t>Validated differentiation, integration, adoption, efficient module production.</w:t>
            </w:r>
          </w:p>
        </w:tc>
      </w:tr>
      <w:tr>
        <w:trPr>
          <w:cantSplit/>
        </w:trPr>
        <w:tc>
          <w:tcPr>
            <w:tcW w:type="dxa" w:w="2376"/>
            <w:tcMar>
              <w:top w:w="65" w:type="dxa"/>
              <w:start w:w="70" w:type="dxa"/>
              <w:bottom w:w="65" w:type="dxa"/>
              <w:end w:w="70" w:type="dxa"/>
            </w:tcMar>
            <w:vAlign w:val="top"/>
          </w:tcPr>
          <w:p>
            <w:pPr>
              <w:spacing w:after="0"/>
            </w:pPr>
            <w:r>
              <w:rPr>
                <w:sz w:val="14"/>
              </w:rPr>
              <w:t>EHR and workflow vendors</w:t>
            </w:r>
          </w:p>
        </w:tc>
        <w:tc>
          <w:tcPr>
            <w:tcW w:type="dxa" w:w="3960"/>
            <w:tcMar>
              <w:top w:w="65" w:type="dxa"/>
              <w:start w:w="70" w:type="dxa"/>
              <w:bottom w:w="65" w:type="dxa"/>
              <w:end w:w="70" w:type="dxa"/>
            </w:tcMar>
            <w:vAlign w:val="top"/>
          </w:tcPr>
          <w:p>
            <w:pPr>
              <w:spacing w:after="0"/>
            </w:pPr>
            <w:r>
              <w:rPr>
                <w:sz w:val="14"/>
              </w:rPr>
              <w:t>FHIR-native CDS, pediatric workflow depth, lower internal content-maintenance burden</w:t>
            </w:r>
          </w:p>
        </w:tc>
        <w:tc>
          <w:tcPr>
            <w:tcW w:type="dxa" w:w="3744"/>
            <w:tcMar>
              <w:top w:w="65" w:type="dxa"/>
              <w:start w:w="70" w:type="dxa"/>
              <w:bottom w:w="65" w:type="dxa"/>
              <w:end w:w="70" w:type="dxa"/>
            </w:tcMar>
            <w:vAlign w:val="top"/>
          </w:tcPr>
          <w:p>
            <w:pPr>
              <w:spacing w:after="0"/>
            </w:pPr>
            <w:r>
              <w:rPr>
                <w:sz w:val="14"/>
              </w:rPr>
              <w:t>Production SMART/CDS Hooks implementation, enterprise security, deployability.</w:t>
            </w:r>
          </w:p>
        </w:tc>
      </w:tr>
      <w:tr>
        <w:trPr>
          <w:cantSplit/>
        </w:trPr>
        <w:tc>
          <w:tcPr>
            <w:tcW w:type="dxa" w:w="2376"/>
            <w:tcMar>
              <w:top w:w="65" w:type="dxa"/>
              <w:start w:w="70" w:type="dxa"/>
              <w:bottom w:w="65" w:type="dxa"/>
              <w:end w:w="70" w:type="dxa"/>
            </w:tcMar>
            <w:vAlign w:val="top"/>
            <w:shd w:fill="F7F9FA"/>
          </w:tcPr>
          <w:p>
            <w:pPr>
              <w:spacing w:after="0"/>
            </w:pPr>
            <w:r>
              <w:rPr>
                <w:sz w:val="14"/>
              </w:rPr>
              <w:t>Laboratories and diagnostic companies</w:t>
            </w:r>
          </w:p>
        </w:tc>
        <w:tc>
          <w:tcPr>
            <w:tcW w:type="dxa" w:w="3960"/>
            <w:tcMar>
              <w:top w:w="65" w:type="dxa"/>
              <w:start w:w="70" w:type="dxa"/>
              <w:bottom w:w="65" w:type="dxa"/>
              <w:end w:w="70" w:type="dxa"/>
            </w:tcMar>
            <w:vAlign w:val="top"/>
            <w:shd w:fill="F7F9FA"/>
          </w:tcPr>
          <w:p>
            <w:pPr>
              <w:spacing w:after="0"/>
            </w:pPr>
            <w:r>
              <w:rPr>
                <w:sz w:val="14"/>
              </w:rPr>
              <w:t>Appropriate follow-up, referral pathways, assay-aware interpretation</w:t>
            </w:r>
          </w:p>
        </w:tc>
        <w:tc>
          <w:tcPr>
            <w:tcW w:type="dxa" w:w="3744"/>
            <w:tcMar>
              <w:top w:w="65" w:type="dxa"/>
              <w:start w:w="70" w:type="dxa"/>
              <w:bottom w:w="65" w:type="dxa"/>
              <w:end w:w="70" w:type="dxa"/>
            </w:tcMar>
            <w:vAlign w:val="top"/>
            <w:shd w:fill="F7F9FA"/>
          </w:tcPr>
          <w:p>
            <w:pPr>
              <w:spacing w:after="0"/>
            </w:pPr>
            <w:r>
              <w:rPr>
                <w:sz w:val="14"/>
              </w:rPr>
              <w:t>Independent governance, conflict controls, local configuration, outcome evidence.</w:t>
            </w:r>
          </w:p>
        </w:tc>
      </w:tr>
      <w:tr>
        <w:trPr>
          <w:cantSplit/>
        </w:trPr>
        <w:tc>
          <w:tcPr>
            <w:tcW w:type="dxa" w:w="2376"/>
            <w:tcMar>
              <w:top w:w="65" w:type="dxa"/>
              <w:start w:w="70" w:type="dxa"/>
              <w:bottom w:w="65" w:type="dxa"/>
              <w:end w:w="70" w:type="dxa"/>
            </w:tcMar>
            <w:vAlign w:val="top"/>
          </w:tcPr>
          <w:p>
            <w:pPr>
              <w:spacing w:after="0"/>
            </w:pPr>
            <w:r>
              <w:rPr>
                <w:sz w:val="14"/>
              </w:rPr>
              <w:t>Pediatric EHR / practice platforms</w:t>
            </w:r>
          </w:p>
        </w:tc>
        <w:tc>
          <w:tcPr>
            <w:tcW w:type="dxa" w:w="3960"/>
            <w:tcMar>
              <w:top w:w="65" w:type="dxa"/>
              <w:start w:w="70" w:type="dxa"/>
              <w:bottom w:w="65" w:type="dxa"/>
              <w:end w:w="70" w:type="dxa"/>
            </w:tcMar>
            <w:vAlign w:val="top"/>
          </w:tcPr>
          <w:p>
            <w:pPr>
              <w:spacing w:after="0"/>
            </w:pPr>
            <w:r>
              <w:rPr>
                <w:sz w:val="14"/>
              </w:rPr>
              <w:t>Immediate value for pediatric customers and differentiation from general EHRs</w:t>
            </w:r>
          </w:p>
        </w:tc>
        <w:tc>
          <w:tcPr>
            <w:tcW w:type="dxa" w:w="3744"/>
            <w:tcMar>
              <w:top w:w="65" w:type="dxa"/>
              <w:start w:w="70" w:type="dxa"/>
              <w:bottom w:w="65" w:type="dxa"/>
              <w:end w:w="70" w:type="dxa"/>
            </w:tcMar>
            <w:vAlign w:val="top"/>
          </w:tcPr>
          <w:p>
            <w:pPr>
              <w:spacing w:after="0"/>
            </w:pPr>
            <w:r>
              <w:rPr>
                <w:sz w:val="14"/>
              </w:rPr>
              <w:t>Practice-ready suite, simple deployment, support, low alert burden.</w:t>
            </w:r>
          </w:p>
        </w:tc>
      </w:tr>
      <w:tr>
        <w:trPr>
          <w:cantSplit/>
        </w:trPr>
        <w:tc>
          <w:tcPr>
            <w:tcW w:type="dxa" w:w="2376"/>
            <w:tcMar>
              <w:top w:w="65" w:type="dxa"/>
              <w:start w:w="70" w:type="dxa"/>
              <w:bottom w:w="65" w:type="dxa"/>
              <w:end w:w="70" w:type="dxa"/>
            </w:tcMar>
            <w:vAlign w:val="top"/>
            <w:shd w:fill="F7F9FA"/>
          </w:tcPr>
          <w:p>
            <w:pPr>
              <w:spacing w:after="0"/>
            </w:pPr>
            <w:r>
              <w:rPr>
                <w:sz w:val="14"/>
              </w:rPr>
              <w:t>Children's hospital networks / societies</w:t>
            </w:r>
          </w:p>
        </w:tc>
        <w:tc>
          <w:tcPr>
            <w:tcW w:type="dxa" w:w="3960"/>
            <w:tcMar>
              <w:top w:w="65" w:type="dxa"/>
              <w:start w:w="70" w:type="dxa"/>
              <w:bottom w:w="65" w:type="dxa"/>
              <w:end w:w="70" w:type="dxa"/>
            </w:tcMar>
            <w:vAlign w:val="top"/>
            <w:shd w:fill="F7F9FA"/>
          </w:tcPr>
          <w:p>
            <w:pPr>
              <w:spacing w:after="0"/>
            </w:pPr>
            <w:r>
              <w:rPr>
                <w:sz w:val="14"/>
              </w:rPr>
              <w:t>Standardization, quality improvement, education, research infrastructure</w:t>
            </w:r>
          </w:p>
        </w:tc>
        <w:tc>
          <w:tcPr>
            <w:tcW w:type="dxa" w:w="3744"/>
            <w:tcMar>
              <w:top w:w="65" w:type="dxa"/>
              <w:start w:w="70" w:type="dxa"/>
              <w:bottom w:w="65" w:type="dxa"/>
              <w:end w:w="70" w:type="dxa"/>
            </w:tcMar>
            <w:vAlign w:val="top"/>
            <w:shd w:fill="F7F9FA"/>
          </w:tcPr>
          <w:p>
            <w:pPr>
              <w:spacing w:after="0"/>
            </w:pPr>
            <w:r>
              <w:rPr>
                <w:sz w:val="14"/>
              </w:rPr>
              <w:t>Governance, multi-site evidence, sustainable maintenance model.</w:t>
            </w:r>
          </w:p>
        </w:tc>
      </w:tr>
    </w:tbl>
    <w:p>
      <w:pPr>
        <w:spacing w:after="20"/>
      </w:pPr>
    </w:p>
    <w:p>
      <w:pPr>
        <w:pStyle w:val="Heading2"/>
      </w:pPr>
      <w:r>
        <w:t>12.2 Acquisition-readiness milestones</w:t>
      </w:r>
    </w:p>
    <w:p>
      <w:pPr>
        <w:pStyle w:val="ListBullet"/>
        <w:spacing w:after="50"/>
      </w:pPr>
      <w:r>
        <w:t>Regulatory and intended-use memorandum, updated for every material capability.</w:t>
      </w:r>
    </w:p>
    <w:p>
      <w:pPr>
        <w:pStyle w:val="ListBullet"/>
        <w:spacing w:after="50"/>
      </w:pPr>
      <w:r>
        <w:t>Pediatric hematology, general pediatrics, laboratory medicine, informatics, human-factors, and patient/family advisory governance.</w:t>
      </w:r>
    </w:p>
    <w:p>
      <w:pPr>
        <w:pStyle w:val="ListBullet"/>
        <w:spacing w:after="50"/>
      </w:pPr>
      <w:r>
        <w:t>At least three independent validation sites and a publication or publicly available validation report.</w:t>
      </w:r>
    </w:p>
    <w:p>
      <w:pPr>
        <w:pStyle w:val="ListBullet"/>
        <w:spacing w:after="50"/>
      </w:pPr>
      <w:r>
        <w:t>Five to eight modules sharing one runtime, evidence schema, test harness, and integration layer.</w:t>
      </w:r>
    </w:p>
    <w:p>
      <w:pPr>
        <w:pStyle w:val="ListBullet"/>
        <w:spacing w:after="50"/>
      </w:pPr>
      <w:r>
        <w:t>Production SMART-on-FHIR integration and a repeatable site onboarding/local-range process.</w:t>
      </w:r>
    </w:p>
    <w:p>
      <w:pPr>
        <w:pStyle w:val="ListBullet"/>
        <w:spacing w:after="50"/>
      </w:pPr>
      <w:r>
        <w:t>Recurring revenue, renewal evidence, active usage, low support burden, and reference customers.</w:t>
      </w:r>
    </w:p>
    <w:p>
      <w:pPr>
        <w:pStyle w:val="ListBullet"/>
        <w:spacing w:after="50"/>
      </w:pPr>
      <w:r>
        <w:t>Enterprise security program and credible SOC 2 Type II path; quality-system maturity appropriate to classification.</w:t>
      </w:r>
    </w:p>
    <w:p>
      <w:pPr>
        <w:pStyle w:val="ListBullet"/>
        <w:spacing w:after="50"/>
      </w:pPr>
      <w:r>
        <w:t>Clean IP chain of title, contributor agreements, software licenses, source-content rights, and bidirectional source-to-rule traceability.</w:t>
      </w:r>
    </w:p>
    <w:p>
      <w:pPr>
        <w:pStyle w:val="ListBullet"/>
        <w:spacing w:after="50"/>
      </w:pPr>
      <w:r>
        <w:t>Measured clinical workflow or economic value, including limitations and negative findings.</w:t>
      </w:r>
    </w:p>
    <w:tbl>
      <w:tblPr>
        <w:tblW w:type="auto" w:w="0"/>
        <w:jc w:val="center"/>
        <w:tblLayout w:type="fixed"/>
        <w:tblLook w:firstColumn="1" w:firstRow="1" w:lastColumn="0" w:lastRow="0" w:noHBand="0" w:noVBand="1" w:val="04A0"/>
      </w:tblPr>
      <w:tblGrid>
        <w:gridCol w:w="10282"/>
      </w:tblGrid>
      <w:tr>
        <w:tc>
          <w:tcPr>
            <w:tcW w:type="dxa" w:w="10080"/>
            <w:shd w:fill="F3F6F8"/>
            <w:tcMar>
              <w:top w:w="130" w:type="dxa"/>
              <w:start w:w="160" w:type="dxa"/>
              <w:bottom w:w="130" w:type="dxa"/>
              <w:end w:w="160" w:type="dxa"/>
            </w:tcMar>
          </w:tcPr>
          <w:p>
            <w:r>
              <w:rPr>
                <w:b/>
                <w:color w:val="324A56"/>
                <w:sz w:val="16"/>
              </w:rPr>
              <w:t>ACQUISITION REALITY</w:t>
            </w:r>
          </w:p>
          <w:p>
            <w:r>
              <w:rPr>
                <w:sz w:val="18"/>
              </w:rPr>
              <w:t>A beautiful prototype can attract conversations, but buyers pay strategic premiums for validated content operations, distribution, integrations, evidence, and recurring customer relationships. Build those assets deliberately.</w:t>
            </w:r>
          </w:p>
        </w:tc>
      </w:tr>
    </w:tbl>
    <w:p>
      <w:pPr>
        <w:spacing w:after="0"/>
      </w:pPr>
    </w:p>
    <w:p>
      <w:pPr>
        <w:pStyle w:val="Heading1"/>
      </w:pPr>
      <w:r>
        <w:t>13. Risks and explicit no-go decisions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520"/>
            <w:shd w:fill="123E4A"/>
            <w:tcMar>
              <w:top w:w="75" w:type="dxa"/>
              <w:start w:w="70" w:type="dxa"/>
              <w:bottom w:w="75" w:type="dxa"/>
              <w:end w:w="70" w:type="dxa"/>
            </w:tcMar>
            <w:vAlign w:val="center"/>
          </w:tcPr>
          <w:p>
            <w:r>
              <w:rPr>
                <w:b/>
                <w:color w:val="FFFFFF"/>
                <w:sz w:val="14"/>
              </w:rPr>
              <w:t>Risk / temptation</w:t>
            </w:r>
          </w:p>
        </w:tc>
        <w:tc>
          <w:tcPr>
            <w:tcW w:type="dxa" w:w="3816"/>
            <w:shd w:fill="123E4A"/>
            <w:tcMar>
              <w:top w:w="75" w:type="dxa"/>
              <w:start w:w="70" w:type="dxa"/>
              <w:bottom w:w="75" w:type="dxa"/>
              <w:end w:w="70" w:type="dxa"/>
            </w:tcMar>
            <w:vAlign w:val="center"/>
          </w:tcPr>
          <w:p>
            <w:r>
              <w:rPr>
                <w:b/>
                <w:color w:val="FFFFFF"/>
                <w:sz w:val="14"/>
              </w:rPr>
              <w:t>Why it is dangerous</w:t>
            </w:r>
          </w:p>
        </w:tc>
        <w:tc>
          <w:tcPr>
            <w:tcW w:type="dxa" w:w="3744"/>
            <w:shd w:fill="123E4A"/>
            <w:tcMar>
              <w:top w:w="75" w:type="dxa"/>
              <w:start w:w="70" w:type="dxa"/>
              <w:bottom w:w="75" w:type="dxa"/>
              <w:end w:w="70" w:type="dxa"/>
            </w:tcMar>
            <w:vAlign w:val="center"/>
          </w:tcPr>
          <w:p>
            <w:r>
              <w:rPr>
                <w:b/>
                <w:color w:val="FFFFFF"/>
                <w:sz w:val="14"/>
              </w:rPr>
              <w:t>Control</w:t>
            </w:r>
          </w:p>
        </w:tc>
      </w:tr>
      <w:tr>
        <w:trPr>
          <w:cantSplit/>
        </w:trPr>
        <w:tc>
          <w:tcPr>
            <w:tcW w:type="dxa" w:w="2520"/>
            <w:tcMar>
              <w:top w:w="65" w:type="dxa"/>
              <w:start w:w="70" w:type="dxa"/>
              <w:bottom w:w="65" w:type="dxa"/>
              <w:end w:w="70" w:type="dxa"/>
            </w:tcMar>
            <w:vAlign w:val="top"/>
          </w:tcPr>
          <w:p>
            <w:pPr>
              <w:spacing w:after="0"/>
            </w:pPr>
            <w:r>
              <w:rPr>
                <w:sz w:val="14"/>
              </w:rPr>
              <w:t>Market as an autonomous diagnosis engine</w:t>
            </w:r>
          </w:p>
        </w:tc>
        <w:tc>
          <w:tcPr>
            <w:tcW w:type="dxa" w:w="3816"/>
            <w:tcMar>
              <w:top w:w="65" w:type="dxa"/>
              <w:start w:w="70" w:type="dxa"/>
              <w:bottom w:w="65" w:type="dxa"/>
              <w:end w:w="70" w:type="dxa"/>
            </w:tcMar>
            <w:vAlign w:val="top"/>
          </w:tcPr>
          <w:p>
            <w:pPr>
              <w:spacing w:after="0"/>
            </w:pPr>
            <w:r>
              <w:rPr>
                <w:sz w:val="14"/>
              </w:rPr>
              <w:t>Increases clinical risk, regulatory burden, and automation bias</w:t>
            </w:r>
          </w:p>
        </w:tc>
        <w:tc>
          <w:tcPr>
            <w:tcW w:type="dxa" w:w="3744"/>
            <w:tcMar>
              <w:top w:w="65" w:type="dxa"/>
              <w:start w:w="70" w:type="dxa"/>
              <w:bottom w:w="65" w:type="dxa"/>
              <w:end w:w="70" w:type="dxa"/>
            </w:tcMar>
            <w:vAlign w:val="top"/>
          </w:tcPr>
          <w:p>
            <w:pPr>
              <w:spacing w:after="0"/>
            </w:pPr>
            <w:r>
              <w:rPr>
                <w:sz w:val="14"/>
              </w:rPr>
              <w:t>Clinician-facing options, independent review, non-directive intended use.</w:t>
            </w:r>
          </w:p>
        </w:tc>
      </w:tr>
      <w:tr>
        <w:trPr>
          <w:cantSplit/>
        </w:trPr>
        <w:tc>
          <w:tcPr>
            <w:tcW w:type="dxa" w:w="2520"/>
            <w:tcMar>
              <w:top w:w="65" w:type="dxa"/>
              <w:start w:w="70" w:type="dxa"/>
              <w:bottom w:w="65" w:type="dxa"/>
              <w:end w:w="70" w:type="dxa"/>
            </w:tcMar>
            <w:vAlign w:val="top"/>
            <w:shd w:fill="F7F9FA"/>
          </w:tcPr>
          <w:p>
            <w:pPr>
              <w:spacing w:after="0"/>
            </w:pPr>
            <w:r>
              <w:rPr>
                <w:sz w:val="14"/>
              </w:rPr>
              <w:t>Add an unsupported confidence percentage</w:t>
            </w:r>
          </w:p>
        </w:tc>
        <w:tc>
          <w:tcPr>
            <w:tcW w:type="dxa" w:w="3816"/>
            <w:tcMar>
              <w:top w:w="65" w:type="dxa"/>
              <w:start w:w="70" w:type="dxa"/>
              <w:bottom w:w="65" w:type="dxa"/>
              <w:end w:w="70" w:type="dxa"/>
            </w:tcMar>
            <w:vAlign w:val="top"/>
            <w:shd w:fill="F7F9FA"/>
          </w:tcPr>
          <w:p>
            <w:pPr>
              <w:spacing w:after="0"/>
            </w:pPr>
            <w:r>
              <w:rPr>
                <w:sz w:val="14"/>
              </w:rPr>
              <w:t>Ordinal rule priority is not a calibrated probability</w:t>
            </w:r>
          </w:p>
        </w:tc>
        <w:tc>
          <w:tcPr>
            <w:tcW w:type="dxa" w:w="3744"/>
            <w:tcMar>
              <w:top w:w="65" w:type="dxa"/>
              <w:start w:w="70" w:type="dxa"/>
              <w:bottom w:w="65" w:type="dxa"/>
              <w:end w:w="70" w:type="dxa"/>
            </w:tcMar>
            <w:vAlign w:val="top"/>
            <w:shd w:fill="F7F9FA"/>
          </w:tcPr>
          <w:p>
            <w:pPr>
              <w:spacing w:after="0"/>
            </w:pPr>
            <w:r>
              <w:rPr>
                <w:sz w:val="14"/>
              </w:rPr>
              <w:t>Use evidence labels and visible supporting/conflicting facts; validate before probability models.</w:t>
            </w:r>
          </w:p>
        </w:tc>
      </w:tr>
      <w:tr>
        <w:trPr>
          <w:cantSplit/>
        </w:trPr>
        <w:tc>
          <w:tcPr>
            <w:tcW w:type="dxa" w:w="2520"/>
            <w:tcMar>
              <w:top w:w="65" w:type="dxa"/>
              <w:start w:w="70" w:type="dxa"/>
              <w:bottom w:w="65" w:type="dxa"/>
              <w:end w:w="70" w:type="dxa"/>
            </w:tcMar>
            <w:vAlign w:val="top"/>
          </w:tcPr>
          <w:p>
            <w:pPr>
              <w:spacing w:after="0"/>
            </w:pPr>
            <w:r>
              <w:rPr>
                <w:sz w:val="14"/>
              </w:rPr>
              <w:t>Collect PHI on the public microsite</w:t>
            </w:r>
          </w:p>
        </w:tc>
        <w:tc>
          <w:tcPr>
            <w:tcW w:type="dxa" w:w="3816"/>
            <w:tcMar>
              <w:top w:w="65" w:type="dxa"/>
              <w:start w:w="70" w:type="dxa"/>
              <w:bottom w:w="65" w:type="dxa"/>
              <w:end w:w="70" w:type="dxa"/>
            </w:tcMar>
            <w:vAlign w:val="top"/>
          </w:tcPr>
          <w:p>
            <w:pPr>
              <w:spacing w:after="0"/>
            </w:pPr>
            <w:r>
              <w:rPr>
                <w:sz w:val="14"/>
              </w:rPr>
              <w:t>Creates privacy, security, breach, and trust exposure without product value</w:t>
            </w:r>
          </w:p>
        </w:tc>
        <w:tc>
          <w:tcPr>
            <w:tcW w:type="dxa" w:w="3744"/>
            <w:tcMar>
              <w:top w:w="65" w:type="dxa"/>
              <w:start w:w="70" w:type="dxa"/>
              <w:bottom w:w="65" w:type="dxa"/>
              <w:end w:w="70" w:type="dxa"/>
            </w:tcMar>
            <w:vAlign w:val="top"/>
          </w:tcPr>
          <w:p>
            <w:pPr>
              <w:spacing w:after="0"/>
            </w:pPr>
            <w:r>
              <w:rPr>
                <w:sz w:val="14"/>
              </w:rPr>
              <w:t>Separate public no-PHI reference from authenticated clinical service.</w:t>
            </w:r>
          </w:p>
        </w:tc>
      </w:tr>
      <w:tr>
        <w:trPr>
          <w:cantSplit/>
        </w:trPr>
        <w:tc>
          <w:tcPr>
            <w:tcW w:type="dxa" w:w="2520"/>
            <w:tcMar>
              <w:top w:w="65" w:type="dxa"/>
              <w:start w:w="70" w:type="dxa"/>
              <w:bottom w:w="65" w:type="dxa"/>
              <w:end w:w="70" w:type="dxa"/>
            </w:tcMar>
            <w:vAlign w:val="top"/>
            <w:shd w:fill="F7F9FA"/>
          </w:tcPr>
          <w:p>
            <w:pPr>
              <w:spacing w:after="0"/>
            </w:pPr>
            <w:r>
              <w:rPr>
                <w:sz w:val="14"/>
              </w:rPr>
              <w:t>Use a disclaimer as the safety strategy</w:t>
            </w:r>
          </w:p>
        </w:tc>
        <w:tc>
          <w:tcPr>
            <w:tcW w:type="dxa" w:w="3816"/>
            <w:tcMar>
              <w:top w:w="65" w:type="dxa"/>
              <w:start w:w="70" w:type="dxa"/>
              <w:bottom w:w="65" w:type="dxa"/>
              <w:end w:w="70" w:type="dxa"/>
            </w:tcMar>
            <w:vAlign w:val="top"/>
            <w:shd w:fill="F7F9FA"/>
          </w:tcPr>
          <w:p>
            <w:pPr>
              <w:spacing w:after="0"/>
            </w:pPr>
            <w:r>
              <w:rPr>
                <w:sz w:val="14"/>
              </w:rPr>
              <w:t>Labeling cannot compensate for unsafe claims, logic, or workflow</w:t>
            </w:r>
          </w:p>
        </w:tc>
        <w:tc>
          <w:tcPr>
            <w:tcW w:type="dxa" w:w="3744"/>
            <w:tcMar>
              <w:top w:w="65" w:type="dxa"/>
              <w:start w:w="70" w:type="dxa"/>
              <w:bottom w:w="65" w:type="dxa"/>
              <w:end w:w="70" w:type="dxa"/>
            </w:tcMar>
            <w:vAlign w:val="top"/>
            <w:shd w:fill="F7F9FA"/>
          </w:tcPr>
          <w:p>
            <w:pPr>
              <w:spacing w:after="0"/>
            </w:pPr>
            <w:r>
              <w:rPr>
                <w:sz w:val="14"/>
              </w:rPr>
              <w:t>Formal risk management, validation, human factors, monitoring, and counsel.</w:t>
            </w:r>
          </w:p>
        </w:tc>
      </w:tr>
      <w:tr>
        <w:trPr>
          <w:cantSplit/>
        </w:trPr>
        <w:tc>
          <w:tcPr>
            <w:tcW w:type="dxa" w:w="2520"/>
            <w:tcMar>
              <w:top w:w="65" w:type="dxa"/>
              <w:start w:w="70" w:type="dxa"/>
              <w:bottom w:w="65" w:type="dxa"/>
              <w:end w:w="70" w:type="dxa"/>
            </w:tcMar>
            <w:vAlign w:val="top"/>
          </w:tcPr>
          <w:p>
            <w:pPr>
              <w:spacing w:after="0"/>
            </w:pPr>
            <w:r>
              <w:rPr>
                <w:sz w:val="14"/>
              </w:rPr>
              <w:t>Expand into random calculators</w:t>
            </w:r>
          </w:p>
        </w:tc>
        <w:tc>
          <w:tcPr>
            <w:tcW w:type="dxa" w:w="3816"/>
            <w:tcMar>
              <w:top w:w="65" w:type="dxa"/>
              <w:start w:w="70" w:type="dxa"/>
              <w:bottom w:w="65" w:type="dxa"/>
              <w:end w:w="70" w:type="dxa"/>
            </w:tcMar>
            <w:vAlign w:val="top"/>
          </w:tcPr>
          <w:p>
            <w:pPr>
              <w:spacing w:after="0"/>
            </w:pPr>
            <w:r>
              <w:rPr>
                <w:sz w:val="14"/>
              </w:rPr>
              <w:t>Creates maintenance burden without differentiation</w:t>
            </w:r>
          </w:p>
        </w:tc>
        <w:tc>
          <w:tcPr>
            <w:tcW w:type="dxa" w:w="3744"/>
            <w:tcMar>
              <w:top w:w="65" w:type="dxa"/>
              <w:start w:w="70" w:type="dxa"/>
              <w:bottom w:w="65" w:type="dxa"/>
              <w:end w:w="70" w:type="dxa"/>
            </w:tcMar>
            <w:vAlign w:val="top"/>
          </w:tcPr>
          <w:p>
            <w:pPr>
              <w:spacing w:after="0"/>
            </w:pPr>
            <w:r>
              <w:rPr>
                <w:sz w:val="14"/>
              </w:rPr>
              <w:t>Require shared workflow, evidence maturity, usage, and business value score.</w:t>
            </w:r>
          </w:p>
        </w:tc>
      </w:tr>
      <w:tr>
        <w:trPr>
          <w:cantSplit/>
        </w:trPr>
        <w:tc>
          <w:tcPr>
            <w:tcW w:type="dxa" w:w="2520"/>
            <w:tcMar>
              <w:top w:w="65" w:type="dxa"/>
              <w:start w:w="70" w:type="dxa"/>
              <w:bottom w:w="65" w:type="dxa"/>
              <w:end w:w="70" w:type="dxa"/>
            </w:tcMar>
            <w:vAlign w:val="top"/>
            <w:shd w:fill="F7F9FA"/>
          </w:tcPr>
          <w:p>
            <w:pPr>
              <w:spacing w:after="0"/>
            </w:pPr>
            <w:r>
              <w:rPr>
                <w:sz w:val="14"/>
              </w:rPr>
              <w:t>Let AI update rules automatically</w:t>
            </w:r>
          </w:p>
        </w:tc>
        <w:tc>
          <w:tcPr>
            <w:tcW w:type="dxa" w:w="3816"/>
            <w:tcMar>
              <w:top w:w="65" w:type="dxa"/>
              <w:start w:w="70" w:type="dxa"/>
              <w:bottom w:w="65" w:type="dxa"/>
              <w:end w:w="70" w:type="dxa"/>
            </w:tcMar>
            <w:vAlign w:val="top"/>
            <w:shd w:fill="F7F9FA"/>
          </w:tcPr>
          <w:p>
            <w:pPr>
              <w:spacing w:after="0"/>
            </w:pPr>
            <w:r>
              <w:rPr>
                <w:sz w:val="14"/>
              </w:rPr>
              <w:t>Creates unreviewed evidence and logic changes</w:t>
            </w:r>
          </w:p>
        </w:tc>
        <w:tc>
          <w:tcPr>
            <w:tcW w:type="dxa" w:w="3744"/>
            <w:tcMar>
              <w:top w:w="65" w:type="dxa"/>
              <w:start w:w="70" w:type="dxa"/>
              <w:bottom w:w="65" w:type="dxa"/>
              <w:end w:w="70" w:type="dxa"/>
            </w:tcMar>
            <w:vAlign w:val="top"/>
            <w:shd w:fill="F7F9FA"/>
          </w:tcPr>
          <w:p>
            <w:pPr>
              <w:spacing w:after="0"/>
            </w:pPr>
            <w:r>
              <w:rPr>
                <w:sz w:val="14"/>
              </w:rPr>
              <w:t>Human approval, executable tests, signed release, rollback.</w:t>
            </w:r>
          </w:p>
        </w:tc>
      </w:tr>
      <w:tr>
        <w:trPr>
          <w:cantSplit/>
        </w:trPr>
        <w:tc>
          <w:tcPr>
            <w:tcW w:type="dxa" w:w="2520"/>
            <w:tcMar>
              <w:top w:w="65" w:type="dxa"/>
              <w:start w:w="70" w:type="dxa"/>
              <w:bottom w:w="65" w:type="dxa"/>
              <w:end w:w="70" w:type="dxa"/>
            </w:tcMar>
            <w:vAlign w:val="top"/>
          </w:tcPr>
          <w:p>
            <w:pPr>
              <w:spacing w:after="0"/>
            </w:pPr>
            <w:r>
              <w:rPr>
                <w:sz w:val="14"/>
              </w:rPr>
              <w:t>Pharma/test-vendor influence over outputs</w:t>
            </w:r>
          </w:p>
        </w:tc>
        <w:tc>
          <w:tcPr>
            <w:tcW w:type="dxa" w:w="3816"/>
            <w:tcMar>
              <w:top w:w="65" w:type="dxa"/>
              <w:start w:w="70" w:type="dxa"/>
              <w:bottom w:w="65" w:type="dxa"/>
              <w:end w:w="70" w:type="dxa"/>
            </w:tcMar>
            <w:vAlign w:val="top"/>
          </w:tcPr>
          <w:p>
            <w:pPr>
              <w:spacing w:after="0"/>
            </w:pPr>
            <w:r>
              <w:rPr>
                <w:sz w:val="14"/>
              </w:rPr>
              <w:t>Undermines trust and may bias care</w:t>
            </w:r>
          </w:p>
        </w:tc>
        <w:tc>
          <w:tcPr>
            <w:tcW w:type="dxa" w:w="3744"/>
            <w:tcMar>
              <w:top w:w="65" w:type="dxa"/>
              <w:start w:w="70" w:type="dxa"/>
              <w:bottom w:w="65" w:type="dxa"/>
              <w:end w:w="70" w:type="dxa"/>
            </w:tcMar>
            <w:vAlign w:val="top"/>
          </w:tcPr>
          <w:p>
            <w:pPr>
              <w:spacing w:after="0"/>
            </w:pPr>
            <w:r>
              <w:rPr>
                <w:sz w:val="14"/>
              </w:rPr>
              <w:t>Independent governance, conflict disclosure, no pay-to-rank.</w:t>
            </w:r>
          </w:p>
        </w:tc>
      </w:tr>
      <w:tr>
        <w:trPr>
          <w:cantSplit/>
        </w:trPr>
        <w:tc>
          <w:tcPr>
            <w:tcW w:type="dxa" w:w="2520"/>
            <w:tcMar>
              <w:top w:w="65" w:type="dxa"/>
              <w:start w:w="70" w:type="dxa"/>
              <w:bottom w:w="65" w:type="dxa"/>
              <w:end w:w="70" w:type="dxa"/>
            </w:tcMar>
            <w:vAlign w:val="top"/>
            <w:shd w:fill="F7F9FA"/>
          </w:tcPr>
          <w:p>
            <w:pPr>
              <w:spacing w:after="0"/>
            </w:pPr>
            <w:r>
              <w:rPr>
                <w:sz w:val="14"/>
              </w:rPr>
              <w:t>Reproduce copyrighted guideline content without review</w:t>
            </w:r>
          </w:p>
        </w:tc>
        <w:tc>
          <w:tcPr>
            <w:tcW w:type="dxa" w:w="3816"/>
            <w:tcMar>
              <w:top w:w="65" w:type="dxa"/>
              <w:start w:w="70" w:type="dxa"/>
              <w:bottom w:w="65" w:type="dxa"/>
              <w:end w:w="70" w:type="dxa"/>
            </w:tcMar>
            <w:vAlign w:val="top"/>
            <w:shd w:fill="F7F9FA"/>
          </w:tcPr>
          <w:p>
            <w:pPr>
              <w:spacing w:after="0"/>
            </w:pPr>
            <w:r>
              <w:rPr>
                <w:sz w:val="14"/>
              </w:rPr>
              <w:t>Citations alone do not grant republication rights</w:t>
            </w:r>
          </w:p>
        </w:tc>
        <w:tc>
          <w:tcPr>
            <w:tcW w:type="dxa" w:w="3744"/>
            <w:tcMar>
              <w:top w:w="65" w:type="dxa"/>
              <w:start w:w="70" w:type="dxa"/>
              <w:bottom w:w="65" w:type="dxa"/>
              <w:end w:w="70" w:type="dxa"/>
            </w:tcMar>
            <w:vAlign w:val="top"/>
            <w:shd w:fill="F7F9FA"/>
          </w:tcPr>
          <w:p>
            <w:pPr>
              <w:spacing w:after="0"/>
            </w:pPr>
            <w:r>
              <w:rPr>
                <w:sz w:val="14"/>
              </w:rPr>
              <w:t>License or paraphrase; retain minimal necessary facts; conduct counsel review.</w:t>
            </w:r>
          </w:p>
        </w:tc>
      </w:tr>
      <w:tr>
        <w:trPr>
          <w:cantSplit/>
        </w:trPr>
        <w:tc>
          <w:tcPr>
            <w:tcW w:type="dxa" w:w="2520"/>
            <w:tcMar>
              <w:top w:w="65" w:type="dxa"/>
              <w:start w:w="70" w:type="dxa"/>
              <w:bottom w:w="65" w:type="dxa"/>
              <w:end w:w="70" w:type="dxa"/>
            </w:tcMar>
            <w:vAlign w:val="top"/>
          </w:tcPr>
          <w:p>
            <w:pPr>
              <w:spacing w:after="0"/>
            </w:pPr>
            <w:r>
              <w:rPr>
                <w:sz w:val="14"/>
              </w:rPr>
              <w:t>Claim HIPAA or FDA compliance from architecture</w:t>
            </w:r>
          </w:p>
        </w:tc>
        <w:tc>
          <w:tcPr>
            <w:tcW w:type="dxa" w:w="3816"/>
            <w:tcMar>
              <w:top w:w="65" w:type="dxa"/>
              <w:start w:w="70" w:type="dxa"/>
              <w:bottom w:w="65" w:type="dxa"/>
              <w:end w:w="70" w:type="dxa"/>
            </w:tcMar>
            <w:vAlign w:val="top"/>
          </w:tcPr>
          <w:p>
            <w:pPr>
              <w:spacing w:after="0"/>
            </w:pPr>
            <w:r>
              <w:rPr>
                <w:sz w:val="14"/>
              </w:rPr>
              <w:t>Compliance and classification depend on operations and intended use</w:t>
            </w:r>
          </w:p>
        </w:tc>
        <w:tc>
          <w:tcPr>
            <w:tcW w:type="dxa" w:w="3744"/>
            <w:tcMar>
              <w:top w:w="65" w:type="dxa"/>
              <w:start w:w="70" w:type="dxa"/>
              <w:bottom w:w="65" w:type="dxa"/>
              <w:end w:w="70" w:type="dxa"/>
            </w:tcMar>
            <w:vAlign w:val="top"/>
          </w:tcPr>
          <w:p>
            <w:pPr>
              <w:spacing w:after="0"/>
            </w:pPr>
            <w:r>
              <w:rPr>
                <w:sz w:val="14"/>
              </w:rPr>
              <w:t>Documented assessment, controls, contracts, validation, and legal/regulatory review.</w:t>
            </w:r>
          </w:p>
        </w:tc>
      </w:tr>
    </w:tbl>
    <w:p>
      <w:pPr>
        <w:spacing w:after="20"/>
      </w:pPr>
    </w:p>
    <w:p>
      <w:pPr>
        <w:pStyle w:val="Heading1"/>
      </w:pPr>
      <w:r>
        <w:t>14. 90-day action plan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152"/>
            <w:shd w:fill="123E4A"/>
            <w:tcMar>
              <w:top w:w="75" w:type="dxa"/>
              <w:start w:w="70" w:type="dxa"/>
              <w:bottom w:w="75" w:type="dxa"/>
              <w:end w:w="70" w:type="dxa"/>
            </w:tcMar>
            <w:vAlign w:val="center"/>
          </w:tcPr>
          <w:p>
            <w:r>
              <w:rPr>
                <w:b/>
                <w:color w:val="FFFFFF"/>
                <w:sz w:val="14"/>
              </w:rPr>
              <w:t>Weeks</w:t>
            </w:r>
          </w:p>
        </w:tc>
        <w:tc>
          <w:tcPr>
            <w:tcW w:type="dxa" w:w="1872"/>
            <w:shd w:fill="123E4A"/>
            <w:tcMar>
              <w:top w:w="75" w:type="dxa"/>
              <w:start w:w="70" w:type="dxa"/>
              <w:bottom w:w="75" w:type="dxa"/>
              <w:end w:w="70" w:type="dxa"/>
            </w:tcMar>
            <w:vAlign w:val="center"/>
          </w:tcPr>
          <w:p>
            <w:r>
              <w:rPr>
                <w:b/>
                <w:color w:val="FFFFFF"/>
                <w:sz w:val="14"/>
              </w:rPr>
              <w:t>Workstream</w:t>
            </w:r>
          </w:p>
        </w:tc>
        <w:tc>
          <w:tcPr>
            <w:tcW w:type="dxa" w:w="5328"/>
            <w:shd w:fill="123E4A"/>
            <w:tcMar>
              <w:top w:w="75" w:type="dxa"/>
              <w:start w:w="70" w:type="dxa"/>
              <w:bottom w:w="75" w:type="dxa"/>
              <w:end w:w="70" w:type="dxa"/>
            </w:tcMar>
            <w:vAlign w:val="center"/>
          </w:tcPr>
          <w:p>
            <w:r>
              <w:rPr>
                <w:b/>
                <w:color w:val="FFFFFF"/>
                <w:sz w:val="14"/>
              </w:rPr>
              <w:t>Deliverables</w:t>
            </w:r>
          </w:p>
        </w:tc>
        <w:tc>
          <w:tcPr>
            <w:tcW w:type="dxa" w:w="1728"/>
            <w:shd w:fill="123E4A"/>
            <w:tcMar>
              <w:top w:w="75" w:type="dxa"/>
              <w:start w:w="70" w:type="dxa"/>
              <w:bottom w:w="75" w:type="dxa"/>
              <w:end w:w="70" w:type="dxa"/>
            </w:tcMar>
            <w:vAlign w:val="center"/>
          </w:tcPr>
          <w:p>
            <w:r>
              <w:rPr>
                <w:b/>
                <w:color w:val="FFFFFF"/>
                <w:sz w:val="14"/>
              </w:rPr>
              <w:t>Decision gate</w:t>
            </w:r>
          </w:p>
        </w:tc>
      </w:tr>
      <w:tr>
        <w:trPr>
          <w:cantSplit/>
        </w:trPr>
        <w:tc>
          <w:tcPr>
            <w:tcW w:type="dxa" w:w="1152"/>
            <w:tcMar>
              <w:top w:w="65" w:type="dxa"/>
              <w:start w:w="70" w:type="dxa"/>
              <w:bottom w:w="65" w:type="dxa"/>
              <w:end w:w="70" w:type="dxa"/>
            </w:tcMar>
            <w:vAlign w:val="top"/>
          </w:tcPr>
          <w:p>
            <w:pPr>
              <w:spacing w:after="0"/>
            </w:pPr>
            <w:r>
              <w:rPr>
                <w:sz w:val="14"/>
              </w:rPr>
              <w:t>1-2</w:t>
            </w:r>
          </w:p>
        </w:tc>
        <w:tc>
          <w:tcPr>
            <w:tcW w:type="dxa" w:w="1872"/>
            <w:tcMar>
              <w:top w:w="65" w:type="dxa"/>
              <w:start w:w="70" w:type="dxa"/>
              <w:bottom w:w="65" w:type="dxa"/>
              <w:end w:w="70" w:type="dxa"/>
            </w:tcMar>
            <w:vAlign w:val="top"/>
          </w:tcPr>
          <w:p>
            <w:pPr>
              <w:spacing w:after="0"/>
            </w:pPr>
            <w:r>
              <w:rPr>
                <w:sz w:val="14"/>
              </w:rPr>
              <w:t>Product and intended use</w:t>
            </w:r>
          </w:p>
        </w:tc>
        <w:tc>
          <w:tcPr>
            <w:tcW w:type="dxa" w:w="5328"/>
            <w:tcMar>
              <w:top w:w="65" w:type="dxa"/>
              <w:start w:w="70" w:type="dxa"/>
              <w:bottom w:w="65" w:type="dxa"/>
              <w:end w:w="70" w:type="dxa"/>
            </w:tcMar>
            <w:vAlign w:val="top"/>
          </w:tcPr>
          <w:p>
            <w:pPr>
              <w:spacing w:after="0"/>
            </w:pPr>
            <w:r>
              <w:rPr>
                <w:sz w:val="14"/>
              </w:rPr>
              <w:t>One-page intended-use options; product category; claims matrix; no-go list</w:t>
            </w:r>
          </w:p>
        </w:tc>
        <w:tc>
          <w:tcPr>
            <w:tcW w:type="dxa" w:w="1728"/>
            <w:tcMar>
              <w:top w:w="65" w:type="dxa"/>
              <w:start w:w="70" w:type="dxa"/>
              <w:bottom w:w="65" w:type="dxa"/>
              <w:end w:w="70" w:type="dxa"/>
            </w:tcMar>
            <w:vAlign w:val="top"/>
          </w:tcPr>
          <w:p>
            <w:pPr>
              <w:spacing w:after="0"/>
            </w:pPr>
            <w:r>
              <w:rPr>
                <w:sz w:val="14"/>
              </w:rPr>
              <w:t>Choose clinician-facing non-time-critical product boundary.</w:t>
            </w:r>
          </w:p>
        </w:tc>
      </w:tr>
      <w:tr>
        <w:trPr>
          <w:cantSplit/>
        </w:trPr>
        <w:tc>
          <w:tcPr>
            <w:tcW w:type="dxa" w:w="1152"/>
            <w:tcMar>
              <w:top w:w="65" w:type="dxa"/>
              <w:start w:w="70" w:type="dxa"/>
              <w:bottom w:w="65" w:type="dxa"/>
              <w:end w:w="70" w:type="dxa"/>
            </w:tcMar>
            <w:vAlign w:val="top"/>
            <w:shd w:fill="F7F9FA"/>
          </w:tcPr>
          <w:p>
            <w:pPr>
              <w:spacing w:after="0"/>
            </w:pPr>
            <w:r>
              <w:rPr>
                <w:sz w:val="14"/>
              </w:rPr>
              <w:t>1-4</w:t>
            </w:r>
          </w:p>
        </w:tc>
        <w:tc>
          <w:tcPr>
            <w:tcW w:type="dxa" w:w="1872"/>
            <w:tcMar>
              <w:top w:w="65" w:type="dxa"/>
              <w:start w:w="70" w:type="dxa"/>
              <w:bottom w:w="65" w:type="dxa"/>
              <w:end w:w="70" w:type="dxa"/>
            </w:tcMar>
            <w:vAlign w:val="top"/>
            <w:shd w:fill="F7F9FA"/>
          </w:tcPr>
          <w:p>
            <w:pPr>
              <w:spacing w:after="0"/>
            </w:pPr>
            <w:r>
              <w:rPr>
                <w:sz w:val="14"/>
              </w:rPr>
              <w:t>Customer discovery</w:t>
            </w:r>
          </w:p>
        </w:tc>
        <w:tc>
          <w:tcPr>
            <w:tcW w:type="dxa" w:w="5328"/>
            <w:tcMar>
              <w:top w:w="65" w:type="dxa"/>
              <w:start w:w="70" w:type="dxa"/>
              <w:bottom w:w="65" w:type="dxa"/>
              <w:end w:w="70" w:type="dxa"/>
            </w:tcMar>
            <w:vAlign w:val="top"/>
            <w:shd w:fill="F7F9FA"/>
          </w:tcPr>
          <w:p>
            <w:pPr>
              <w:spacing w:after="0"/>
            </w:pPr>
            <w:r>
              <w:rPr>
                <w:sz w:val="14"/>
              </w:rPr>
              <w:t>20-30 structured interviews across pediatricians, hematologists, lab medicine, informatics, practice and hospital buyers</w:t>
            </w:r>
          </w:p>
        </w:tc>
        <w:tc>
          <w:tcPr>
            <w:tcW w:type="dxa" w:w="1728"/>
            <w:tcMar>
              <w:top w:w="65" w:type="dxa"/>
              <w:start w:w="70" w:type="dxa"/>
              <w:bottom w:w="65" w:type="dxa"/>
              <w:end w:w="70" w:type="dxa"/>
            </w:tcMar>
            <w:vAlign w:val="top"/>
            <w:shd w:fill="F7F9FA"/>
          </w:tcPr>
          <w:p>
            <w:pPr>
              <w:spacing w:after="0"/>
            </w:pPr>
            <w:r>
              <w:rPr>
                <w:sz w:val="14"/>
              </w:rPr>
              <w:t>Confirm top three jobs, buyer, workflow, and willingness to pilot.</w:t>
            </w:r>
          </w:p>
        </w:tc>
      </w:tr>
      <w:tr>
        <w:trPr>
          <w:cantSplit/>
        </w:trPr>
        <w:tc>
          <w:tcPr>
            <w:tcW w:type="dxa" w:w="1152"/>
            <w:tcMar>
              <w:top w:w="65" w:type="dxa"/>
              <w:start w:w="70" w:type="dxa"/>
              <w:bottom w:w="65" w:type="dxa"/>
              <w:end w:w="70" w:type="dxa"/>
            </w:tcMar>
            <w:vAlign w:val="top"/>
          </w:tcPr>
          <w:p>
            <w:pPr>
              <w:spacing w:after="0"/>
            </w:pPr>
            <w:r>
              <w:rPr>
                <w:sz w:val="14"/>
              </w:rPr>
              <w:t>1-6</w:t>
            </w:r>
          </w:p>
        </w:tc>
        <w:tc>
          <w:tcPr>
            <w:tcW w:type="dxa" w:w="1872"/>
            <w:tcMar>
              <w:top w:w="65" w:type="dxa"/>
              <w:start w:w="70" w:type="dxa"/>
              <w:bottom w:w="65" w:type="dxa"/>
              <w:end w:w="70" w:type="dxa"/>
            </w:tcMar>
            <w:vAlign w:val="top"/>
          </w:tcPr>
          <w:p>
            <w:pPr>
              <w:spacing w:after="0"/>
            </w:pPr>
            <w:r>
              <w:rPr>
                <w:sz w:val="14"/>
              </w:rPr>
              <w:t>Clinical governance</w:t>
            </w:r>
          </w:p>
        </w:tc>
        <w:tc>
          <w:tcPr>
            <w:tcW w:type="dxa" w:w="5328"/>
            <w:tcMar>
              <w:top w:w="65" w:type="dxa"/>
              <w:start w:w="70" w:type="dxa"/>
              <w:bottom w:w="65" w:type="dxa"/>
              <w:end w:w="70" w:type="dxa"/>
            </w:tcMar>
            <w:vAlign w:val="top"/>
          </w:tcPr>
          <w:p>
            <w:pPr>
              <w:spacing w:after="0"/>
            </w:pPr>
            <w:r>
              <w:rPr>
                <w:sz w:val="14"/>
              </w:rPr>
              <w:t>Advisory board; reviewer COI policy; source-rights review; evidence and rule approval SOP</w:t>
            </w:r>
          </w:p>
        </w:tc>
        <w:tc>
          <w:tcPr>
            <w:tcW w:type="dxa" w:w="1728"/>
            <w:tcMar>
              <w:top w:w="65" w:type="dxa"/>
              <w:start w:w="70" w:type="dxa"/>
              <w:bottom w:w="65" w:type="dxa"/>
              <w:end w:w="70" w:type="dxa"/>
            </w:tcMar>
            <w:vAlign w:val="top"/>
          </w:tcPr>
          <w:p>
            <w:pPr>
              <w:spacing w:after="0"/>
            </w:pPr>
            <w:r>
              <w:rPr>
                <w:sz w:val="14"/>
              </w:rPr>
              <w:t>Approve governance before content expansion.</w:t>
            </w:r>
          </w:p>
        </w:tc>
      </w:tr>
      <w:tr>
        <w:trPr>
          <w:cantSplit/>
        </w:trPr>
        <w:tc>
          <w:tcPr>
            <w:tcW w:type="dxa" w:w="1152"/>
            <w:tcMar>
              <w:top w:w="65" w:type="dxa"/>
              <w:start w:w="70" w:type="dxa"/>
              <w:bottom w:w="65" w:type="dxa"/>
              <w:end w:w="70" w:type="dxa"/>
            </w:tcMar>
            <w:vAlign w:val="top"/>
            <w:shd w:fill="F7F9FA"/>
          </w:tcPr>
          <w:p>
            <w:pPr>
              <w:spacing w:after="0"/>
            </w:pPr>
            <w:r>
              <w:rPr>
                <w:sz w:val="14"/>
              </w:rPr>
              <w:t>2-8</w:t>
            </w:r>
          </w:p>
        </w:tc>
        <w:tc>
          <w:tcPr>
            <w:tcW w:type="dxa" w:w="1872"/>
            <w:tcMar>
              <w:top w:w="65" w:type="dxa"/>
              <w:start w:w="70" w:type="dxa"/>
              <w:bottom w:w="65" w:type="dxa"/>
              <w:end w:w="70" w:type="dxa"/>
            </w:tcMar>
            <w:vAlign w:val="top"/>
            <w:shd w:fill="F7F9FA"/>
          </w:tcPr>
          <w:p>
            <w:pPr>
              <w:spacing w:after="0"/>
            </w:pPr>
            <w:r>
              <w:rPr>
                <w:sz w:val="14"/>
              </w:rPr>
              <w:t>Platform hardening</w:t>
            </w:r>
          </w:p>
        </w:tc>
        <w:tc>
          <w:tcPr>
            <w:tcW w:type="dxa" w:w="5328"/>
            <w:tcMar>
              <w:top w:w="65" w:type="dxa"/>
              <w:start w:w="70" w:type="dxa"/>
              <w:bottom w:w="65" w:type="dxa"/>
              <w:end w:w="70" w:type="dxa"/>
            </w:tcMar>
            <w:vAlign w:val="top"/>
            <w:shd w:fill="F7F9FA"/>
          </w:tcPr>
          <w:p>
            <w:pPr>
              <w:spacing w:after="0"/>
            </w:pPr>
            <w:r>
              <w:rPr>
                <w:sz w:val="14"/>
              </w:rPr>
              <w:t>Tri-state fields; exact source passages; evidence dates; signed KB manifest; semantic diff; expanded tests</w:t>
            </w:r>
          </w:p>
        </w:tc>
        <w:tc>
          <w:tcPr>
            <w:tcW w:type="dxa" w:w="1728"/>
            <w:tcMar>
              <w:top w:w="65" w:type="dxa"/>
              <w:start w:w="70" w:type="dxa"/>
              <w:bottom w:w="65" w:type="dxa"/>
              <w:end w:w="70" w:type="dxa"/>
            </w:tcMar>
            <w:vAlign w:val="top"/>
            <w:shd w:fill="F7F9FA"/>
          </w:tcPr>
          <w:p>
            <w:pPr>
              <w:spacing w:after="0"/>
            </w:pPr>
            <w:r>
              <w:rPr>
                <w:sz w:val="14"/>
              </w:rPr>
              <w:t>Anemia module ready for formal content review.</w:t>
            </w:r>
          </w:p>
        </w:tc>
      </w:tr>
      <w:tr>
        <w:trPr>
          <w:cantSplit/>
        </w:trPr>
        <w:tc>
          <w:tcPr>
            <w:tcW w:type="dxa" w:w="1152"/>
            <w:tcMar>
              <w:top w:w="65" w:type="dxa"/>
              <w:start w:w="70" w:type="dxa"/>
              <w:bottom w:w="65" w:type="dxa"/>
              <w:end w:w="70" w:type="dxa"/>
            </w:tcMar>
            <w:vAlign w:val="top"/>
          </w:tcPr>
          <w:p>
            <w:pPr>
              <w:spacing w:after="0"/>
            </w:pPr>
            <w:r>
              <w:rPr>
                <w:sz w:val="14"/>
              </w:rPr>
              <w:t>3-8</w:t>
            </w:r>
          </w:p>
        </w:tc>
        <w:tc>
          <w:tcPr>
            <w:tcW w:type="dxa" w:w="1872"/>
            <w:tcMar>
              <w:top w:w="65" w:type="dxa"/>
              <w:start w:w="70" w:type="dxa"/>
              <w:bottom w:w="65" w:type="dxa"/>
              <w:end w:w="70" w:type="dxa"/>
            </w:tcMar>
            <w:vAlign w:val="top"/>
          </w:tcPr>
          <w:p>
            <w:pPr>
              <w:spacing w:after="0"/>
            </w:pPr>
            <w:r>
              <w:rPr>
                <w:sz w:val="14"/>
              </w:rPr>
              <w:t>Validation design</w:t>
            </w:r>
          </w:p>
        </w:tc>
        <w:tc>
          <w:tcPr>
            <w:tcW w:type="dxa" w:w="5328"/>
            <w:tcMar>
              <w:top w:w="65" w:type="dxa"/>
              <w:start w:w="70" w:type="dxa"/>
              <w:bottom w:w="65" w:type="dxa"/>
              <w:end w:w="70" w:type="dxa"/>
            </w:tcMar>
            <w:vAlign w:val="top"/>
          </w:tcPr>
          <w:p>
            <w:pPr>
              <w:spacing w:after="0"/>
            </w:pPr>
            <w:r>
              <w:rPr>
                <w:sz w:val="14"/>
              </w:rPr>
              <w:t>Retrospective protocol, adjudication manual, sample-size plan, metrics, dangerous-miss set, IRB/data path</w:t>
            </w:r>
          </w:p>
        </w:tc>
        <w:tc>
          <w:tcPr>
            <w:tcW w:type="dxa" w:w="1728"/>
            <w:tcMar>
              <w:top w:w="65" w:type="dxa"/>
              <w:start w:w="70" w:type="dxa"/>
              <w:bottom w:w="65" w:type="dxa"/>
              <w:end w:w="70" w:type="dxa"/>
            </w:tcMar>
            <w:vAlign w:val="top"/>
          </w:tcPr>
          <w:p>
            <w:pPr>
              <w:spacing w:after="0"/>
            </w:pPr>
            <w:r>
              <w:rPr>
                <w:sz w:val="14"/>
              </w:rPr>
              <w:t>At least one feasible data partner and protocol.</w:t>
            </w:r>
          </w:p>
        </w:tc>
      </w:tr>
      <w:tr>
        <w:trPr>
          <w:cantSplit/>
        </w:trPr>
        <w:tc>
          <w:tcPr>
            <w:tcW w:type="dxa" w:w="1152"/>
            <w:tcMar>
              <w:top w:w="65" w:type="dxa"/>
              <w:start w:w="70" w:type="dxa"/>
              <w:bottom w:w="65" w:type="dxa"/>
              <w:end w:w="70" w:type="dxa"/>
            </w:tcMar>
            <w:vAlign w:val="top"/>
            <w:shd w:fill="F7F9FA"/>
          </w:tcPr>
          <w:p>
            <w:pPr>
              <w:spacing w:after="0"/>
            </w:pPr>
            <w:r>
              <w:rPr>
                <w:sz w:val="14"/>
              </w:rPr>
              <w:t>4-10</w:t>
            </w:r>
          </w:p>
        </w:tc>
        <w:tc>
          <w:tcPr>
            <w:tcW w:type="dxa" w:w="1872"/>
            <w:tcMar>
              <w:top w:w="65" w:type="dxa"/>
              <w:start w:w="70" w:type="dxa"/>
              <w:bottom w:w="65" w:type="dxa"/>
              <w:end w:w="70" w:type="dxa"/>
            </w:tcMar>
            <w:vAlign w:val="top"/>
            <w:shd w:fill="F7F9FA"/>
          </w:tcPr>
          <w:p>
            <w:pPr>
              <w:spacing w:after="0"/>
            </w:pPr>
            <w:r>
              <w:rPr>
                <w:sz w:val="14"/>
              </w:rPr>
              <w:t>Workflow prototype</w:t>
            </w:r>
          </w:p>
        </w:tc>
        <w:tc>
          <w:tcPr>
            <w:tcW w:type="dxa" w:w="5328"/>
            <w:tcMar>
              <w:top w:w="65" w:type="dxa"/>
              <w:start w:w="70" w:type="dxa"/>
              <w:bottom w:w="65" w:type="dxa"/>
              <w:end w:w="70" w:type="dxa"/>
            </w:tcMar>
            <w:vAlign w:val="top"/>
            <w:shd w:fill="F7F9FA"/>
          </w:tcPr>
          <w:p>
            <w:pPr>
              <w:spacing w:after="0"/>
            </w:pPr>
            <w:r>
              <w:rPr>
                <w:sz w:val="14"/>
              </w:rPr>
              <w:t>FHIR mapping; SMART sandbox; longitudinal mock; referral packet; local range import concept</w:t>
            </w:r>
          </w:p>
        </w:tc>
        <w:tc>
          <w:tcPr>
            <w:tcW w:type="dxa" w:w="1728"/>
            <w:tcMar>
              <w:top w:w="65" w:type="dxa"/>
              <w:start w:w="70" w:type="dxa"/>
              <w:bottom w:w="65" w:type="dxa"/>
              <w:end w:w="70" w:type="dxa"/>
            </w:tcMar>
            <w:vAlign w:val="top"/>
            <w:shd w:fill="F7F9FA"/>
          </w:tcPr>
          <w:p>
            <w:pPr>
              <w:spacing w:after="0"/>
            </w:pPr>
            <w:r>
              <w:rPr>
                <w:sz w:val="14"/>
              </w:rPr>
              <w:t>Demonstrate end-to-end workflow without live PHI.</w:t>
            </w:r>
          </w:p>
        </w:tc>
      </w:tr>
      <w:tr>
        <w:trPr>
          <w:cantSplit/>
        </w:trPr>
        <w:tc>
          <w:tcPr>
            <w:tcW w:type="dxa" w:w="1152"/>
            <w:tcMar>
              <w:top w:w="65" w:type="dxa"/>
              <w:start w:w="70" w:type="dxa"/>
              <w:bottom w:w="65" w:type="dxa"/>
              <w:end w:w="70" w:type="dxa"/>
            </w:tcMar>
            <w:vAlign w:val="top"/>
          </w:tcPr>
          <w:p>
            <w:pPr>
              <w:spacing w:after="0"/>
            </w:pPr>
            <w:r>
              <w:rPr>
                <w:sz w:val="14"/>
              </w:rPr>
              <w:t>6-12</w:t>
            </w:r>
          </w:p>
        </w:tc>
        <w:tc>
          <w:tcPr>
            <w:tcW w:type="dxa" w:w="1872"/>
            <w:tcMar>
              <w:top w:w="65" w:type="dxa"/>
              <w:start w:w="70" w:type="dxa"/>
              <w:bottom w:w="65" w:type="dxa"/>
              <w:end w:w="70" w:type="dxa"/>
            </w:tcMar>
            <w:vAlign w:val="top"/>
          </w:tcPr>
          <w:p>
            <w:pPr>
              <w:spacing w:after="0"/>
            </w:pPr>
            <w:r>
              <w:rPr>
                <w:sz w:val="14"/>
              </w:rPr>
              <w:t>Commercial design</w:t>
            </w:r>
          </w:p>
        </w:tc>
        <w:tc>
          <w:tcPr>
            <w:tcW w:type="dxa" w:w="5328"/>
            <w:tcMar>
              <w:top w:w="65" w:type="dxa"/>
              <w:start w:w="70" w:type="dxa"/>
              <w:bottom w:w="65" w:type="dxa"/>
              <w:end w:w="70" w:type="dxa"/>
            </w:tcMar>
            <w:vAlign w:val="top"/>
          </w:tcPr>
          <w:p>
            <w:pPr>
              <w:spacing w:after="0"/>
            </w:pPr>
            <w:r>
              <w:rPr>
                <w:sz w:val="14"/>
              </w:rPr>
              <w:t>Packaging, pricing interview cards, pilot SOW, data-processing diagram, security roadmap</w:t>
            </w:r>
          </w:p>
        </w:tc>
        <w:tc>
          <w:tcPr>
            <w:tcW w:type="dxa" w:w="1728"/>
            <w:tcMar>
              <w:top w:w="65" w:type="dxa"/>
              <w:start w:w="70" w:type="dxa"/>
              <w:bottom w:w="65" w:type="dxa"/>
              <w:end w:w="70" w:type="dxa"/>
            </w:tcMar>
            <w:vAlign w:val="top"/>
          </w:tcPr>
          <w:p>
            <w:pPr>
              <w:spacing w:after="0"/>
            </w:pPr>
            <w:r>
              <w:rPr>
                <w:sz w:val="14"/>
              </w:rPr>
              <w:t>Secure 2-3 design-partner letters or paid discovery agreements.</w:t>
            </w:r>
          </w:p>
        </w:tc>
      </w:tr>
      <w:tr>
        <w:trPr>
          <w:cantSplit/>
        </w:trPr>
        <w:tc>
          <w:tcPr>
            <w:tcW w:type="dxa" w:w="1152"/>
            <w:tcMar>
              <w:top w:w="65" w:type="dxa"/>
              <w:start w:w="70" w:type="dxa"/>
              <w:bottom w:w="65" w:type="dxa"/>
              <w:end w:w="70" w:type="dxa"/>
            </w:tcMar>
            <w:vAlign w:val="top"/>
            <w:shd w:fill="F7F9FA"/>
          </w:tcPr>
          <w:p>
            <w:pPr>
              <w:spacing w:after="0"/>
            </w:pPr>
            <w:r>
              <w:rPr>
                <w:sz w:val="14"/>
              </w:rPr>
              <w:t>By day 90</w:t>
            </w:r>
          </w:p>
        </w:tc>
        <w:tc>
          <w:tcPr>
            <w:tcW w:type="dxa" w:w="1872"/>
            <w:tcMar>
              <w:top w:w="65" w:type="dxa"/>
              <w:start w:w="70" w:type="dxa"/>
              <w:bottom w:w="65" w:type="dxa"/>
              <w:end w:w="70" w:type="dxa"/>
            </w:tcMar>
            <w:vAlign w:val="top"/>
            <w:shd w:fill="F7F9FA"/>
          </w:tcPr>
          <w:p>
            <w:pPr>
              <w:spacing w:after="0"/>
            </w:pPr>
            <w:r>
              <w:rPr>
                <w:sz w:val="14"/>
              </w:rPr>
              <w:t>Portfolio decision</w:t>
            </w:r>
          </w:p>
        </w:tc>
        <w:tc>
          <w:tcPr>
            <w:tcW w:type="dxa" w:w="5328"/>
            <w:tcMar>
              <w:top w:w="65" w:type="dxa"/>
              <w:start w:w="70" w:type="dxa"/>
              <w:bottom w:w="65" w:type="dxa"/>
              <w:end w:w="70" w:type="dxa"/>
            </w:tcMar>
            <w:vAlign w:val="top"/>
            <w:shd w:fill="F7F9FA"/>
          </w:tcPr>
          <w:p>
            <w:pPr>
              <w:spacing w:after="0"/>
            </w:pPr>
            <w:r>
              <w:rPr>
                <w:sz w:val="14"/>
              </w:rPr>
              <w:t>Evidence from interviews, governance, technical prototype, partner feasibility, and costed 12-month plan</w:t>
            </w:r>
          </w:p>
        </w:tc>
        <w:tc>
          <w:tcPr>
            <w:tcW w:type="dxa" w:w="1728"/>
            <w:tcMar>
              <w:top w:w="65" w:type="dxa"/>
              <w:start w:w="70" w:type="dxa"/>
              <w:bottom w:w="65" w:type="dxa"/>
              <w:end w:w="70" w:type="dxa"/>
            </w:tcMar>
            <w:vAlign w:val="top"/>
            <w:shd w:fill="F7F9FA"/>
          </w:tcPr>
          <w:p>
            <w:pPr>
              <w:spacing w:after="0"/>
            </w:pPr>
            <w:r>
              <w:rPr>
                <w:sz w:val="14"/>
              </w:rPr>
              <w:t>Fund CBC suite, pivot to platform licensing, or maintain as public/academic tool.</w:t>
            </w:r>
          </w:p>
        </w:tc>
      </w:tr>
    </w:tbl>
    <w:p>
      <w:pPr>
        <w:spacing w:after="20"/>
      </w:pPr>
    </w:p>
    <w:p>
      <w:pPr>
        <w:pStyle w:val="Heading2"/>
      </w:pPr>
      <w:r>
        <w:t>14.1 Recommended success criteria at day 90</w:t>
      </w:r>
    </w:p>
    <w:p>
      <w:pPr>
        <w:pStyle w:val="ListBullet"/>
        <w:spacing w:after="50"/>
      </w:pPr>
      <w:r>
        <w:t>At least 70% of interviewed general pediatric clinicians confirm the same two or three high-value workflows; treat this as a discovery threshold, not statistical proof.</w:t>
      </w:r>
    </w:p>
    <w:p>
      <w:pPr>
        <w:pStyle w:val="ListBullet"/>
        <w:spacing w:after="50"/>
      </w:pPr>
      <w:r>
        <w:t>Two or more credible design partners can provide clinical reviewers and a practical path to de-identified retrospective data or silent-mode evaluation.</w:t>
      </w:r>
    </w:p>
    <w:p>
      <w:pPr>
        <w:pStyle w:val="ListBullet"/>
        <w:spacing w:after="50"/>
      </w:pPr>
      <w:r>
        <w:t>An intended-use and regulatory strategy appears feasible without adding treatment directives or autonomous time-critical claims.</w:t>
      </w:r>
    </w:p>
    <w:p>
      <w:pPr>
        <w:pStyle w:val="ListBullet"/>
        <w:spacing w:after="50"/>
      </w:pPr>
      <w:r>
        <w:t>Clinical reviewers can trace every anemia rule to an exact source passage and agree on output wording and exclusions.</w:t>
      </w:r>
    </w:p>
    <w:p>
      <w:pPr>
        <w:pStyle w:val="ListBullet"/>
        <w:spacing w:after="50"/>
      </w:pPr>
      <w:r>
        <w:t>The CBC suite roadmap has at least three modules with strong shared data, evidence, and customer demand.</w:t>
      </w:r>
    </w:p>
    <w:p>
      <w:pPr>
        <w:pStyle w:val="ListBullet"/>
        <w:spacing w:after="50"/>
      </w:pPr>
      <w:r>
        <w:t>A practice or enterprise buyer is willing to sign a paid discovery or pilot agreement, even if modest.</w:t>
      </w:r>
    </w:p>
    <w:p>
      <w:pPr>
        <w:pStyle w:val="Heading1"/>
      </w:pPr>
      <w:r>
        <w:t>15. Final recommendation</w:t>
      </w:r>
    </w:p>
    <w:tbl>
      <w:tblPr>
        <w:tblW w:type="auto" w:w="0"/>
        <w:jc w:val="center"/>
        <w:tblLayout w:type="fixed"/>
        <w:tblLook w:firstColumn="1" w:firstRow="1" w:lastColumn="0" w:lastRow="0" w:noHBand="0" w:noVBand="1" w:val="04A0"/>
      </w:tblPr>
      <w:tblGrid>
        <w:gridCol w:w="10282"/>
      </w:tblGrid>
      <w:tr>
        <w:tc>
          <w:tcPr>
            <w:tcW w:type="dxa" w:w="10080"/>
            <w:shd w:fill="E8F5F5"/>
            <w:tcMar>
              <w:top w:w="130" w:type="dxa"/>
              <w:start w:w="160" w:type="dxa"/>
              <w:bottom w:w="130" w:type="dxa"/>
              <w:end w:w="160" w:type="dxa"/>
            </w:tcMar>
          </w:tcPr>
          <w:p>
            <w:r>
              <w:rPr>
                <w:b/>
                <w:color w:val="0E7582"/>
                <w:sz w:val="16"/>
              </w:rPr>
              <w:t>BOTTOM LINE</w:t>
            </w:r>
          </w:p>
          <w:p>
            <w:r>
              <w:rPr>
                <w:sz w:val="18"/>
              </w:rPr>
              <w:t>Build the pediatric CBC/lab pathway product and the Evidence Foundry platform together, but validate demand and regulatory feasibility before investing in broad module expansion. Keep the current anemia microsite free and transparent; monetize integration, longitudinal workflow, local configuration, governance, analytics, validated modules, and licensing.</w:t>
            </w:r>
          </w:p>
        </w:tc>
      </w:tr>
    </w:tbl>
    <w:p>
      <w:pPr>
        <w:spacing w:after="0"/>
      </w:pPr>
    </w:p>
    <w:p>
      <w:r>
        <w:t>The app is already a credible demonstration of the core idea: evidence can be made inspectable and executable without hiding patient-specific reasoning in a generative model. The next value inflection will not come from adding more UI polish. It will come from proving that the system improves the work of pediatric clinicians, reliably transports across sites, remains current, and can be governed at scale.</w:t>
      </w:r>
    </w:p>
    <w:p>
      <w:pPr>
        <w:pStyle w:val="Heading1"/>
      </w:pPr>
      <w:r>
        <w:t>References</w:t>
      </w:r>
    </w:p>
    <w:p>
      <w:pPr>
        <w:spacing w:after="100"/>
        <w:ind w:left="259" w:hanging="259"/>
      </w:pPr>
      <w:r>
        <w:rPr>
          <w:b/>
          <w:color w:val="0E7582"/>
        </w:rPr>
        <w:t xml:space="preserve">[C1] </w:t>
      </w:r>
      <w:r>
        <w:rPr>
          <w:sz w:val="16"/>
        </w:rPr>
        <w:t xml:space="preserve">American Academy of Pediatrics. Prevention, Screening, Diagnosis, and Treatment of Iron Deficiency and Iron Deficiency Anemia in Infants, Children, and Adolescents: Clinical Report. 2026. </w:t>
      </w:r>
      <w:hyperlink r:id="rId13">
        <w:r>
          <w:rPr>
            <w:color w:val="0E7582"/>
            <w:u w:val="single"/>
          </w:rPr>
          <w:t>https://publications.aap.org/pediatrics/article/158/1/e2026077414/207901/Prevention-Screening-Diagnosis-and-Treatment-of</w:t>
        </w:r>
      </w:hyperlink>
      <w:r>
        <w:rPr>
          <w:i/>
          <w:color w:val="667780"/>
          <w:sz w:val="16"/>
        </w:rPr>
        <w:t xml:space="preserve"> Primary current clinical source in the app.</w:t>
      </w:r>
    </w:p>
    <w:p>
      <w:pPr>
        <w:spacing w:after="100"/>
        <w:ind w:left="259" w:hanging="259"/>
      </w:pPr>
      <w:r>
        <w:rPr>
          <w:b/>
          <w:color w:val="0E7582"/>
        </w:rPr>
        <w:t xml:space="preserve">[C2] </w:t>
      </w:r>
      <w:r>
        <w:rPr>
          <w:sz w:val="16"/>
        </w:rPr>
        <w:t xml:space="preserve">World Health Organization. Guideline on haemoglobin cutoffs to define anaemia in individuals and populations. 2024. </w:t>
      </w:r>
      <w:hyperlink r:id="rId14">
        <w:r>
          <w:rPr>
            <w:color w:val="0E7582"/>
            <w:u w:val="single"/>
          </w:rPr>
          <w:t>https://www.who.int/publications/i/item/9789240088542</w:t>
        </w:r>
      </w:hyperlink>
      <w:r>
        <w:rPr>
          <w:i/>
          <w:color w:val="667780"/>
          <w:sz w:val="16"/>
        </w:rPr>
        <w:t xml:space="preserve"> Supports age- and population-aware cutoff governance.</w:t>
      </w:r>
    </w:p>
    <w:p>
      <w:pPr>
        <w:spacing w:after="100"/>
        <w:ind w:left="259" w:hanging="259"/>
      </w:pPr>
      <w:r>
        <w:rPr>
          <w:b/>
          <w:color w:val="0E7582"/>
        </w:rPr>
        <w:t xml:space="preserve">[C3] </w:t>
      </w:r>
      <w:r>
        <w:rPr>
          <w:sz w:val="16"/>
        </w:rPr>
        <w:t xml:space="preserve">Blood / American Society of Hematology. Anemia in the pediatric patient. 2022. </w:t>
      </w:r>
      <w:hyperlink r:id="rId15">
        <w:r>
          <w:rPr>
            <w:color w:val="0E7582"/>
            <w:u w:val="single"/>
          </w:rPr>
          <w:t>https://doi.org/10.1182/blood.2021013018</w:t>
        </w:r>
      </w:hyperlink>
      <w:r>
        <w:rPr>
          <w:i/>
          <w:color w:val="667780"/>
          <w:sz w:val="16"/>
        </w:rPr>
        <w:t xml:space="preserve"> Recent peer-reviewed morphology and reticulocyte framework.</w:t>
      </w:r>
    </w:p>
    <w:p>
      <w:pPr>
        <w:spacing w:after="100"/>
        <w:ind w:left="259" w:hanging="259"/>
      </w:pPr>
      <w:r>
        <w:rPr>
          <w:b/>
          <w:color w:val="0E7582"/>
        </w:rPr>
        <w:t xml:space="preserve">[C4] </w:t>
      </w:r>
      <w:r>
        <w:rPr>
          <w:sz w:val="16"/>
        </w:rPr>
        <w:t xml:space="preserve">US Centers for Disease Control and Prevention. Recommended Actions Based on Blood Lead Level. 2025. </w:t>
      </w:r>
      <w:hyperlink r:id="rId16">
        <w:r>
          <w:rPr>
            <w:color w:val="0E7582"/>
            <w:u w:val="single"/>
          </w:rPr>
          <w:t>https://www.cdc.gov/lead-prevention/hcp/clinical-guidance/index.html</w:t>
        </w:r>
      </w:hyperlink>
      <w:r>
        <w:rPr>
          <w:i/>
          <w:color w:val="667780"/>
          <w:sz w:val="16"/>
        </w:rPr>
        <w:t xml:space="preserve"> Current lead reference value, confirmation, and escalation pathways.</w:t>
      </w:r>
    </w:p>
    <w:p>
      <w:pPr>
        <w:spacing w:after="100"/>
        <w:ind w:left="259" w:hanging="259"/>
      </w:pPr>
      <w:r>
        <w:rPr>
          <w:b/>
          <w:color w:val="0E7582"/>
        </w:rPr>
        <w:t xml:space="preserve">[C5] </w:t>
      </w:r>
      <w:r>
        <w:rPr>
          <w:sz w:val="16"/>
        </w:rPr>
        <w:t xml:space="preserve">British Society for Haematology. Laboratory diagnosis of G6PD deficiency: A British Society for Haematology Guideline. 2020. </w:t>
      </w:r>
      <w:hyperlink r:id="rId17">
        <w:r>
          <w:rPr>
            <w:color w:val="0E7582"/>
            <w:u w:val="single"/>
          </w:rPr>
          <w:t>https://pubmed.ncbi.nlm.nih.gov/?term=Laboratory+diagnosis+of+G6PD+deficiency+British+Society+for+Haematology</w:t>
        </w:r>
      </w:hyperlink>
      <w:r>
        <w:rPr>
          <w:i/>
          <w:color w:val="667780"/>
          <w:sz w:val="16"/>
        </w:rPr>
        <w:t xml:space="preserve"> Foundational exception outside the five-year priority window.</w:t>
      </w:r>
    </w:p>
    <w:p>
      <w:pPr>
        <w:spacing w:after="100"/>
        <w:ind w:left="259" w:hanging="259"/>
      </w:pPr>
      <w:r>
        <w:rPr>
          <w:b/>
          <w:color w:val="0E7582"/>
        </w:rPr>
        <w:t xml:space="preserve">[R1] </w:t>
      </w:r>
      <w:r>
        <w:rPr>
          <w:sz w:val="16"/>
        </w:rPr>
        <w:t xml:space="preserve">US Food and Drug Administration. Clinical Decision Support Software: Guidance for Industry and FDA Staff. 2026. </w:t>
      </w:r>
      <w:hyperlink r:id="rId18">
        <w:r>
          <w:rPr>
            <w:color w:val="0E7582"/>
            <w:u w:val="single"/>
          </w:rPr>
          <w:t>https://www.fda.gov/regulatory-information/search-fda-guidance-documents/clinical-decision-support-software</w:t>
        </w:r>
      </w:hyperlink>
      <w:r>
        <w:rPr>
          <w:i/>
          <w:color w:val="667780"/>
          <w:sz w:val="16"/>
        </w:rPr>
        <w:t xml:space="preserve"> Final guidance, January 2026.</w:t>
      </w:r>
    </w:p>
    <w:p>
      <w:pPr>
        <w:spacing w:after="100"/>
        <w:ind w:left="259" w:hanging="259"/>
      </w:pPr>
      <w:r>
        <w:rPr>
          <w:b/>
          <w:color w:val="0E7582"/>
        </w:rPr>
        <w:t xml:space="preserve">[R2] </w:t>
      </w:r>
      <w:r>
        <w:rPr>
          <w:sz w:val="16"/>
        </w:rPr>
        <w:t xml:space="preserve">World Health Organization. SMART Guidelines. Current page accessed 2026. </w:t>
      </w:r>
      <w:hyperlink r:id="rId19">
        <w:r>
          <w:rPr>
            <w:color w:val="0E7582"/>
            <w:u w:val="single"/>
          </w:rPr>
          <w:t>https://www.who.int/teams/digital-health-and-innovation/smart-guidelines</w:t>
        </w:r>
      </w:hyperlink>
      <w:r>
        <w:rPr>
          <w:i/>
          <w:color w:val="667780"/>
          <w:sz w:val="16"/>
        </w:rPr>
        <w:t xml:space="preserve"> Describes the challenge of translating guidance into digital systems.</w:t>
      </w:r>
    </w:p>
    <w:p>
      <w:pPr>
        <w:spacing w:after="100"/>
        <w:ind w:left="259" w:hanging="259"/>
      </w:pPr>
      <w:r>
        <w:rPr>
          <w:b/>
          <w:color w:val="0E7582"/>
        </w:rPr>
        <w:t xml:space="preserve">[R3] </w:t>
      </w:r>
      <w:r>
        <w:rPr>
          <w:sz w:val="16"/>
        </w:rPr>
        <w:t xml:space="preserve">HL7 International. SMART App Launch Implementation Guide v2.2.0. Current published version accessed 2026. </w:t>
      </w:r>
      <w:hyperlink r:id="rId20">
        <w:r>
          <w:rPr>
            <w:color w:val="0E7582"/>
            <w:u w:val="single"/>
          </w:rPr>
          <w:t>https://hl7.org/fhir/smart-app-launch/</w:t>
        </w:r>
      </w:hyperlink>
      <w:r>
        <w:rPr>
          <w:i/>
          <w:color w:val="667780"/>
          <w:sz w:val="16"/>
        </w:rPr>
        <w:t xml:space="preserve"> FHIR-based app launch and authorization standard.</w:t>
      </w:r>
    </w:p>
    <w:p>
      <w:pPr>
        <w:spacing w:after="100"/>
        <w:ind w:left="259" w:hanging="259"/>
      </w:pPr>
      <w:r>
        <w:rPr>
          <w:b/>
          <w:color w:val="0E7582"/>
        </w:rPr>
        <w:t xml:space="preserve">[R4] </w:t>
      </w:r>
      <w:r>
        <w:rPr>
          <w:sz w:val="16"/>
        </w:rPr>
        <w:t xml:space="preserve">HL7 International. CDS Hooks Implementation Guide v2.0.1. Current published version accessed 2026. </w:t>
      </w:r>
      <w:hyperlink r:id="rId21">
        <w:r>
          <w:rPr>
            <w:color w:val="0E7582"/>
            <w:u w:val="single"/>
          </w:rPr>
          <w:t>https://cds-hooks.hl7.org/</w:t>
        </w:r>
      </w:hyperlink>
      <w:r>
        <w:rPr>
          <w:i/>
          <w:color w:val="667780"/>
          <w:sz w:val="16"/>
        </w:rPr>
        <w:t xml:space="preserve"> Workflow-triggered CDS integration standard.</w:t>
      </w:r>
    </w:p>
    <w:p>
      <w:pPr>
        <w:spacing w:after="100"/>
        <w:ind w:left="259" w:hanging="259"/>
      </w:pPr>
      <w:r>
        <w:rPr>
          <w:b/>
          <w:color w:val="0E7582"/>
        </w:rPr>
        <w:t xml:space="preserve">[R5] </w:t>
      </w:r>
      <w:r>
        <w:rPr>
          <w:sz w:val="16"/>
        </w:rPr>
        <w:t xml:space="preserve">HL7 International. FHIR PlanDefinition R4. R4. </w:t>
      </w:r>
      <w:hyperlink r:id="rId22">
        <w:r>
          <w:rPr>
            <w:color w:val="0E7582"/>
            <w:u w:val="single"/>
          </w:rPr>
          <w:t>https://hl7.org/fhir/R4/plandefinition.html</w:t>
        </w:r>
      </w:hyperlink>
      <w:r>
        <w:rPr>
          <w:i/>
          <w:color w:val="667780"/>
          <w:sz w:val="16"/>
        </w:rPr>
        <w:t xml:space="preserve"> Shareable conditions, triggers, and executable actions.</w:t>
      </w:r>
    </w:p>
    <w:p>
      <w:pPr>
        <w:spacing w:after="100"/>
        <w:ind w:left="259" w:hanging="259"/>
      </w:pPr>
      <w:r>
        <w:rPr>
          <w:b/>
          <w:color w:val="0E7582"/>
        </w:rPr>
        <w:t xml:space="preserve">[R6] </w:t>
      </w:r>
      <w:r>
        <w:rPr>
          <w:sz w:val="16"/>
        </w:rPr>
        <w:t xml:space="preserve">HL7 International. FHIR Questionnaire R5. R5. </w:t>
      </w:r>
      <w:hyperlink r:id="rId23">
        <w:r>
          <w:rPr>
            <w:color w:val="0E7582"/>
            <w:u w:val="single"/>
          </w:rPr>
          <w:t>https://www.hl7.org/fhir/questionnaire.html</w:t>
        </w:r>
      </w:hyperlink>
      <w:r>
        <w:rPr>
          <w:i/>
          <w:color w:val="667780"/>
          <w:sz w:val="16"/>
        </w:rPr>
        <w:t xml:space="preserve"> Structured, ordered clinical data capture and QuestionnaireResponse.</w:t>
      </w:r>
    </w:p>
    <w:p>
      <w:pPr>
        <w:spacing w:after="100"/>
        <w:ind w:left="259" w:hanging="259"/>
      </w:pPr>
      <w:r>
        <w:rPr>
          <w:b/>
          <w:color w:val="0E7582"/>
        </w:rPr>
        <w:t xml:space="preserve">[R7] </w:t>
      </w:r>
      <w:r>
        <w:rPr>
          <w:sz w:val="16"/>
        </w:rPr>
        <w:t xml:space="preserve">US Department of Health and Human Services. The HIPAA Security Rule. Page reviewed March 2026. </w:t>
      </w:r>
      <w:hyperlink r:id="rId24">
        <w:r>
          <w:rPr>
            <w:color w:val="0E7582"/>
            <w:u w:val="single"/>
          </w:rPr>
          <w:t>https://www.hhs.gov/hipaa/for-professionals/security/index.html</w:t>
        </w:r>
      </w:hyperlink>
      <w:r>
        <w:rPr>
          <w:i/>
          <w:color w:val="667780"/>
          <w:sz w:val="16"/>
        </w:rPr>
        <w:t xml:space="preserve"> Administrative, physical, and technical safeguards for ePHI.</w:t>
      </w:r>
    </w:p>
    <w:p>
      <w:pPr>
        <w:spacing w:after="100"/>
        <w:ind w:left="259" w:hanging="259"/>
      </w:pPr>
      <w:r>
        <w:rPr>
          <w:b/>
          <w:color w:val="0E7582"/>
        </w:rPr>
        <w:t xml:space="preserve">[R8] </w:t>
      </w:r>
      <w:r>
        <w:rPr>
          <w:sz w:val="16"/>
        </w:rPr>
        <w:t xml:space="preserve">US Federal Trade Commission. Health Breach Notification Rule. Final rule notice 2024. </w:t>
      </w:r>
      <w:hyperlink r:id="rId25">
        <w:r>
          <w:rPr>
            <w:color w:val="0E7582"/>
            <w:u w:val="single"/>
          </w:rPr>
          <w:t>https://www.ftc.gov/legal-library/browse/rules/health-breach-notification-rule</w:t>
        </w:r>
      </w:hyperlink>
      <w:r>
        <w:rPr>
          <w:i/>
          <w:color w:val="667780"/>
          <w:sz w:val="16"/>
        </w:rPr>
        <w:t xml:space="preserve"> May apply to vendors of personal health records and related entities.</w:t>
      </w:r>
    </w:p>
    <w:p>
      <w:pPr>
        <w:spacing w:after="100"/>
        <w:ind w:left="259" w:hanging="259"/>
      </w:pPr>
      <w:r>
        <w:rPr>
          <w:b/>
          <w:color w:val="0E7582"/>
        </w:rPr>
        <w:t xml:space="preserve">[M1] </w:t>
      </w:r>
      <w:r>
        <w:rPr>
          <w:sz w:val="16"/>
        </w:rPr>
        <w:t xml:space="preserve">American Academy of Pediatrics. About the AAP. Accessed 2026. </w:t>
      </w:r>
      <w:hyperlink r:id="rId26">
        <w:r>
          <w:rPr>
            <w:color w:val="0E7582"/>
            <w:u w:val="single"/>
          </w:rPr>
          <w:t>https://www.aap.org/en/about-the-aap/</w:t>
        </w:r>
      </w:hyperlink>
      <w:r>
        <w:rPr>
          <w:i/>
          <w:color w:val="667780"/>
          <w:sz w:val="16"/>
        </w:rPr>
        <w:t xml:space="preserve"> AAP page cites reach to 67,000 board-certified members; use as an audience anchor, not total market size.</w:t>
      </w:r>
    </w:p>
    <w:p>
      <w:pPr>
        <w:spacing w:after="100"/>
        <w:ind w:left="259" w:hanging="259"/>
      </w:pPr>
      <w:r>
        <w:rPr>
          <w:b/>
          <w:color w:val="0E7582"/>
        </w:rPr>
        <w:t xml:space="preserve">[M2] </w:t>
      </w:r>
      <w:r>
        <w:rPr>
          <w:sz w:val="16"/>
        </w:rPr>
        <w:t xml:space="preserve">MDCalc. About MDCalc. Accessed 2026. </w:t>
      </w:r>
      <w:hyperlink r:id="rId27">
        <w:r>
          <w:rPr>
            <w:color w:val="0E7582"/>
            <w:u w:val="single"/>
          </w:rPr>
          <w:t>https://www.mdcalc.com/about-us</w:t>
        </w:r>
      </w:hyperlink>
      <w:r>
        <w:rPr>
          <w:i/>
          <w:color w:val="667780"/>
          <w:sz w:val="16"/>
        </w:rPr>
        <w:t xml:space="preserve"> Vendor claims and product-selection criteria; benchmark only.</w:t>
      </w:r>
    </w:p>
    <w:p>
      <w:pPr>
        <w:spacing w:after="100"/>
        <w:ind w:left="259" w:hanging="259"/>
      </w:pPr>
      <w:r>
        <w:rPr>
          <w:b/>
          <w:color w:val="0E7582"/>
        </w:rPr>
        <w:t xml:space="preserve">[M3] </w:t>
      </w:r>
      <w:r>
        <w:rPr>
          <w:sz w:val="16"/>
        </w:rPr>
        <w:t xml:space="preserve">MDCalc. MDCalc for EHR. Accessed 2026. </w:t>
      </w:r>
      <w:hyperlink r:id="rId28">
        <w:r>
          <w:rPr>
            <w:color w:val="0E7582"/>
            <w:u w:val="single"/>
          </w:rPr>
          <w:t>https://ehr.mdcalc.com/</w:t>
        </w:r>
      </w:hyperlink>
      <w:r>
        <w:rPr>
          <w:i/>
          <w:color w:val="667780"/>
          <w:sz w:val="16"/>
        </w:rPr>
        <w:t xml:space="preserve"> Vendor claims regarding autofill, analytics, SSO, cloud updates, and SMART-on-FHIR.</w:t>
      </w:r>
    </w:p>
    <w:p>
      <w:pPr>
        <w:spacing w:after="100"/>
        <w:ind w:left="259" w:hanging="259"/>
      </w:pPr>
      <w:r>
        <w:rPr>
          <w:b/>
          <w:color w:val="0E7582"/>
        </w:rPr>
        <w:t xml:space="preserve">[M4] </w:t>
      </w:r>
      <w:r>
        <w:rPr>
          <w:sz w:val="16"/>
        </w:rPr>
        <w:t xml:space="preserve">Wolters Kluwer. UpToDate clinical solutions. Accessed 2026. </w:t>
      </w:r>
      <w:hyperlink r:id="rId29">
        <w:r>
          <w:rPr>
            <w:color w:val="0E7582"/>
            <w:u w:val="single"/>
          </w:rPr>
          <w:t>https://www.wolterskluwer.com/en/solutions/uptodate</w:t>
        </w:r>
      </w:hyperlink>
      <w:r>
        <w:rPr>
          <w:i/>
          <w:color w:val="667780"/>
          <w:sz w:val="16"/>
        </w:rPr>
        <w:t xml:space="preserve"> Vendor claims about individual and enterprise suites, editorial network, EHR access, CME, and patient engagement.</w:t>
      </w:r>
    </w:p>
    <w:p>
      <w:pPr>
        <w:spacing w:after="100"/>
        <w:ind w:left="259" w:hanging="259"/>
      </w:pPr>
      <w:r>
        <w:rPr>
          <w:b/>
          <w:color w:val="0E7582"/>
        </w:rPr>
        <w:t xml:space="preserve">[M5] </w:t>
      </w:r>
      <w:r>
        <w:rPr>
          <w:sz w:val="16"/>
        </w:rPr>
        <w:t xml:space="preserve">VisualDx. VisualDx. Accessed 2026. </w:t>
      </w:r>
      <w:hyperlink r:id="rId30">
        <w:r>
          <w:rPr>
            <w:color w:val="0E7582"/>
            <w:u w:val="single"/>
          </w:rPr>
          <w:t>https://www.visualdx.com/</w:t>
        </w:r>
      </w:hyperlink>
      <w:r>
        <w:rPr>
          <w:i/>
          <w:color w:val="667780"/>
          <w:sz w:val="16"/>
        </w:rPr>
        <w:t xml:space="preserve"> Vendor feature benchmark: patient explainers, EHR, SSO, API, usage/reporting.</w:t>
      </w:r>
    </w:p>
    <w:p>
      <w:pPr>
        <w:spacing w:after="100"/>
        <w:ind w:left="259" w:hanging="259"/>
      </w:pPr>
      <w:r>
        <w:rPr>
          <w:b/>
          <w:color w:val="0E7582"/>
        </w:rPr>
        <w:t xml:space="preserve">[M6] </w:t>
      </w:r>
      <w:r>
        <w:rPr>
          <w:sz w:val="16"/>
        </w:rPr>
        <w:t xml:space="preserve">EvidenceCare. BetterCare Platform. Accessed 2026. </w:t>
      </w:r>
      <w:hyperlink r:id="rId31">
        <w:r>
          <w:rPr>
            <w:color w:val="0E7582"/>
            <w:u w:val="single"/>
          </w:rPr>
          <w:t>https://evidence.care/</w:t>
        </w:r>
      </w:hyperlink>
      <w:r>
        <w:rPr>
          <w:i/>
          <w:color w:val="667780"/>
          <w:sz w:val="16"/>
        </w:rPr>
        <w:t xml:space="preserve"> Vendor positioning around clinical and financial outcomes; ROI claim not independently verified here.</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Pediatric CDS Commercialization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1821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2F3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E7582"/>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324A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324A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667780"/>
      <w:sz w:val="15"/>
    </w:rPr>
  </w:style>
  <w:style w:type="paragraph" w:customStyle="1" w:styleId="CaptionCustom">
    <w:name w:val="Caption Custom"/>
    <w:pPr>
      <w:spacing w:after="120"/>
      <w:jc w:val="center"/>
    </w:pPr>
    <w:rPr>
      <w:rFonts w:ascii="Aptos" w:hAnsi="Aptos"/>
      <w:i/>
      <w:color w:val="667780"/>
      <w:sz w:val="16"/>
    </w:rPr>
  </w:style>
  <w:style w:type="paragraph" w:customStyle="1" w:styleId="CodeSmall">
    <w:name w:val="Code Small"/>
    <w:pPr>
      <w:spacing w:after="100"/>
      <w:ind w:left="259" w:right="259"/>
    </w:pPr>
    <w:rPr>
      <w:rFonts w:ascii="DejaVu Sans Mono" w:hAnsi="DejaVu Sans Mono"/>
      <w:color w:val="123E4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ublications.aap.org/pediatrics/article/158/1/e2026077414/207901/Prevention-Screening-Diagnosis-and-Treatment-of" TargetMode="External"/><Relationship Id="rId14" Type="http://schemas.openxmlformats.org/officeDocument/2006/relationships/hyperlink" Target="https://www.who.int/publications/i/item/9789240088542" TargetMode="External"/><Relationship Id="rId15" Type="http://schemas.openxmlformats.org/officeDocument/2006/relationships/hyperlink" Target="https://doi.org/10.1182/blood.2021013018" TargetMode="External"/><Relationship Id="rId16" Type="http://schemas.openxmlformats.org/officeDocument/2006/relationships/hyperlink" Target="https://www.cdc.gov/lead-prevention/hcp/clinical-guidance/index.html" TargetMode="External"/><Relationship Id="rId17" Type="http://schemas.openxmlformats.org/officeDocument/2006/relationships/hyperlink" Target="https://pubmed.ncbi.nlm.nih.gov/?term=Laboratory+diagnosis+of+G6PD+deficiency+British+Society+for+Haematology" TargetMode="External"/><Relationship Id="rId18" Type="http://schemas.openxmlformats.org/officeDocument/2006/relationships/hyperlink" Target="https://www.fda.gov/regulatory-information/search-fda-guidance-documents/clinical-decision-support-software" TargetMode="External"/><Relationship Id="rId19" Type="http://schemas.openxmlformats.org/officeDocument/2006/relationships/hyperlink" Target="https://www.who.int/teams/digital-health-and-innovation/smart-guidelines" TargetMode="External"/><Relationship Id="rId20" Type="http://schemas.openxmlformats.org/officeDocument/2006/relationships/hyperlink" Target="https://hl7.org/fhir/smart-app-launch/" TargetMode="External"/><Relationship Id="rId21" Type="http://schemas.openxmlformats.org/officeDocument/2006/relationships/hyperlink" Target="https://cds-hooks.hl7.org/" TargetMode="External"/><Relationship Id="rId22" Type="http://schemas.openxmlformats.org/officeDocument/2006/relationships/hyperlink" Target="https://hl7.org/fhir/R4/plandefinition.html" TargetMode="External"/><Relationship Id="rId23" Type="http://schemas.openxmlformats.org/officeDocument/2006/relationships/hyperlink" Target="https://www.hl7.org/fhir/questionnaire.html" TargetMode="External"/><Relationship Id="rId24" Type="http://schemas.openxmlformats.org/officeDocument/2006/relationships/hyperlink" Target="https://www.hhs.gov/hipaa/for-professionals/security/index.html" TargetMode="External"/><Relationship Id="rId25" Type="http://schemas.openxmlformats.org/officeDocument/2006/relationships/hyperlink" Target="https://www.ftc.gov/legal-library/browse/rules/health-breach-notification-rule" TargetMode="External"/><Relationship Id="rId26" Type="http://schemas.openxmlformats.org/officeDocument/2006/relationships/hyperlink" Target="https://www.aap.org/en/about-the-aap/" TargetMode="External"/><Relationship Id="rId27" Type="http://schemas.openxmlformats.org/officeDocument/2006/relationships/hyperlink" Target="https://www.mdcalc.com/about-us" TargetMode="External"/><Relationship Id="rId28" Type="http://schemas.openxmlformats.org/officeDocument/2006/relationships/hyperlink" Target="https://ehr.mdcalc.com/" TargetMode="External"/><Relationship Id="rId29" Type="http://schemas.openxmlformats.org/officeDocument/2006/relationships/hyperlink" Target="https://www.wolterskluwer.com/en/solutions/uptodate" TargetMode="External"/><Relationship Id="rId30" Type="http://schemas.openxmlformats.org/officeDocument/2006/relationships/hyperlink" Target="https://www.visualdx.com/" TargetMode="External"/><Relationship Id="rId31" Type="http://schemas.openxmlformats.org/officeDocument/2006/relationships/hyperlink" Target="https://evidence.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CDS Commercialization Strategy</dc:title>
  <dc:subject>Pediatric clinical decision support strategy and specification</dc:subject>
  <dc:creator>OpenAI, prepared for Nick Miethe</dc:creator>
  <cp:keywords>pediatrics, anemia, clinical decision support, FHIR, evidence,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