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6" w:name="X47753f463931912f2a84eb915e10aca28d9bdb2"/>
    <w:p>
      <w:pPr>
        <w:pStyle w:val="Heading1"/>
        <w:spacing w:before="840" w:after="360"/>
        <w:jc w:val="left"/>
        <w:keepNext/>
        <w:keepLines/>
        <w:pBdr>
          <w:bottom w:val="single" w:sz="18" w:space="10" w:color="2A6F97"/>
        </w:pBdr>
      </w:pPr>
      <w:r>
        <w:t xml:space="preserve">Research Foundry and Evidence Foundry Source Reuse &amp; Rights Governance Specification</w:t>
      </w:r>
    </w:p>
    <w:p>
      <w:pPr>
        <w:pStyle w:val="FirstParagraph"/>
        <w:spacing w:after="40"/>
        <w:ind w:left="173"/>
      </w:pPr>
      <w:r>
        <w:rPr>
          <w:b/>
          <w:bCs/>
          <w:sz w:val="19"/>
        </w:rPr>
        <w:t xml:space="preserve">Version:</w:t>
      </w:r>
      <w:r>
        <w:rPr>
          <w:sz w:val="19"/>
        </w:rPr>
        <w:t xml:space="preserve"> </w:t>
      </w:r>
      <w:r>
        <w:rPr>
          <w:sz w:val="19"/>
        </w:rPr>
        <w:t xml:space="preserve">1.0.0</w:t>
      </w:r>
      <w:r>
        <w:rPr>
          <w:sz w:val="19"/>
        </w:rPr>
        <w:br/>
      </w:r>
      <w:r>
        <w:rPr>
          <w:b/>
          <w:bCs/>
          <w:sz w:val="19"/>
        </w:rPr>
        <w:t xml:space="preserve">Status:</w:t>
      </w:r>
      <w:r>
        <w:rPr>
          <w:sz w:val="19"/>
        </w:rPr>
        <w:t xml:space="preserve"> </w:t>
      </w:r>
      <w:r>
        <w:rPr>
          <w:sz w:val="19"/>
        </w:rPr>
        <w:t xml:space="preserve">Internal implementation specification</w:t>
      </w:r>
      <w:r>
        <w:rPr>
          <w:sz w:val="19"/>
        </w:rPr>
        <w:br/>
      </w:r>
      <w:r>
        <w:rPr>
          <w:b/>
          <w:bCs/>
          <w:sz w:val="19"/>
        </w:rPr>
        <w:t xml:space="preserve">Verified through:</w:t>
      </w:r>
      <w:r>
        <w:rPr>
          <w:sz w:val="19"/>
        </w:rPr>
        <w:t xml:space="preserve"> </w:t>
      </w:r>
      <w:r>
        <w:rPr>
          <w:sz w:val="19"/>
        </w:rPr>
        <w:t xml:space="preserve">2026-07-21</w:t>
      </w:r>
      <w:r>
        <w:rPr>
          <w:sz w:val="19"/>
        </w:rPr>
        <w:br/>
      </w:r>
      <w:r>
        <w:rPr>
          <w:b/>
          <w:bCs/>
          <w:sz w:val="19"/>
        </w:rPr>
        <w:t xml:space="preserve">Primary jurisdiction:</w:t>
      </w:r>
      <w:r>
        <w:rPr>
          <w:sz w:val="19"/>
        </w:rPr>
        <w:t xml:space="preserve"> </w:t>
      </w:r>
      <w:r>
        <w:rPr>
          <w:sz w:val="19"/>
        </w:rPr>
        <w:t xml:space="preserve">United States, with global escalation requirements</w:t>
      </w:r>
      <w:r>
        <w:rPr>
          <w:sz w:val="19"/>
        </w:rPr>
        <w:br/>
      </w:r>
      <w:r>
        <w:rPr>
          <w:b/>
          <w:bCs/>
          <w:sz w:val="19"/>
        </w:rPr>
        <w:t xml:space="preserve">Applies to:</w:t>
      </w:r>
      <w:r>
        <w:rPr>
          <w:sz w:val="19"/>
        </w:rPr>
        <w:t xml:space="preserve"> </w:t>
      </w:r>
      <w:r>
        <w:rPr>
          <w:sz w:val="19"/>
        </w:rPr>
        <w:t xml:space="preserve">Research Foundry, Evidence Foundry, PedsLab Pathways, Evidence Foundry Runtime, research agents, evidence-extraction agents, clinical-rule agents, content reviewers, product engineers, and release managers</w:t>
      </w:r>
    </w:p>
    <w:p>
      <w:pPr>
        <w:pStyle w:val="BlockText"/>
        <w:ind w:left="259" w:right="259"/>
      </w:pPr>
      <w:r>
        <w:rPr>
          <w:b/>
          <w:bCs/>
        </w:rPr>
        <w:t xml:space="preserve">Important:</w:t>
      </w:r>
      <w:r>
        <w:t xml:space="preserve"> </w:t>
      </w:r>
      <w:r>
        <w:t xml:space="preserve">This document is an operational governance specification, not a legal opinion. It deliberately uses conservative defaults. Product counsel should review the actual source licenses, access agreements, intended product functions, jurisdictions, and release package before commercial launch.</w:t>
      </w:r>
    </w:p>
    <w:p>
      <w:r>
        <w:pict>
          <v:rect style="width:0;height:1.5pt" o:hralign="center" o:hrstd="t" o:hr="t"/>
        </w:pict>
      </w:r>
    </w:p>
    <w:bookmarkStart w:id="20" w:name="Xe656c7b6450ec476f453091ff6f524ec7bd654f"/>
    <w:p>
      <w:pPr>
        <w:pStyle w:val="Heading2"/>
        <w:keepNext/>
        <w:keepLines/>
        <w:pageBreakBefore/>
      </w:pPr>
      <w:r>
        <w:t xml:space="preserve">1. Purpose</w:t>
      </w:r>
    </w:p>
    <w:p>
      <w:pPr>
        <w:pStyle w:val="FirstParagraph"/>
      </w:pPr>
      <w:r>
        <w:t xml:space="preserve">This specification defines how Research Foundry and the Evidence Foundry beneath it may discover, access, analyze, extract, transform, store, cite, encode, and ship knowledge obtained from scientific publications, clinical guidelines, professional-society products, standards, datasets, questionnaires, software, images, and other third-party sources.</w:t>
      </w:r>
    </w:p>
    <w:p>
      <w:pPr>
        <w:pStyle w:val="BodyText"/>
      </w:pPr>
      <w:r>
        <w:t xml:space="preserve">It resolves a common but consequential misunderstanding:</w:t>
      </w:r>
    </w:p>
    <w:p>
      <w:pPr>
        <w:pStyle w:val="Compact"/>
        <w:numPr>
          <w:ilvl w:val="0"/>
          <w:numId w:val="1001"/>
        </w:numPr>
      </w:pPr>
      <w:r>
        <w:rPr>
          <w:b/>
          <w:bCs/>
        </w:rPr>
        <w:t xml:space="preserve">Scientific knowledge is meant to be learned and used.</w:t>
      </w:r>
    </w:p>
    <w:p>
      <w:pPr>
        <w:pStyle w:val="Compact"/>
        <w:numPr>
          <w:ilvl w:val="0"/>
          <w:numId w:val="1001"/>
        </w:numPr>
      </w:pPr>
      <w:r>
        <w:rPr>
          <w:b/>
          <w:bCs/>
        </w:rPr>
        <w:t xml:space="preserve">Copyright may protect the source’s expression, presentation, and compilation, not the underlying facts, methods, systems, or discoveries.</w:t>
      </w:r>
    </w:p>
    <w:p>
      <w:pPr>
        <w:pStyle w:val="Compact"/>
        <w:numPr>
          <w:ilvl w:val="0"/>
          <w:numId w:val="1001"/>
        </w:numPr>
      </w:pPr>
      <w:r>
        <w:rPr>
          <w:b/>
          <w:bCs/>
        </w:rPr>
        <w:t xml:space="preserve">A subscription or purchase grants only the rights stated in the applicable agreement.</w:t>
      </w:r>
    </w:p>
    <w:p>
      <w:pPr>
        <w:pStyle w:val="Compact"/>
        <w:numPr>
          <w:ilvl w:val="0"/>
          <w:numId w:val="1001"/>
        </w:numPr>
      </w:pPr>
      <w:r>
        <w:rPr>
          <w:b/>
          <w:bCs/>
        </w:rPr>
        <w:t xml:space="preserve">Attribution proves provenance; it does not itself grant permission.</w:t>
      </w:r>
    </w:p>
    <w:p>
      <w:pPr>
        <w:pStyle w:val="Compact"/>
        <w:numPr>
          <w:ilvl w:val="0"/>
          <w:numId w:val="1001"/>
        </w:numPr>
      </w:pPr>
      <w:r>
        <w:rPr>
          <w:b/>
          <w:bCs/>
        </w:rPr>
        <w:t xml:space="preserve">A source can be clinically authoritative but legally restricted, or legally reusable but clinically weak.</w:t>
      </w:r>
    </w:p>
    <w:p>
      <w:pPr>
        <w:pStyle w:val="FirstParagraph"/>
      </w:pPr>
      <w:r>
        <w:t xml:space="preserve">Research Foundry must therefore track three independent dimensions:</w:t>
      </w:r>
    </w:p>
    <w:p>
      <w:pPr>
        <w:pStyle w:val="Compact"/>
        <w:numPr>
          <w:ilvl w:val="0"/>
          <w:numId w:val="1002"/>
        </w:numPr>
      </w:pPr>
      <w:r>
        <w:rPr>
          <w:b/>
          <w:bCs/>
        </w:rPr>
        <w:t xml:space="preserve">Evidence quality and clinical applicability</w:t>
      </w:r>
    </w:p>
    <w:p>
      <w:pPr>
        <w:pStyle w:val="Compact"/>
        <w:numPr>
          <w:ilvl w:val="0"/>
          <w:numId w:val="1002"/>
        </w:numPr>
      </w:pPr>
      <w:r>
        <w:rPr>
          <w:b/>
          <w:bCs/>
        </w:rPr>
        <w:t xml:space="preserve">Reuse rights and contractual permissions</w:t>
      </w:r>
    </w:p>
    <w:p>
      <w:pPr>
        <w:pStyle w:val="Compact"/>
        <w:numPr>
          <w:ilvl w:val="0"/>
          <w:numId w:val="1002"/>
        </w:numPr>
      </w:pPr>
      <w:r>
        <w:rPr>
          <w:b/>
          <w:bCs/>
        </w:rPr>
        <w:t xml:space="preserve">Clinical/regulatory suitability for the intended product function</w:t>
      </w:r>
    </w:p>
    <w:p>
      <w:pPr>
        <w:pStyle w:val="FirstParagraph"/>
      </w:pPr>
      <w:r>
        <w:t xml:space="preserve">No one dimension substitutes for the others.</w:t>
      </w:r>
    </w:p>
    <w:p>
      <w:r>
        <w:pict>
          <v:rect style="width:0;height:1.5pt" o:hralign="center" o:hrstd="t" o:hr="t"/>
        </w:pict>
      </w:r>
    </w:p>
    <w:bookmarkEnd w:id="20"/>
    <w:bookmarkStart w:id="25" w:name="X5d5badeaec5f47c631c3e1c9191b9eecb179a0a"/>
    <w:p>
      <w:pPr>
        <w:pStyle w:val="Heading2"/>
        <w:keepNext/>
        <w:keepLines/>
      </w:pPr>
      <w:r>
        <w:t xml:space="preserve">2. Executive policy</w:t>
      </w:r>
    </w:p>
    <w:bookmarkStart w:id="21" w:name="Xed55cc95e0f16fe6efb8d951cd11edf290b1d8f"/>
    <w:p>
      <w:pPr>
        <w:pStyle w:val="Heading3"/>
        <w:keepNext/>
        <w:keepLines/>
      </w:pPr>
      <w:r>
        <w:t xml:space="preserve">2.1 Default position</w:t>
      </w:r>
    </w:p>
    <w:p>
      <w:pPr>
        <w:pStyle w:val="FirstParagraph"/>
      </w:pPr>
      <w:r>
        <w:t xml:space="preserve">Research Foundry may ordinarily use lawfully accessed publications to learn, evaluate, and independently state factual findings. Evidence Foundry may ordinarily encode independently authored deterministic logic based on uncopyrightable facts, discoveries, equations, methods, and clinical procedures, subject to:</w:t>
      </w:r>
    </w:p>
    <w:p>
      <w:pPr>
        <w:pStyle w:val="Compact"/>
        <w:numPr>
          <w:ilvl w:val="0"/>
          <w:numId w:val="1003"/>
        </w:numPr>
      </w:pPr>
      <w:r>
        <w:t xml:space="preserve">the specific source-access agreement;</w:t>
      </w:r>
    </w:p>
    <w:p>
      <w:pPr>
        <w:pStyle w:val="Compact"/>
        <w:numPr>
          <w:ilvl w:val="0"/>
          <w:numId w:val="1003"/>
        </w:numPr>
      </w:pPr>
      <w:r>
        <w:t xml:space="preserve">patents or other intellectual-property rights;</w:t>
      </w:r>
    </w:p>
    <w:p>
      <w:pPr>
        <w:pStyle w:val="Compact"/>
        <w:numPr>
          <w:ilvl w:val="0"/>
          <w:numId w:val="1003"/>
        </w:numPr>
      </w:pPr>
      <w:r>
        <w:t xml:space="preserve">compilation and database rights;</w:t>
      </w:r>
    </w:p>
    <w:p>
      <w:pPr>
        <w:pStyle w:val="Compact"/>
        <w:numPr>
          <w:ilvl w:val="0"/>
          <w:numId w:val="1003"/>
        </w:numPr>
      </w:pPr>
      <w:r>
        <w:t xml:space="preserve">trademark and endorsement restrictions;</w:t>
      </w:r>
    </w:p>
    <w:p>
      <w:pPr>
        <w:pStyle w:val="Compact"/>
        <w:numPr>
          <w:ilvl w:val="0"/>
          <w:numId w:val="1003"/>
        </w:numPr>
      </w:pPr>
      <w:r>
        <w:t xml:space="preserve">privacy, confidentiality, and data-use obligations;</w:t>
      </w:r>
    </w:p>
    <w:p>
      <w:pPr>
        <w:pStyle w:val="Compact"/>
        <w:numPr>
          <w:ilvl w:val="0"/>
          <w:numId w:val="1003"/>
        </w:numPr>
      </w:pPr>
      <w:r>
        <w:t xml:space="preserve">the amount and structure extracted;</w:t>
      </w:r>
    </w:p>
    <w:p>
      <w:pPr>
        <w:pStyle w:val="Compact"/>
        <w:numPr>
          <w:ilvl w:val="0"/>
          <w:numId w:val="1003"/>
        </w:numPr>
      </w:pPr>
      <w:r>
        <w:t xml:space="preserve">the intended commercial and product use;</w:t>
      </w:r>
    </w:p>
    <w:p>
      <w:pPr>
        <w:pStyle w:val="Compact"/>
        <w:numPr>
          <w:ilvl w:val="0"/>
          <w:numId w:val="1003"/>
        </w:numPr>
      </w:pPr>
      <w:r>
        <w:t xml:space="preserve">jurisdiction-specific law;</w:t>
      </w:r>
    </w:p>
    <w:p>
      <w:pPr>
        <w:pStyle w:val="Compact"/>
        <w:numPr>
          <w:ilvl w:val="0"/>
          <w:numId w:val="1003"/>
        </w:numPr>
      </w:pPr>
      <w:r>
        <w:t xml:space="preserve">clinical validation and regulatory requirements.</w:t>
      </w:r>
    </w:p>
    <w:bookmarkEnd w:id="21"/>
    <w:bookmarkStart w:id="22" w:name="X895a11d8717a96df6843dab3b8a5caead1aa715"/>
    <w:p>
      <w:pPr>
        <w:pStyle w:val="Heading3"/>
        <w:keepNext/>
        <w:keepLines/>
      </w:pPr>
      <w:r>
        <w:t xml:space="preserve">2.2 Default prohibition</w:t>
      </w:r>
    </w:p>
    <w:p>
      <w:pPr>
        <w:pStyle w:val="FirstParagraph"/>
      </w:pPr>
      <w:r>
        <w:t xml:space="preserve">Agents must not assume that payment, subscription access, public availability, open access, PMC availability, citation, or clinical custom grants the right to reproduce or redistribute source content.</w:t>
      </w:r>
    </w:p>
    <w:p>
      <w:pPr>
        <w:pStyle w:val="BodyText"/>
      </w:pPr>
      <w:r>
        <w:t xml:space="preserve">Without verified permission or a compatible license, the shipped product must not include:</w:t>
      </w:r>
    </w:p>
    <w:p>
      <w:pPr>
        <w:pStyle w:val="Compact"/>
        <w:numPr>
          <w:ilvl w:val="0"/>
          <w:numId w:val="1004"/>
        </w:numPr>
      </w:pPr>
      <w:r>
        <w:t xml:space="preserve">copied article or guideline prose;</w:t>
      </w:r>
    </w:p>
    <w:p>
      <w:pPr>
        <w:pStyle w:val="Compact"/>
        <w:numPr>
          <w:ilvl w:val="0"/>
          <w:numId w:val="1004"/>
        </w:numPr>
      </w:pPr>
      <w:r>
        <w:t xml:space="preserve">copied or lightly redrawn figures, tables, charts, nomograms, or decision trees;</w:t>
      </w:r>
    </w:p>
    <w:p>
      <w:pPr>
        <w:pStyle w:val="Compact"/>
        <w:numPr>
          <w:ilvl w:val="0"/>
          <w:numId w:val="1004"/>
        </w:numPr>
      </w:pPr>
      <w:r>
        <w:t xml:space="preserve">substantial portions of a curated proprietary knowledge base;</w:t>
      </w:r>
    </w:p>
    <w:p>
      <w:pPr>
        <w:pStyle w:val="Compact"/>
        <w:numPr>
          <w:ilvl w:val="0"/>
          <w:numId w:val="1004"/>
        </w:numPr>
      </w:pPr>
      <w:r>
        <w:t xml:space="preserve">proprietary questionnaires, forms, scoring instruments, or patient handouts;</w:t>
      </w:r>
    </w:p>
    <w:p>
      <w:pPr>
        <w:pStyle w:val="Compact"/>
        <w:numPr>
          <w:ilvl w:val="0"/>
          <w:numId w:val="1004"/>
        </w:numPr>
      </w:pPr>
      <w:r>
        <w:t xml:space="preserve">publisher or society branding suggesting approval or endorsement;</w:t>
      </w:r>
    </w:p>
    <w:p>
      <w:pPr>
        <w:pStyle w:val="Compact"/>
        <w:numPr>
          <w:ilvl w:val="0"/>
          <w:numId w:val="1004"/>
        </w:numPr>
      </w:pPr>
      <w:r>
        <w:t xml:space="preserve">full-text source documents or source-derived content that substitutes for the original product;</w:t>
      </w:r>
    </w:p>
    <w:p>
      <w:pPr>
        <w:pStyle w:val="Compact"/>
        <w:numPr>
          <w:ilvl w:val="0"/>
          <w:numId w:val="1004"/>
        </w:numPr>
      </w:pPr>
      <w:r>
        <w:t xml:space="preserve">content obtained through prohibited scraping, paywall circumvention, credential sharing, or unauthorized bulk retrieval.</w:t>
      </w:r>
    </w:p>
    <w:bookmarkEnd w:id="22"/>
    <w:bookmarkStart w:id="23" w:name="X06be09fb8d247890bca65d489039b550ad16990"/>
    <w:p>
      <w:pPr>
        <w:pStyle w:val="Heading3"/>
        <w:keepNext/>
        <w:keepLines/>
      </w:pPr>
      <w:r>
        <w:t xml:space="preserve">2.3 Preferred implementation pattern</w:t>
      </w:r>
    </w:p>
    <w:p>
      <w:pPr>
        <w:pStyle w:val="FirstParagraph"/>
      </w:pPr>
      <w:r>
        <w:t xml:space="preserve">The preferred implementation pattern is:</w:t>
      </w:r>
    </w:p>
    <w:p>
      <w:pPr>
        <w:pStyle w:val="Compact"/>
        <w:numPr>
          <w:ilvl w:val="0"/>
          <w:numId w:val="1005"/>
        </w:numPr>
      </w:pPr>
      <w:r>
        <w:t xml:space="preserve">Find the strongest primary and authoritative sources.</w:t>
      </w:r>
    </w:p>
    <w:p>
      <w:pPr>
        <w:pStyle w:val="Compact"/>
        <w:numPr>
          <w:ilvl w:val="0"/>
          <w:numId w:val="1005"/>
        </w:numPr>
      </w:pPr>
      <w:r>
        <w:t xml:space="preserve">Verify the article-level license and access terms.</w:t>
      </w:r>
    </w:p>
    <w:p>
      <w:pPr>
        <w:pStyle w:val="Compact"/>
        <w:numPr>
          <w:ilvl w:val="0"/>
          <w:numId w:val="1005"/>
        </w:numPr>
      </w:pPr>
      <w:r>
        <w:t xml:space="preserve">Extract atomic factual claims with precise source locators.</w:t>
      </w:r>
    </w:p>
    <w:p>
      <w:pPr>
        <w:pStyle w:val="Compact"/>
        <w:numPr>
          <w:ilvl w:val="0"/>
          <w:numId w:val="1005"/>
        </w:numPr>
      </w:pPr>
      <w:r>
        <w:t xml:space="preserve">Separate the underlying fact or method from the source’s expression.</w:t>
      </w:r>
    </w:p>
    <w:p>
      <w:pPr>
        <w:pStyle w:val="Compact"/>
        <w:numPr>
          <w:ilvl w:val="0"/>
          <w:numId w:val="1005"/>
        </w:numPr>
      </w:pPr>
      <w:r>
        <w:t xml:space="preserve">Write original rule logic and original product explanations.</w:t>
      </w:r>
    </w:p>
    <w:p>
      <w:pPr>
        <w:pStyle w:val="Compact"/>
        <w:numPr>
          <w:ilvl w:val="0"/>
          <w:numId w:val="1005"/>
        </w:numPr>
      </w:pPr>
      <w:r>
        <w:t xml:space="preserve">Validate the clinical logic independently.</w:t>
      </w:r>
    </w:p>
    <w:p>
      <w:pPr>
        <w:pStyle w:val="Compact"/>
        <w:numPr>
          <w:ilvl w:val="0"/>
          <w:numId w:val="1005"/>
        </w:numPr>
      </w:pPr>
      <w:r>
        <w:t xml:space="preserve">record source rights, component rights, and intended-use clearance.</w:t>
      </w:r>
    </w:p>
    <w:p>
      <w:pPr>
        <w:pStyle w:val="Compact"/>
        <w:numPr>
          <w:ilvl w:val="0"/>
          <w:numId w:val="1005"/>
        </w:numPr>
      </w:pPr>
      <w:r>
        <w:t xml:space="preserve">Ship only the facts, logic, citations, and explanations cleared for that release.</w:t>
      </w:r>
    </w:p>
    <w:bookmarkEnd w:id="23"/>
    <w:bookmarkStart w:id="24" w:name="Xd90185c6951851ee2b14e52dc3051fd116dc6a0"/>
    <w:p>
      <w:pPr>
        <w:pStyle w:val="Heading3"/>
        <w:keepNext/>
        <w:keepLines/>
      </w:pPr>
      <w:r>
        <w:t xml:space="preserve">2.4 Conservative release rule</w:t>
      </w:r>
    </w:p>
    <w:p>
      <w:pPr>
        <w:pStyle w:val="FirstParagraph"/>
      </w:pPr>
      <w:r>
        <w:t xml:space="preserve">A commercial release must be blocked when rights are</w:t>
      </w:r>
      <w:r>
        <w:t xml:space="preserve"> </w:t>
      </w:r>
      <w:r>
        <w:rPr>
          <w:b/>
          <w:bCs/>
        </w:rPr>
        <w:t xml:space="preserve">unknown</w:t>
      </w:r>
      <w:r>
        <w:t xml:space="preserve">,</w:t>
      </w:r>
      <w:r>
        <w:t xml:space="preserve"> </w:t>
      </w:r>
      <w:r>
        <w:rPr>
          <w:b/>
          <w:bCs/>
        </w:rPr>
        <w:t xml:space="preserve">materially disputed</w:t>
      </w:r>
      <w:r>
        <w:t xml:space="preserve">,</w:t>
      </w:r>
      <w:r>
        <w:t xml:space="preserve"> </w:t>
      </w:r>
      <w:r>
        <w:rPr>
          <w:b/>
          <w:bCs/>
        </w:rPr>
        <w:t xml:space="preserve">contractually restricted</w:t>
      </w:r>
      <w:r>
        <w:t xml:space="preserve">, or</w:t>
      </w:r>
      <w:r>
        <w:t xml:space="preserve"> </w:t>
      </w:r>
      <w:r>
        <w:rPr>
          <w:b/>
          <w:bCs/>
        </w:rPr>
        <w:t xml:space="preserve">dependent on a copied proprietary compilation</w:t>
      </w:r>
      <w:r>
        <w:t xml:space="preserve">, unless product counsel or the rights holder clears the intended use.</w:t>
      </w:r>
    </w:p>
    <w:p>
      <w:r>
        <w:pict>
          <v:rect style="width:0;height:1.5pt" o:hralign="center" o:hrstd="t" o:hr="t"/>
        </w:pict>
      </w:r>
    </w:p>
    <w:bookmarkEnd w:id="24"/>
    <w:bookmarkEnd w:id="25"/>
    <w:bookmarkStart w:id="37" w:name="Xeae4cbe9ae6c93eafe5f76bd07aba66e0709107"/>
    <w:p>
      <w:pPr>
        <w:pStyle w:val="Heading2"/>
        <w:keepNext/>
        <w:keepLines/>
      </w:pPr>
      <w:r>
        <w:t xml:space="preserve">3. Legal and operational foundation</w:t>
      </w:r>
    </w:p>
    <w:bookmarkStart w:id="26" w:name="Xb1adf3a7b9e63ac997992d0fa522af48eaa555c"/>
    <w:p>
      <w:pPr>
        <w:pStyle w:val="Heading3"/>
        <w:keepNext/>
        <w:keepLines/>
      </w:pPr>
      <w:r>
        <w:t xml:space="preserve">3.1 Facts, methods, systems, procedures, and discoveries</w:t>
      </w:r>
    </w:p>
    <w:p>
      <w:pPr>
        <w:pStyle w:val="FirstParagraph"/>
      </w:pPr>
      <w:r>
        <w:t xml:space="preserve">Under 17 U.S.C. § 102(b), copyright protection does not extend to an idea, procedure, process, system, method of operation, concept, principle, or discovery, regardless of how it is described or illustrated. The U.S. Copyright Office likewise states that copyright does not protect facts, ideas, systems, or methods of operation, though it may protect the way they are expressed. [S1][S2]</w:t>
      </w:r>
    </w:p>
    <w:p>
      <w:pPr>
        <w:pStyle w:val="BodyText"/>
      </w:pPr>
      <w:r>
        <w:t xml:space="preserve">Operational consequence:</w:t>
      </w:r>
    </w:p>
    <w:p>
      <w:pPr>
        <w:pStyle w:val="Compact"/>
        <w:numPr>
          <w:ilvl w:val="0"/>
          <w:numId w:val="1006"/>
        </w:numPr>
      </w:pPr>
      <w:r>
        <w:t xml:space="preserve">A reported numeric result, observed association, equation, measurement, or clinical method can often be independently described and used.</w:t>
      </w:r>
    </w:p>
    <w:p>
      <w:pPr>
        <w:pStyle w:val="Compact"/>
        <w:numPr>
          <w:ilvl w:val="0"/>
          <w:numId w:val="1006"/>
        </w:numPr>
      </w:pPr>
      <w:r>
        <w:t xml:space="preserve">The source’s exact prose, figure, table, graphical layout, explanatory narrative, or creative organization may remain protected.</w:t>
      </w:r>
    </w:p>
    <w:p>
      <w:pPr>
        <w:pStyle w:val="Compact"/>
        <w:numPr>
          <w:ilvl w:val="0"/>
          <w:numId w:val="1006"/>
        </w:numPr>
      </w:pPr>
      <w:r>
        <w:t xml:space="preserve">The fact that an article is copyrighted does not make the scientific facts themselves proprietary.</w:t>
      </w:r>
    </w:p>
    <w:bookmarkEnd w:id="26"/>
    <w:bookmarkStart w:id="27" w:name="X8880034f16f12806cc353d5e63f87f3c836b00d"/>
    <w:p>
      <w:pPr>
        <w:pStyle w:val="Heading3"/>
        <w:keepNext/>
        <w:keepLines/>
      </w:pPr>
      <w:r>
        <w:t xml:space="preserve">3.2 Compilations and databases</w:t>
      </w:r>
    </w:p>
    <w:p>
      <w:pPr>
        <w:pStyle w:val="FirstParagraph"/>
      </w:pPr>
      <w:r>
        <w:t xml:space="preserve">A compilation may receive copyright protection for original selection, coordination, or arrangement, while protection does not extend to the underlying preexisting facts. The Copyright Office similarly distinguishes individual facts from copyrightable database authorship. [S1][S3]</w:t>
      </w:r>
    </w:p>
    <w:p>
      <w:pPr>
        <w:pStyle w:val="BodyText"/>
      </w:pPr>
      <w:r>
        <w:t xml:space="preserve">Operational consequence:</w:t>
      </w:r>
    </w:p>
    <w:p>
      <w:pPr>
        <w:pStyle w:val="Compact"/>
        <w:numPr>
          <w:ilvl w:val="0"/>
          <w:numId w:val="1007"/>
        </w:numPr>
      </w:pPr>
      <w:r>
        <w:t xml:space="preserve">Encoding one independently stated threshold is different from reproducing a publisher’s entire age-by-risk-by-time threshold table.</w:t>
      </w:r>
    </w:p>
    <w:p>
      <w:pPr>
        <w:pStyle w:val="Compact"/>
        <w:numPr>
          <w:ilvl w:val="0"/>
          <w:numId w:val="1007"/>
        </w:numPr>
      </w:pPr>
      <w:r>
        <w:t xml:space="preserve">A complete table, nomogram, taxonomy, or curated set may create compilation risk even when individual values are factual.</w:t>
      </w:r>
    </w:p>
    <w:p>
      <w:pPr>
        <w:pStyle w:val="Compact"/>
        <w:numPr>
          <w:ilvl w:val="0"/>
          <w:numId w:val="1007"/>
        </w:numPr>
      </w:pPr>
      <w:r>
        <w:t xml:space="preserve">The risk increases when the shipped product preserves the source’s same scope, selection, sequence, labels, categories, and arrangement and can substitute for the source product.</w:t>
      </w:r>
    </w:p>
    <w:p>
      <w:pPr>
        <w:pStyle w:val="FirstParagraph"/>
      </w:pPr>
      <w:r>
        <w:t xml:space="preserve">Outside the United States, additional rights may exist. European Union law, for example, recognizes a sui generis database right protecting substantial investment in obtaining, verifying, or presenting database contents. [S13]</w:t>
      </w:r>
    </w:p>
    <w:bookmarkEnd w:id="27"/>
    <w:bookmarkStart w:id="28" w:name="Xfaf915027fa713a07281c0b7f746adfc85f9a39"/>
    <w:p>
      <w:pPr>
        <w:pStyle w:val="Heading3"/>
        <w:keepNext/>
        <w:keepLines/>
      </w:pPr>
      <w:r>
        <w:t xml:space="preserve">3.3 Access agreements and contracts</w:t>
      </w:r>
    </w:p>
    <w:p>
      <w:pPr>
        <w:pStyle w:val="FirstParagraph"/>
      </w:pPr>
      <w:r>
        <w:t xml:space="preserve">Copyright and contract are separate questions. A fact may not be copyrightable, yet the terms governing a particular subscription, portal, dataset, API, or institutional account may restrict extraction, incorporation, redistribution, commercial use, automated access, or use by third parties.</w:t>
      </w:r>
    </w:p>
    <w:p>
      <w:pPr>
        <w:pStyle w:val="BodyText"/>
      </w:pPr>
      <w:r>
        <w:t xml:space="preserve">The AAP Pediatric Care Online terms, for example, provide a limited license for clinical use and prohibit, without separate written approval, altering, adapting, preparing derivative works from, or incorporating the licensed Materials into other materials. [S5]</w:t>
      </w:r>
    </w:p>
    <w:p>
      <w:pPr>
        <w:pStyle w:val="BodyText"/>
      </w:pPr>
      <w:r>
        <w:t xml:space="preserve">Operational consequence:</w:t>
      </w:r>
    </w:p>
    <w:p>
      <w:pPr>
        <w:pStyle w:val="Compact"/>
        <w:numPr>
          <w:ilvl w:val="0"/>
          <w:numId w:val="1008"/>
        </w:numPr>
      </w:pPr>
      <w:r>
        <w:t xml:space="preserve">Do not use a personal or institutional subscription as a corporate content-extraction license unless its terms allow that activity.</w:t>
      </w:r>
    </w:p>
    <w:p>
      <w:pPr>
        <w:pStyle w:val="Compact"/>
        <w:numPr>
          <w:ilvl w:val="0"/>
          <w:numId w:val="1008"/>
        </w:numPr>
      </w:pPr>
      <w:r>
        <w:t xml:space="preserve">When terms restrict incorporation, use an independently accessible primary source, a compatible open-license source, a separately licensed feed, or direct permission.</w:t>
      </w:r>
    </w:p>
    <w:p>
      <w:pPr>
        <w:pStyle w:val="Compact"/>
        <w:numPr>
          <w:ilvl w:val="0"/>
          <w:numId w:val="1008"/>
        </w:numPr>
      </w:pPr>
      <w:r>
        <w:t xml:space="preserve">Research Foundry treats applicable access terms as binding operational constraints unless counsel determines otherwise.</w:t>
      </w:r>
    </w:p>
    <w:bookmarkEnd w:id="28"/>
    <w:bookmarkStart w:id="29" w:name="X6a385c89783c8f82972711cfdf5243ce862b92f"/>
    <w:p>
      <w:pPr>
        <w:pStyle w:val="Heading3"/>
        <w:keepNext/>
        <w:keepLines/>
      </w:pPr>
      <w:r>
        <w:t xml:space="preserve">3.4 Attribution is not permission</w:t>
      </w:r>
    </w:p>
    <w:p>
      <w:pPr>
        <w:pStyle w:val="FirstParagraph"/>
      </w:pPr>
      <w:r>
        <w:t xml:space="preserve">A citation establishes provenance and supports scientific integrity. It does not grant reproduction, adaptation, redistribution, or commercial-use rights.</w:t>
      </w:r>
    </w:p>
    <w:p>
      <w:pPr>
        <w:pStyle w:val="BodyText"/>
      </w:pPr>
      <w:r>
        <w:t xml:space="preserve">Attribution is sufficient only when:</w:t>
      </w:r>
    </w:p>
    <w:p>
      <w:pPr>
        <w:pStyle w:val="Compact"/>
        <w:numPr>
          <w:ilvl w:val="0"/>
          <w:numId w:val="1009"/>
        </w:numPr>
      </w:pPr>
      <w:r>
        <w:t xml:space="preserve">the material is not protected for the intended use;</w:t>
      </w:r>
    </w:p>
    <w:p>
      <w:pPr>
        <w:pStyle w:val="Compact"/>
        <w:numPr>
          <w:ilvl w:val="0"/>
          <w:numId w:val="1009"/>
        </w:numPr>
      </w:pPr>
      <w:r>
        <w:t xml:space="preserve">the material is in the public domain;</w:t>
      </w:r>
    </w:p>
    <w:p>
      <w:pPr>
        <w:pStyle w:val="Compact"/>
        <w:numPr>
          <w:ilvl w:val="0"/>
          <w:numId w:val="1009"/>
        </w:numPr>
      </w:pPr>
      <w:r>
        <w:t xml:space="preserve">an exception applies;</w:t>
      </w:r>
    </w:p>
    <w:p>
      <w:pPr>
        <w:pStyle w:val="Compact"/>
        <w:numPr>
          <w:ilvl w:val="0"/>
          <w:numId w:val="1009"/>
        </w:numPr>
      </w:pPr>
      <w:r>
        <w:t xml:space="preserve">the applicable license authorizes the use subject to attribution; or</w:t>
      </w:r>
    </w:p>
    <w:p>
      <w:pPr>
        <w:pStyle w:val="Compact"/>
        <w:numPr>
          <w:ilvl w:val="0"/>
          <w:numId w:val="1009"/>
        </w:numPr>
      </w:pPr>
      <w:r>
        <w:t xml:space="preserve">the rights holder has granted permission.</w:t>
      </w:r>
    </w:p>
    <w:p>
      <w:pPr>
        <w:pStyle w:val="FirstParagraph"/>
      </w:pPr>
      <w:r>
        <w:t xml:space="preserve">Creative Commons licenses illustrate the distinction. CC BY 4.0 allows commercial sharing and adaptation if its conditions are met; CC BY-NC 4.0 does not authorize commercial use. [S8][S9]</w:t>
      </w:r>
    </w:p>
    <w:bookmarkEnd w:id="29"/>
    <w:bookmarkStart w:id="30" w:name="Xad100817cb15e5a119b757444213ab72919a252"/>
    <w:p>
      <w:pPr>
        <w:pStyle w:val="Heading3"/>
        <w:keepNext/>
        <w:keepLines/>
      </w:pPr>
      <w:r>
        <w:t xml:space="preserve">3.5 Free to read is not free to reuse</w:t>
      </w:r>
    </w:p>
    <w:p>
      <w:pPr>
        <w:pStyle w:val="FirstParagraph"/>
      </w:pPr>
      <w:r>
        <w:t xml:space="preserve">Public availability, a downloadable PDF, inclusion in PubMed Central, or the label “open access” is not enough. Article-level license terms control. PMC states that many freely accessible articles remain copyrighted and that only designated article datasets and licenses permit broader reuse; it also restricts systematic downloading to authorized services. [S10]</w:t>
      </w:r>
    </w:p>
    <w:p>
      <w:pPr>
        <w:pStyle w:val="BodyText"/>
      </w:pPr>
      <w:r>
        <w:t xml:space="preserve">Operational consequence:</w:t>
      </w:r>
    </w:p>
    <w:p>
      <w:pPr>
        <w:pStyle w:val="Compact"/>
        <w:numPr>
          <w:ilvl w:val="0"/>
          <w:numId w:val="1010"/>
        </w:numPr>
      </w:pPr>
      <w:r>
        <w:t xml:space="preserve">Record the exact article-level license, not merely the journal’s general policy.</w:t>
      </w:r>
    </w:p>
    <w:p>
      <w:pPr>
        <w:pStyle w:val="Compact"/>
        <w:numPr>
          <w:ilvl w:val="0"/>
          <w:numId w:val="1010"/>
        </w:numPr>
      </w:pPr>
      <w:r>
        <w:t xml:space="preserve">Do not infer commercial reuse from</w:t>
      </w:r>
      <w:r>
        <w:t xml:space="preserve"> </w:t>
      </w:r>
      <w:r>
        <w:rPr>
          <w:rStyle w:val="VerbatimChar"/>
        </w:rPr>
        <w:t xml:space="preserve">open_access=true</w:t>
      </w:r>
      <w:r>
        <w:t xml:space="preserve">.</w:t>
      </w:r>
    </w:p>
    <w:p>
      <w:pPr>
        <w:pStyle w:val="Compact"/>
        <w:numPr>
          <w:ilvl w:val="0"/>
          <w:numId w:val="1010"/>
        </w:numPr>
      </w:pPr>
      <w:r>
        <w:t xml:space="preserve">Do not systematically retrieve content through unapproved scraping or browser automation.</w:t>
      </w:r>
    </w:p>
    <w:bookmarkEnd w:id="30"/>
    <w:bookmarkStart w:id="31" w:name="Xa4a90eb3dbcfbdccc9ea0a20c80330daa1dfc69"/>
    <w:p>
      <w:pPr>
        <w:pStyle w:val="Heading3"/>
        <w:keepNext/>
        <w:keepLines/>
      </w:pPr>
      <w:r>
        <w:t xml:space="preserve">3.6 Fair use</w:t>
      </w:r>
    </w:p>
    <w:p>
      <w:pPr>
        <w:pStyle w:val="FirstParagraph"/>
      </w:pPr>
      <w:r>
        <w:t xml:space="preserve">Fair use is a case-specific legal doctrine governed by the four statutory factors in 17 U.S.C. § 107. The Copyright Office emphasizes that there is no fixed safe number of words or percentage and that only a court can definitively determine fair use. [S4]</w:t>
      </w:r>
    </w:p>
    <w:p>
      <w:pPr>
        <w:pStyle w:val="BodyText"/>
      </w:pPr>
      <w:r>
        <w:t xml:space="preserve">Operational policy:</w:t>
      </w:r>
    </w:p>
    <w:p>
      <w:pPr>
        <w:pStyle w:val="Compact"/>
        <w:numPr>
          <w:ilvl w:val="0"/>
          <w:numId w:val="1011"/>
        </w:numPr>
      </w:pPr>
      <w:r>
        <w:t xml:space="preserve">Fair use may support limited internal research, criticism, validation, or short quotations in appropriate circumstances.</w:t>
      </w:r>
    </w:p>
    <w:p>
      <w:pPr>
        <w:pStyle w:val="Compact"/>
        <w:numPr>
          <w:ilvl w:val="0"/>
          <w:numId w:val="1011"/>
        </w:numPr>
      </w:pPr>
      <w:r>
        <w:t xml:space="preserve">Fair use must</w:t>
      </w:r>
      <w:r>
        <w:t xml:space="preserve"> </w:t>
      </w:r>
      <w:r>
        <w:rPr>
          <w:b/>
          <w:bCs/>
        </w:rPr>
        <w:t xml:space="preserve">not</w:t>
      </w:r>
      <w:r>
        <w:t xml:space="preserve"> </w:t>
      </w:r>
      <w:r>
        <w:t xml:space="preserve">be the default legal basis for commercial product content.</w:t>
      </w:r>
    </w:p>
    <w:p>
      <w:pPr>
        <w:pStyle w:val="Compact"/>
        <w:numPr>
          <w:ilvl w:val="0"/>
          <w:numId w:val="1011"/>
        </w:numPr>
      </w:pPr>
      <w:r>
        <w:t xml:space="preserve">Any release relying materially on fair use requires documented counsel approval.</w:t>
      </w:r>
    </w:p>
    <w:p>
      <w:pPr>
        <w:pStyle w:val="Compact"/>
        <w:numPr>
          <w:ilvl w:val="0"/>
          <w:numId w:val="1011"/>
        </w:numPr>
      </w:pPr>
      <w:r>
        <w:t xml:space="preserve">The Foundry’s internal “short quotation” limits are governance guardrails, not statutory safe harbors.</w:t>
      </w:r>
    </w:p>
    <w:bookmarkEnd w:id="31"/>
    <w:bookmarkStart w:id="32" w:name="X4fb32a49c9a8e39d236a258ef6d326fed3bbe3e"/>
    <w:p>
      <w:pPr>
        <w:pStyle w:val="Heading3"/>
        <w:keepNext/>
        <w:keepLines/>
      </w:pPr>
      <w:r>
        <w:t xml:space="preserve">3.7 Government works and public domain</w:t>
      </w:r>
    </w:p>
    <w:p>
      <w:pPr>
        <w:pStyle w:val="FirstParagraph"/>
      </w:pPr>
      <w:r>
        <w:t xml:space="preserve">Copyright protection is generally unavailable for works of the United States Government under 17 U.S.C. § 105, subject to statutory nuances and third-party content. [S14]</w:t>
      </w:r>
    </w:p>
    <w:p>
      <w:pPr>
        <w:pStyle w:val="BodyText"/>
      </w:pPr>
      <w:r>
        <w:t xml:space="preserve">Operational consequence:</w:t>
      </w:r>
    </w:p>
    <w:p>
      <w:pPr>
        <w:pStyle w:val="Compact"/>
        <w:numPr>
          <w:ilvl w:val="0"/>
          <w:numId w:val="1012"/>
        </w:numPr>
      </w:pPr>
      <w:r>
        <w:t xml:space="preserve">U.S. federal guidance and datasets are often excellent reuse candidates.</w:t>
      </w:r>
    </w:p>
    <w:p>
      <w:pPr>
        <w:pStyle w:val="Compact"/>
        <w:numPr>
          <w:ilvl w:val="0"/>
          <w:numId w:val="1012"/>
        </w:numPr>
      </w:pPr>
      <w:r>
        <w:t xml:space="preserve">Confirm authorship and ownership; a government-hosted page may include copyrighted third-party content.</w:t>
      </w:r>
    </w:p>
    <w:p>
      <w:pPr>
        <w:pStyle w:val="Compact"/>
        <w:numPr>
          <w:ilvl w:val="0"/>
          <w:numId w:val="1012"/>
        </w:numPr>
      </w:pPr>
      <w:r>
        <w:t xml:space="preserve">Government agency names, seals, and logos may have separate restrictions.</w:t>
      </w:r>
    </w:p>
    <w:bookmarkEnd w:id="32"/>
    <w:bookmarkStart w:id="33" w:name="X296a066c6863f36b1de1a6771e5b2e9beea4ac0"/>
    <w:p>
      <w:pPr>
        <w:pStyle w:val="Heading3"/>
        <w:keepNext/>
        <w:keepLines/>
      </w:pPr>
      <w:r>
        <w:t xml:space="preserve">3.8 Patents</w:t>
      </w:r>
    </w:p>
    <w:p>
      <w:pPr>
        <w:pStyle w:val="FirstParagraph"/>
      </w:pPr>
      <w:r>
        <w:t xml:space="preserve">A method may be uncopyrightable yet potentially covered by a patent. A U.S. patent grants the owner the right to exclude others from making, using, selling, offering for sale, or importing the claimed invention. [S12]</w:t>
      </w:r>
    </w:p>
    <w:p>
      <w:pPr>
        <w:pStyle w:val="BodyText"/>
      </w:pPr>
      <w:r>
        <w:t xml:space="preserve">Operational consequence:</w:t>
      </w:r>
    </w:p>
    <w:p>
      <w:pPr>
        <w:pStyle w:val="Compact"/>
        <w:numPr>
          <w:ilvl w:val="0"/>
          <w:numId w:val="1013"/>
        </w:numPr>
      </w:pPr>
      <w:r>
        <w:t xml:space="preserve">Screen named, branded, proprietary, licensed, or commercially marketed scores, assays, devices, and algorithms for patent or license constraints.</w:t>
      </w:r>
    </w:p>
    <w:p>
      <w:pPr>
        <w:pStyle w:val="Compact"/>
        <w:numPr>
          <w:ilvl w:val="0"/>
          <w:numId w:val="1013"/>
        </w:numPr>
      </w:pPr>
      <w:r>
        <w:t xml:space="preserve">Patent review is especially important for diagnostic signatures, analyzer-derived algorithms, companion diagnostics, and vendor-specific methods.</w:t>
      </w:r>
    </w:p>
    <w:bookmarkEnd w:id="33"/>
    <w:bookmarkStart w:id="34" w:name="Xd9f316beb36396998534b23963dc131267565e9"/>
    <w:p>
      <w:pPr>
        <w:pStyle w:val="Heading3"/>
        <w:keepNext/>
        <w:keepLines/>
      </w:pPr>
      <w:r>
        <w:t xml:space="preserve">3.9 Trademarks and endorsement</w:t>
      </w:r>
    </w:p>
    <w:p>
      <w:pPr>
        <w:pStyle w:val="FirstParagraph"/>
      </w:pPr>
      <w:r>
        <w:t xml:space="preserve">Trademarks identify the source of goods or services. A source name may be cited descriptively, but logos, branding, and product positioning must not suggest sponsorship or endorsement without authorization. [S11]</w:t>
      </w:r>
    </w:p>
    <w:p>
      <w:pPr>
        <w:pStyle w:val="BodyText"/>
      </w:pPr>
      <w:r>
        <w:t xml:space="preserve">Operational consequence:</w:t>
      </w:r>
    </w:p>
    <w:p>
      <w:pPr>
        <w:pStyle w:val="Compact"/>
        <w:numPr>
          <w:ilvl w:val="0"/>
          <w:numId w:val="1014"/>
        </w:numPr>
      </w:pPr>
      <w:r>
        <w:t xml:space="preserve">Cite “American Academy of Pediatrics” as the source when appropriate.</w:t>
      </w:r>
    </w:p>
    <w:p>
      <w:pPr>
        <w:pStyle w:val="Compact"/>
        <w:numPr>
          <w:ilvl w:val="0"/>
          <w:numId w:val="1014"/>
        </w:numPr>
      </w:pPr>
      <w:r>
        <w:t xml:space="preserve">Do not label a product “AAP-approved,” “AAP-certified,” or use the AAP logo unless expressly authorized.</w:t>
      </w:r>
    </w:p>
    <w:p>
      <w:pPr>
        <w:pStyle w:val="Compact"/>
        <w:numPr>
          <w:ilvl w:val="0"/>
          <w:numId w:val="1014"/>
        </w:numPr>
      </w:pPr>
      <w:r>
        <w:t xml:space="preserve">Do not use protected product names as your own module names.</w:t>
      </w:r>
    </w:p>
    <w:bookmarkEnd w:id="34"/>
    <w:bookmarkStart w:id="35" w:name="Xecb5b773e7e5f3feef181a451d6b44988008123"/>
    <w:p>
      <w:pPr>
        <w:pStyle w:val="Heading3"/>
        <w:keepNext/>
        <w:keepLines/>
      </w:pPr>
      <w:r>
        <w:t xml:space="preserve">3.10 Privacy, confidentiality, and trade secrets</w:t>
      </w:r>
    </w:p>
    <w:p>
      <w:pPr>
        <w:pStyle w:val="FirstParagraph"/>
      </w:pPr>
      <w:r>
        <w:t xml:space="preserve">Copyright clearance does not authorize use of protected health information, confidential partner data, unpublished manuscripts, internal hospital pathways, trade secrets, or data obtained under a restrictive data-use agreement.</w:t>
      </w:r>
    </w:p>
    <w:p>
      <w:pPr>
        <w:pStyle w:val="BodyText"/>
      </w:pPr>
      <w:r>
        <w:t xml:space="preserve">Operational consequence:</w:t>
      </w:r>
    </w:p>
    <w:p>
      <w:pPr>
        <w:pStyle w:val="Compact"/>
        <w:numPr>
          <w:ilvl w:val="0"/>
          <w:numId w:val="1015"/>
        </w:numPr>
      </w:pPr>
      <w:r>
        <w:t xml:space="preserve">Rights records must link to separate data-use, confidentiality, privacy, IRB, and security records when applicable.</w:t>
      </w:r>
    </w:p>
    <w:p>
      <w:pPr>
        <w:pStyle w:val="Compact"/>
        <w:numPr>
          <w:ilvl w:val="0"/>
          <w:numId w:val="1015"/>
        </w:numPr>
      </w:pPr>
      <w:r>
        <w:t xml:space="preserve">Confidential content must never be released merely because it contains factual information.</w:t>
      </w:r>
    </w:p>
    <w:bookmarkEnd w:id="35"/>
    <w:bookmarkStart w:id="36" w:name="Xa3e9afc7d40f70ddb2064f1f03ff24bf8a36839"/>
    <w:p>
      <w:pPr>
        <w:pStyle w:val="Heading3"/>
        <w:keepNext/>
        <w:keepLines/>
      </w:pPr>
      <w:r>
        <w:t xml:space="preserve">3.11 Regulatory transparency is separate from content permission</w:t>
      </w:r>
    </w:p>
    <w:p>
      <w:pPr>
        <w:pStyle w:val="FirstParagraph"/>
      </w:pPr>
      <w:r>
        <w:t xml:space="preserve">FDA’s January 2026 CDS guidance addresses when clinicians can independently review the basis of recommendations and distinguishes certain non-device CDS from device software functions. It does not grant copyright or reuse rights. [S15]</w:t>
      </w:r>
    </w:p>
    <w:p>
      <w:pPr>
        <w:pStyle w:val="BodyText"/>
      </w:pPr>
      <w:r>
        <w:t xml:space="preserve">Operational consequence:</w:t>
      </w:r>
    </w:p>
    <w:p>
      <w:pPr>
        <w:pStyle w:val="Compact"/>
        <w:numPr>
          <w:ilvl w:val="0"/>
          <w:numId w:val="1016"/>
        </w:numPr>
      </w:pPr>
      <w:r>
        <w:t xml:space="preserve">Evidence Foundry needs citations, logic transparency, validation, and limitations for regulatory and clinical reasons.</w:t>
      </w:r>
    </w:p>
    <w:p>
      <w:pPr>
        <w:pStyle w:val="Compact"/>
        <w:numPr>
          <w:ilvl w:val="0"/>
          <w:numId w:val="1016"/>
        </w:numPr>
      </w:pPr>
      <w:r>
        <w:t xml:space="preserve">That transparency must be achieved using content the product is authorized to display.</w:t>
      </w:r>
    </w:p>
    <w:p>
      <w:r>
        <w:pict>
          <v:rect style="width:0;height:1.5pt" o:hralign="center" o:hrstd="t" o:hr="t"/>
        </w:pict>
      </w:r>
    </w:p>
    <w:bookmarkEnd w:id="36"/>
    <w:bookmarkEnd w:id="37"/>
    <w:bookmarkStart w:id="38" w:name="X4b89fa0f9682b354f0f0469e43a1e3dfcdffad3"/>
    <w:p>
      <w:pPr>
        <w:pStyle w:val="Heading2"/>
        <w:keepNext/>
        <w:keepLines/>
      </w:pPr>
      <w:r>
        <w:t xml:space="preserve">4. Why clinician use differs from commercial product reuse</w:t>
      </w:r>
    </w:p>
    <w:p>
      <w:pPr>
        <w:pStyle w:val="FirstParagraph"/>
      </w:pPr>
      <w:r>
        <w:t xml:space="preserve">A clinician normally reads a source, forms professional judgment, and applies the knowledge to a patient. The clinician is generally using the underlying facts and methods rather than redistributing the publisher’s expression.</w:t>
      </w:r>
    </w:p>
    <w:p>
      <w:pPr>
        <w:pStyle w:val="BodyText"/>
      </w:pPr>
      <w:r>
        <w:t xml:space="preserve">A commercial CDS may instead:</w:t>
      </w:r>
    </w:p>
    <w:p>
      <w:pPr>
        <w:pStyle w:val="Compact"/>
        <w:numPr>
          <w:ilvl w:val="0"/>
          <w:numId w:val="1017"/>
        </w:numPr>
      </w:pPr>
      <w:r>
        <w:t xml:space="preserve">store and distribute hundreds of extracted values;</w:t>
      </w:r>
    </w:p>
    <w:p>
      <w:pPr>
        <w:pStyle w:val="Compact"/>
        <w:numPr>
          <w:ilvl w:val="0"/>
          <w:numId w:val="1017"/>
        </w:numPr>
      </w:pPr>
      <w:r>
        <w:t xml:space="preserve">reproduce a complete clinical pathway or nomogram;</w:t>
      </w:r>
    </w:p>
    <w:p>
      <w:pPr>
        <w:pStyle w:val="Compact"/>
        <w:numPr>
          <w:ilvl w:val="0"/>
          <w:numId w:val="1017"/>
        </w:numPr>
      </w:pPr>
      <w:r>
        <w:t xml:space="preserve">present the same curated organization as the source;</w:t>
      </w:r>
    </w:p>
    <w:p>
      <w:pPr>
        <w:pStyle w:val="Compact"/>
        <w:numPr>
          <w:ilvl w:val="0"/>
          <w:numId w:val="1017"/>
        </w:numPr>
      </w:pPr>
      <w:r>
        <w:t xml:space="preserve">expose the content to users who did not purchase the source;</w:t>
      </w:r>
    </w:p>
    <w:p>
      <w:pPr>
        <w:pStyle w:val="Compact"/>
        <w:numPr>
          <w:ilvl w:val="0"/>
          <w:numId w:val="1017"/>
        </w:numPr>
      </w:pPr>
      <w:r>
        <w:t xml:space="preserve">eliminate the user’s need to access the publisher’s product;</w:t>
      </w:r>
    </w:p>
    <w:p>
      <w:pPr>
        <w:pStyle w:val="Compact"/>
        <w:numPr>
          <w:ilvl w:val="0"/>
          <w:numId w:val="1017"/>
        </w:numPr>
      </w:pPr>
      <w:r>
        <w:t xml:space="preserve">charge for access to the encoded knowledge base;</w:t>
      </w:r>
    </w:p>
    <w:p>
      <w:pPr>
        <w:pStyle w:val="Compact"/>
        <w:numPr>
          <w:ilvl w:val="0"/>
          <w:numId w:val="1017"/>
        </w:numPr>
      </w:pPr>
      <w:r>
        <w:t xml:space="preserve">update and redistribute the content repeatedly.</w:t>
      </w:r>
    </w:p>
    <w:p>
      <w:pPr>
        <w:pStyle w:val="FirstParagraph"/>
      </w:pPr>
      <w:r>
        <w:t xml:space="preserve">Those differences increase copyright, compilation, contract, and market-substitution concerns.</w:t>
      </w:r>
    </w:p>
    <w:p>
      <w:pPr>
        <w:pStyle w:val="BodyText"/>
      </w:pPr>
      <w:r>
        <w:t xml:space="preserve">The correct question is not:</w:t>
      </w:r>
    </w:p>
    <w:p>
      <w:pPr>
        <w:pStyle w:val="BlockText"/>
      </w:pPr>
      <w:r>
        <w:t xml:space="preserve">“Did a clinician have the right to learn this?”</w:t>
      </w:r>
    </w:p>
    <w:p>
      <w:pPr>
        <w:pStyle w:val="FirstParagraph"/>
      </w:pPr>
      <w:r>
        <w:t xml:space="preserve">It is:</w:t>
      </w:r>
    </w:p>
    <w:p>
      <w:pPr>
        <w:pStyle w:val="BlockText"/>
      </w:pPr>
      <w:r>
        <w:t xml:space="preserve">“Does this intended product output independently implement uncopyrightable knowledge, or does it copy, adapt, redistribute, or substitute for protected or contractually restricted source material?”</w:t>
      </w:r>
    </w:p>
    <w:p>
      <w:r>
        <w:pict>
          <v:rect style="width:0;height:1.5pt" o:hralign="center" o:hrstd="t" o:hr="t"/>
        </w:pict>
      </w:r>
    </w:p>
    <w:bookmarkEnd w:id="38"/>
    <w:bookmarkStart w:id="41" w:name="X7ef1785fcb220946fe01f895788a230069abaaa"/>
    <w:p>
      <w:pPr>
        <w:pStyle w:val="Heading2"/>
        <w:keepNext/>
        <w:keepLines/>
      </w:pPr>
      <w:r>
        <w:t xml:space="preserve">5. Reuse classification model</w:t>
      </w:r>
    </w:p>
    <w:p>
      <w:pPr>
        <w:pStyle w:val="FirstParagraph"/>
      </w:pPr>
      <w:r>
        <w:t xml:space="preserve">Every source component and intended use must be classified separately. The same publication can contain a reusable fact, a restricted figure, and a separately licensed questionnaire.</w:t>
      </w:r>
    </w:p>
    <w:bookmarkStart w:id="39" w:name="X49ec9a4a0baefcd0822fd36cb452fe25e9ec0d6"/>
    <w:p>
      <w:pPr>
        <w:pStyle w:val="Heading3"/>
        <w:keepNext/>
        <w:keepLines/>
      </w:pPr>
      <w:r>
        <w:t xml:space="preserve">5.1 Content-component classes</w:t>
      </w:r>
    </w:p>
    <w:p>
      <w:pPr>
        <w:pStyle w:val="FirstParagraph"/>
      </w:pPr>
      <w:r>
        <w:rPr>
          <w:b/>
          <w:bCs/>
        </w:rPr>
        <w:t xml:space="preserve">Bibliographic metadata</w:t>
      </w:r>
      <w:r>
        <w:br/>
      </w:r>
      <w:r>
        <w:t xml:space="preserve">Examples: title, authors, DOI, journal, date.</w:t>
      </w:r>
      <w:r>
        <w:br/>
      </w:r>
      <w:r>
        <w:t xml:space="preserve">Default: generally shippable as citation metadata.</w:t>
      </w:r>
    </w:p>
    <w:p>
      <w:pPr>
        <w:pStyle w:val="BodyText"/>
      </w:pPr>
      <w:r>
        <w:rPr>
          <w:b/>
          <w:bCs/>
        </w:rPr>
        <w:t xml:space="preserve">Atomic factual finding</w:t>
      </w:r>
      <w:r>
        <w:br/>
      </w:r>
      <w:r>
        <w:t xml:space="preserve">Examples: reported threshold, measured association, sample size.</w:t>
      </w:r>
      <w:r>
        <w:br/>
      </w:r>
      <w:r>
        <w:t xml:space="preserve">Default: facts-only implementation may be permitted when independently worded and contract-compatible.</w:t>
      </w:r>
    </w:p>
    <w:p>
      <w:pPr>
        <w:pStyle w:val="BodyText"/>
      </w:pPr>
      <w:r>
        <w:rPr>
          <w:b/>
          <w:bCs/>
        </w:rPr>
        <w:t xml:space="preserve">Equation or method</w:t>
      </w:r>
      <w:r>
        <w:br/>
      </w:r>
      <w:r>
        <w:t xml:space="preserve">Examples: eGFR equation, unit conversion, decision criterion.</w:t>
      </w:r>
      <w:r>
        <w:br/>
      </w:r>
      <w:r>
        <w:t xml:space="preserve">Default: potentially implementable; check patents, contract, branding, and source context.</w:t>
      </w:r>
    </w:p>
    <w:p>
      <w:pPr>
        <w:pStyle w:val="BodyText"/>
      </w:pPr>
      <w:r>
        <w:rPr>
          <w:b/>
          <w:bCs/>
        </w:rPr>
        <w:t xml:space="preserve">Guideline recommendation</w:t>
      </w:r>
      <w:r>
        <w:br/>
      </w:r>
      <w:r>
        <w:t xml:space="preserve">Examples: repeat in a specified interval or refer under a stated condition.</w:t>
      </w:r>
      <w:r>
        <w:br/>
      </w:r>
      <w:r>
        <w:t xml:space="preserve">Default: often independently implementable with preserved scope and citation; assess full-set copying.</w:t>
      </w:r>
    </w:p>
    <w:p>
      <w:pPr>
        <w:pStyle w:val="BodyText"/>
      </w:pPr>
      <w:r>
        <w:rPr>
          <w:b/>
          <w:bCs/>
        </w:rPr>
        <w:t xml:space="preserve">Reference-interval value</w:t>
      </w:r>
      <w:r>
        <w:br/>
      </w:r>
      <w:r>
        <w:t xml:space="preserve">Examples: age-, sex-, or analyzer-specific interval.</w:t>
      </w:r>
      <w:r>
        <w:br/>
      </w:r>
      <w:r>
        <w:t xml:space="preserve">Default: individual values may be factual; a full dataset may be a protected or licensed compilation.</w:t>
      </w:r>
    </w:p>
    <w:p>
      <w:pPr>
        <w:pStyle w:val="BodyText"/>
      </w:pPr>
      <w:r>
        <w:rPr>
          <w:b/>
          <w:bCs/>
        </w:rPr>
        <w:t xml:space="preserve">Prose or abstract</w:t>
      </w:r>
      <w:r>
        <w:br/>
      </w:r>
      <w:r>
        <w:t xml:space="preserve">Examples: article text or explanatory paragraph.</w:t>
      </w:r>
      <w:r>
        <w:br/>
      </w:r>
      <w:r>
        <w:t xml:space="preserve">Default: do not ship verbatim without a license, permission, or approved exception.</w:t>
      </w:r>
    </w:p>
    <w:p>
      <w:pPr>
        <w:pStyle w:val="BodyText"/>
      </w:pPr>
      <w:r>
        <w:rPr>
          <w:b/>
          <w:bCs/>
        </w:rPr>
        <w:t xml:space="preserve">Table</w:t>
      </w:r>
      <w:r>
        <w:br/>
      </w:r>
      <w:r>
        <w:t xml:space="preserve">Examples: threshold table or evidence table.</w:t>
      </w:r>
      <w:r>
        <w:br/>
      </w:r>
      <w:r>
        <w:t xml:space="preserve">Default: permission or a compatible license is usually required to reproduce; underlying facts may be independently restructured.</w:t>
      </w:r>
    </w:p>
    <w:p>
      <w:pPr>
        <w:pStyle w:val="BodyText"/>
      </w:pPr>
      <w:r>
        <w:rPr>
          <w:b/>
          <w:bCs/>
        </w:rPr>
        <w:t xml:space="preserve">Figure or chart</w:t>
      </w:r>
      <w:r>
        <w:br/>
      </w:r>
      <w:r>
        <w:t xml:space="preserve">Examples: forest plot, workflow image, or graph.</w:t>
      </w:r>
      <w:r>
        <w:br/>
      </w:r>
      <w:r>
        <w:t xml:space="preserve">Default: permission or a compatible license is required.</w:t>
      </w:r>
    </w:p>
    <w:p>
      <w:pPr>
        <w:pStyle w:val="BodyText"/>
      </w:pPr>
      <w:r>
        <w:rPr>
          <w:b/>
          <w:bCs/>
        </w:rPr>
        <w:t xml:space="preserve">Nomogram</w:t>
      </w:r>
      <w:r>
        <w:br/>
      </w:r>
      <w:r>
        <w:t xml:space="preserve">Examples: bilirubin chart or risk curve.</w:t>
      </w:r>
      <w:r>
        <w:br/>
      </w:r>
      <w:r>
        <w:t xml:space="preserve">Default: high risk; license or independently validated implementation plus legal review.</w:t>
      </w:r>
    </w:p>
    <w:p>
      <w:pPr>
        <w:pStyle w:val="BodyText"/>
      </w:pPr>
      <w:r>
        <w:rPr>
          <w:b/>
          <w:bCs/>
        </w:rPr>
        <w:t xml:space="preserve">Decision tree or flowchart</w:t>
      </w:r>
      <w:r>
        <w:br/>
      </w:r>
      <w:r>
        <w:t xml:space="preserve">Examples: guideline algorithm.</w:t>
      </w:r>
      <w:r>
        <w:br/>
      </w:r>
      <w:r>
        <w:t xml:space="preserve">Default: the method may be usable, but do not copy its visual or expressive structure; complete implementations are high risk.</w:t>
      </w:r>
    </w:p>
    <w:p>
      <w:pPr>
        <w:pStyle w:val="BodyText"/>
      </w:pPr>
      <w:r>
        <w:rPr>
          <w:b/>
          <w:bCs/>
        </w:rPr>
        <w:t xml:space="preserve">Questionnaire or instrument</w:t>
      </w:r>
      <w:r>
        <w:br/>
      </w:r>
      <w:r>
        <w:t xml:space="preserve">Examples: screening form, test items, or scoring instructions.</w:t>
      </w:r>
      <w:r>
        <w:br/>
      </w:r>
      <w:r>
        <w:t xml:space="preserve">Default: permission is required unless explicit terms allow the intended electronic and commercial use.</w:t>
      </w:r>
    </w:p>
    <w:p>
      <w:pPr>
        <w:pStyle w:val="BodyText"/>
      </w:pPr>
      <w:r>
        <w:rPr>
          <w:b/>
          <w:bCs/>
        </w:rPr>
        <w:t xml:space="preserve">Patient handout</w:t>
      </w:r>
      <w:r>
        <w:br/>
      </w:r>
      <w:r>
        <w:t xml:space="preserve">Examples: society education sheet.</w:t>
      </w:r>
      <w:r>
        <w:br/>
      </w:r>
      <w:r>
        <w:t xml:space="preserve">Default: permission or an explicit license is required.</w:t>
      </w:r>
    </w:p>
    <w:p>
      <w:pPr>
        <w:pStyle w:val="BodyText"/>
      </w:pPr>
      <w:r>
        <w:rPr>
          <w:b/>
          <w:bCs/>
        </w:rPr>
        <w:t xml:space="preserve">Dataset</w:t>
      </w:r>
      <w:r>
        <w:br/>
      </w:r>
      <w:r>
        <w:t xml:space="preserve">Examples: reference intervals or registry export.</w:t>
      </w:r>
      <w:r>
        <w:br/>
      </w:r>
      <w:r>
        <w:t xml:space="preserve">Default: governed by copyright, contract, database rights, privacy, and any data-use agreement.</w:t>
      </w:r>
    </w:p>
    <w:p>
      <w:pPr>
        <w:pStyle w:val="BodyText"/>
      </w:pPr>
      <w:r>
        <w:rPr>
          <w:b/>
          <w:bCs/>
        </w:rPr>
        <w:t xml:space="preserve">Software or code</w:t>
      </w:r>
      <w:r>
        <w:br/>
      </w:r>
      <w:r>
        <w:t xml:space="preserve">Examples: calculator source, package, or rules engine.</w:t>
      </w:r>
      <w:r>
        <w:br/>
      </w:r>
      <w:r>
        <w:t xml:space="preserve">Default: follow the software license and assess separate patent and content rights.</w:t>
      </w:r>
    </w:p>
    <w:p>
      <w:pPr>
        <w:pStyle w:val="BodyText"/>
      </w:pPr>
      <w:r>
        <w:rPr>
          <w:b/>
          <w:bCs/>
        </w:rPr>
        <w:t xml:space="preserve">Image or morphology example</w:t>
      </w:r>
      <w:r>
        <w:br/>
      </w:r>
      <w:r>
        <w:t xml:space="preserve">Examples: smear image or clinical photograph.</w:t>
      </w:r>
      <w:r>
        <w:br/>
      </w:r>
      <w:r>
        <w:t xml:space="preserve">Default: permission and privacy or model-release review are required.</w:t>
      </w:r>
    </w:p>
    <w:p>
      <w:pPr>
        <w:pStyle w:val="BodyText"/>
      </w:pPr>
      <w:r>
        <w:rPr>
          <w:b/>
          <w:bCs/>
        </w:rPr>
        <w:t xml:space="preserve">Brand or logo</w:t>
      </w:r>
      <w:r>
        <w:br/>
      </w:r>
      <w:r>
        <w:t xml:space="preserve">Examples: society logo or product mark.</w:t>
      </w:r>
      <w:r>
        <w:br/>
      </w:r>
      <w:r>
        <w:t xml:space="preserve">Default: do not use without authorization except limited descriptive reference.</w:t>
      </w:r>
    </w:p>
    <w:bookmarkEnd w:id="39"/>
    <w:bookmarkStart w:id="40" w:name="X6c049815fc1819e355be394ceb329c810c5705f"/>
    <w:p>
      <w:pPr>
        <w:pStyle w:val="Heading3"/>
        <w:keepNext/>
        <w:keepLines/>
      </w:pPr>
      <w:r>
        <w:t xml:space="preserve">5.2 Intended-use classes</w:t>
      </w:r>
    </w:p>
    <w:p>
      <w:pPr>
        <w:pStyle w:val="FirstParagraph"/>
      </w:pPr>
      <w:r>
        <w:t xml:space="preserve">Rights decisions must identify the intended use:</w:t>
      </w:r>
    </w:p>
    <w:p>
      <w:pPr>
        <w:pStyle w:val="Compact"/>
        <w:numPr>
          <w:ilvl w:val="0"/>
          <w:numId w:val="1018"/>
        </w:numPr>
      </w:pPr>
      <w:r>
        <w:t xml:space="preserve">internal reading;</w:t>
      </w:r>
    </w:p>
    <w:p>
      <w:pPr>
        <w:pStyle w:val="Compact"/>
        <w:numPr>
          <w:ilvl w:val="0"/>
          <w:numId w:val="1018"/>
        </w:numPr>
      </w:pPr>
      <w:r>
        <w:t xml:space="preserve">internal research notes;</w:t>
      </w:r>
    </w:p>
    <w:p>
      <w:pPr>
        <w:pStyle w:val="Compact"/>
        <w:numPr>
          <w:ilvl w:val="0"/>
          <w:numId w:val="1018"/>
        </w:numPr>
      </w:pPr>
      <w:r>
        <w:t xml:space="preserve">internal searchable archive;</w:t>
      </w:r>
    </w:p>
    <w:p>
      <w:pPr>
        <w:pStyle w:val="Compact"/>
        <w:numPr>
          <w:ilvl w:val="0"/>
          <w:numId w:val="1018"/>
        </w:numPr>
      </w:pPr>
      <w:r>
        <w:t xml:space="preserve">automated text and data mining;</w:t>
      </w:r>
    </w:p>
    <w:p>
      <w:pPr>
        <w:pStyle w:val="Compact"/>
        <w:numPr>
          <w:ilvl w:val="0"/>
          <w:numId w:val="1018"/>
        </w:numPr>
      </w:pPr>
      <w:r>
        <w:t xml:space="preserve">model training or retrieval corpus;</w:t>
      </w:r>
    </w:p>
    <w:p>
      <w:pPr>
        <w:pStyle w:val="Compact"/>
        <w:numPr>
          <w:ilvl w:val="0"/>
          <w:numId w:val="1018"/>
        </w:numPr>
      </w:pPr>
      <w:r>
        <w:t xml:space="preserve">evidence-atom extraction;</w:t>
      </w:r>
    </w:p>
    <w:p>
      <w:pPr>
        <w:pStyle w:val="Compact"/>
        <w:numPr>
          <w:ilvl w:val="0"/>
          <w:numId w:val="1018"/>
        </w:numPr>
      </w:pPr>
      <w:r>
        <w:t xml:space="preserve">candidate-rule authoring;</w:t>
      </w:r>
    </w:p>
    <w:p>
      <w:pPr>
        <w:pStyle w:val="Compact"/>
        <w:numPr>
          <w:ilvl w:val="0"/>
          <w:numId w:val="1018"/>
        </w:numPr>
      </w:pPr>
      <w:r>
        <w:t xml:space="preserve">internal validation;</w:t>
      </w:r>
    </w:p>
    <w:p>
      <w:pPr>
        <w:pStyle w:val="Compact"/>
        <w:numPr>
          <w:ilvl w:val="0"/>
          <w:numId w:val="1018"/>
        </w:numPr>
      </w:pPr>
      <w:r>
        <w:t xml:space="preserve">commercial runtime logic;</w:t>
      </w:r>
    </w:p>
    <w:p>
      <w:pPr>
        <w:pStyle w:val="Compact"/>
        <w:numPr>
          <w:ilvl w:val="0"/>
          <w:numId w:val="1018"/>
        </w:numPr>
      </w:pPr>
      <w:r>
        <w:t xml:space="preserve">commercial user-facing explanation;</w:t>
      </w:r>
    </w:p>
    <w:p>
      <w:pPr>
        <w:pStyle w:val="Compact"/>
        <w:numPr>
          <w:ilvl w:val="0"/>
          <w:numId w:val="1018"/>
        </w:numPr>
      </w:pPr>
      <w:r>
        <w:t xml:space="preserve">source preview or excerpt display;</w:t>
      </w:r>
    </w:p>
    <w:p>
      <w:pPr>
        <w:pStyle w:val="Compact"/>
        <w:numPr>
          <w:ilvl w:val="0"/>
          <w:numId w:val="1018"/>
        </w:numPr>
      </w:pPr>
      <w:r>
        <w:t xml:space="preserve">clinician-facing citation;</w:t>
      </w:r>
    </w:p>
    <w:p>
      <w:pPr>
        <w:pStyle w:val="Compact"/>
        <w:numPr>
          <w:ilvl w:val="0"/>
          <w:numId w:val="1018"/>
        </w:numPr>
      </w:pPr>
      <w:r>
        <w:t xml:space="preserve">patient-facing content;</w:t>
      </w:r>
    </w:p>
    <w:p>
      <w:pPr>
        <w:pStyle w:val="Compact"/>
        <w:numPr>
          <w:ilvl w:val="0"/>
          <w:numId w:val="1018"/>
        </w:numPr>
      </w:pPr>
      <w:r>
        <w:t xml:space="preserve">documentation, marketing, or training;</w:t>
      </w:r>
    </w:p>
    <w:p>
      <w:pPr>
        <w:pStyle w:val="Compact"/>
        <w:numPr>
          <w:ilvl w:val="0"/>
          <w:numId w:val="1018"/>
        </w:numPr>
      </w:pPr>
      <w:r>
        <w:t xml:space="preserve">sublicense, export, or partner distribution.</w:t>
      </w:r>
    </w:p>
    <w:p>
      <w:pPr>
        <w:pStyle w:val="FirstParagraph"/>
      </w:pPr>
      <w:r>
        <w:t xml:space="preserve">A right to perform one use does not imply a right to perform another.</w:t>
      </w:r>
    </w:p>
    <w:p>
      <w:r>
        <w:pict>
          <v:rect style="width:0;height:1.5pt" o:hralign="center" o:hrstd="t" o:hr="t"/>
        </w:pict>
      </w:r>
    </w:p>
    <w:bookmarkEnd w:id="40"/>
    <w:bookmarkEnd w:id="41"/>
    <w:bookmarkStart w:id="43" w:name="X1b8995b6a50a7cb205babc35889dabf8b544cae"/>
    <w:p>
      <w:pPr>
        <w:pStyle w:val="Heading2"/>
        <w:keepNext/>
        <w:keepLines/>
      </w:pPr>
      <w:r>
        <w:t xml:space="preserve">6. Rights decision statuses</w:t>
      </w:r>
    </w:p>
    <w:p>
      <w:pPr>
        <w:pStyle w:val="FirstParagraph"/>
      </w:pPr>
      <w:r>
        <w:t xml:space="preserve">The Foundry must use the following controlled decisions.</w:t>
      </w:r>
    </w:p>
    <w:p>
      <w:pPr>
        <w:pStyle w:val="BodyText"/>
      </w:pPr>
      <w:r>
        <w:rPr>
          <w:rStyle w:val="VerbatimChar"/>
          <w:b/>
          <w:bCs/>
        </w:rPr>
        <w:t xml:space="preserve">CLEARED_OPEN_LICENSE</w:t>
      </w:r>
      <w:r>
        <w:t xml:space="preserve"> </w:t>
      </w:r>
      <w:r>
        <w:t xml:space="preserve">— An explicit license permits the intended use and all conditions are satisfied. The content may ship with required notices and attribution.</w:t>
      </w:r>
    </w:p>
    <w:p>
      <w:pPr>
        <w:pStyle w:val="BodyText"/>
      </w:pPr>
      <w:r>
        <w:rPr>
          <w:rStyle w:val="VerbatimChar"/>
          <w:b/>
          <w:bCs/>
        </w:rPr>
        <w:t xml:space="preserve">CLEARED_PUBLIC_DOMAIN</w:t>
      </w:r>
      <w:r>
        <w:t xml:space="preserve"> </w:t>
      </w:r>
      <w:r>
        <w:t xml:space="preserve">— The work is verified as public domain or an applicable U.S. federal-government work. The content may ship with recommended attribution and third-party notices.</w:t>
      </w:r>
    </w:p>
    <w:p>
      <w:pPr>
        <w:pStyle w:val="BodyText"/>
      </w:pPr>
      <w:r>
        <w:rPr>
          <w:rStyle w:val="VerbatimChar"/>
          <w:b/>
          <w:bCs/>
        </w:rPr>
        <w:t xml:space="preserve">CLEARED_FACTS_ONLY</w:t>
      </w:r>
      <w:r>
        <w:t xml:space="preserve"> </w:t>
      </w:r>
      <w:r>
        <w:t xml:space="preserve">— The output independently implements factual knowledge or a method without protected expression, and no blocking contract is identified. The content may ship after rights and clinical review.</w:t>
      </w:r>
    </w:p>
    <w:p>
      <w:pPr>
        <w:pStyle w:val="BodyText"/>
      </w:pPr>
      <w:r>
        <w:rPr>
          <w:rStyle w:val="VerbatimChar"/>
          <w:b/>
          <w:bCs/>
        </w:rPr>
        <w:t xml:space="preserve">CLEARED_PERMISSION</w:t>
      </w:r>
      <w:r>
        <w:t xml:space="preserve"> </w:t>
      </w:r>
      <w:r>
        <w:t xml:space="preserve">— A written license or permission covers the product, territory, channel, duration, and transformations. The content may ship within the grant scope.</w:t>
      </w:r>
    </w:p>
    <w:p>
      <w:pPr>
        <w:pStyle w:val="BodyText"/>
      </w:pPr>
      <w:r>
        <w:rPr>
          <w:rStyle w:val="VerbatimChar"/>
          <w:b/>
          <w:bCs/>
        </w:rPr>
        <w:t xml:space="preserve">INTERNAL_ONLY</w:t>
      </w:r>
      <w:r>
        <w:t xml:space="preserve"> </w:t>
      </w:r>
      <w:r>
        <w:t xml:space="preserve">— Access permits internal research but not product redistribution. External shipment is blocked.</w:t>
      </w:r>
    </w:p>
    <w:p>
      <w:pPr>
        <w:pStyle w:val="BodyText"/>
      </w:pPr>
      <w:r>
        <w:rPr>
          <w:rStyle w:val="VerbatimChar"/>
          <w:b/>
          <w:bCs/>
        </w:rPr>
        <w:t xml:space="preserve">LOCAL_VALIDATION_ONLY</w:t>
      </w:r>
      <w:r>
        <w:t xml:space="preserve"> </w:t>
      </w:r>
      <w:r>
        <w:t xml:space="preserve">— The source may inform local validation but cannot support a universal or redistributed content package. Universal defaults are blocked.</w:t>
      </w:r>
    </w:p>
    <w:p>
      <w:pPr>
        <w:pStyle w:val="BodyText"/>
      </w:pPr>
      <w:r>
        <w:rPr>
          <w:rStyle w:val="VerbatimChar"/>
          <w:b/>
          <w:bCs/>
        </w:rPr>
        <w:t xml:space="preserve">LEGAL_REVIEW_REQUIRED</w:t>
      </w:r>
      <w:r>
        <w:t xml:space="preserve"> </w:t>
      </w:r>
      <w:r>
        <w:t xml:space="preserve">— Ambiguity, high compilation similarity, fair-use reliance, custom terms, or jurisdictional issues require counsel. Release is blocked pending decision.</w:t>
      </w:r>
    </w:p>
    <w:p>
      <w:pPr>
        <w:pStyle w:val="BodyText"/>
      </w:pPr>
      <w:r>
        <w:rPr>
          <w:rStyle w:val="VerbatimChar"/>
          <w:b/>
          <w:bCs/>
        </w:rPr>
        <w:t xml:space="preserve">PERMISSION_REQUIRED</w:t>
      </w:r>
      <w:r>
        <w:t xml:space="preserve"> </w:t>
      </w:r>
      <w:r>
        <w:t xml:space="preserve">— Protected expression, an instrument, or a content set requires a license. Release is blocked until an active permission record exists.</w:t>
      </w:r>
    </w:p>
    <w:p>
      <w:pPr>
        <w:pStyle w:val="BodyText"/>
      </w:pPr>
      <w:r>
        <w:rPr>
          <w:rStyle w:val="VerbatimChar"/>
          <w:b/>
          <w:bCs/>
        </w:rPr>
        <w:t xml:space="preserve">CONTRACT_RESTRICTED</w:t>
      </w:r>
      <w:r>
        <w:t xml:space="preserve"> </w:t>
      </w:r>
      <w:r>
        <w:t xml:space="preserve">— The access agreement prohibits the intended extraction, incorporation, or use. Release is blocked; use an alternative source or obtain a license.</w:t>
      </w:r>
    </w:p>
    <w:p>
      <w:pPr>
        <w:pStyle w:val="BodyText"/>
      </w:pPr>
      <w:r>
        <w:rPr>
          <w:rStyle w:val="VerbatimChar"/>
          <w:b/>
          <w:bCs/>
        </w:rPr>
        <w:t xml:space="preserve">PROHIBITED</w:t>
      </w:r>
      <w:r>
        <w:t xml:space="preserve"> </w:t>
      </w:r>
      <w:r>
        <w:t xml:space="preserve">— The use involves circumvention, confidential content, revoked rights, or an expressly forbidden action. Do not ingest or ship as specified.</w:t>
      </w:r>
    </w:p>
    <w:p>
      <w:pPr>
        <w:pStyle w:val="BodyText"/>
      </w:pPr>
      <w:r>
        <w:rPr>
          <w:rStyle w:val="VerbatimChar"/>
          <w:b/>
          <w:bCs/>
        </w:rPr>
        <w:t xml:space="preserve">UNKNOWN</w:t>
      </w:r>
      <w:r>
        <w:t xml:space="preserve"> </w:t>
      </w:r>
      <w:r>
        <w:t xml:space="preserve">— Rights have not been verified. Commercial release is blocked.</w:t>
      </w:r>
    </w:p>
    <w:bookmarkStart w:id="42" w:name="X1267ad1abf134f0644844e5fa4aabc6e36bdc0c"/>
    <w:p>
      <w:pPr>
        <w:pStyle w:val="Heading3"/>
        <w:keepNext/>
        <w:keepLines/>
      </w:pPr>
      <w:r>
        <w:t xml:space="preserve">6.1 Risk colors</w:t>
      </w:r>
    </w:p>
    <w:p>
      <w:pPr>
        <w:pStyle w:val="Compact"/>
        <w:numPr>
          <w:ilvl w:val="0"/>
          <w:numId w:val="1019"/>
        </w:numPr>
      </w:pPr>
      <w:r>
        <w:rPr>
          <w:b/>
          <w:bCs/>
        </w:rPr>
        <w:t xml:space="preserve">Green:</w:t>
      </w:r>
      <w:r>
        <w:t xml:space="preserve"> </w:t>
      </w:r>
      <w:r>
        <w:t xml:space="preserve">cleared open license, public domain, or approved facts-only implementation</w:t>
      </w:r>
    </w:p>
    <w:p>
      <w:pPr>
        <w:pStyle w:val="Compact"/>
        <w:numPr>
          <w:ilvl w:val="0"/>
          <w:numId w:val="1019"/>
        </w:numPr>
      </w:pPr>
      <w:r>
        <w:rPr>
          <w:b/>
          <w:bCs/>
        </w:rPr>
        <w:t xml:space="preserve">Yellow:</w:t>
      </w:r>
      <w:r>
        <w:t xml:space="preserve"> </w:t>
      </w:r>
      <w:r>
        <w:t xml:space="preserve">legal review, custom license, short quote, substantial compilation, branded method</w:t>
      </w:r>
    </w:p>
    <w:p>
      <w:pPr>
        <w:pStyle w:val="Compact"/>
        <w:numPr>
          <w:ilvl w:val="0"/>
          <w:numId w:val="1019"/>
        </w:numPr>
      </w:pPr>
      <w:r>
        <w:rPr>
          <w:b/>
          <w:bCs/>
        </w:rPr>
        <w:t xml:space="preserve">Orange:</w:t>
      </w:r>
      <w:r>
        <w:t xml:space="preserve"> </w:t>
      </w:r>
      <w:r>
        <w:t xml:space="preserve">permission required, noncommercial license in commercial product, no-derivatives adaptation, contract restriction</w:t>
      </w:r>
    </w:p>
    <w:p>
      <w:pPr>
        <w:pStyle w:val="Compact"/>
        <w:numPr>
          <w:ilvl w:val="0"/>
          <w:numId w:val="1019"/>
        </w:numPr>
      </w:pPr>
      <w:r>
        <w:rPr>
          <w:b/>
          <w:bCs/>
        </w:rPr>
        <w:t xml:space="preserve">Red:</w:t>
      </w:r>
      <w:r>
        <w:t xml:space="preserve"> </w:t>
      </w:r>
      <w:r>
        <w:t xml:space="preserve">prohibited access, confidential content, unauthorized copying, expired/revoked permission, deceptive endorsement</w:t>
      </w:r>
    </w:p>
    <w:p>
      <w:r>
        <w:pict>
          <v:rect style="width:0;height:1.5pt" o:hralign="center" o:hrstd="t" o:hr="t"/>
        </w:pict>
      </w:r>
    </w:p>
    <w:bookmarkEnd w:id="42"/>
    <w:bookmarkEnd w:id="43"/>
    <w:bookmarkStart w:id="50" w:name="Xb33f3178e7d7875e1a204520b0abad24ebddbe5"/>
    <w:p>
      <w:pPr>
        <w:pStyle w:val="Heading2"/>
        <w:keepNext/>
        <w:keepLines/>
      </w:pPr>
      <w:r>
        <w:t xml:space="preserve">7. Research Foundry content zones</w:t>
      </w:r>
    </w:p>
    <w:p>
      <w:pPr>
        <w:pStyle w:val="FirstParagraph"/>
      </w:pPr>
      <w:r>
        <w:t xml:space="preserve">Research Foundry must enforce rights by architecture, not only by policy.</w:t>
      </w:r>
    </w:p>
    <w:bookmarkStart w:id="44" w:name="zone-0--discovery-index"/>
    <w:p>
      <w:pPr>
        <w:pStyle w:val="Heading3"/>
        <w:keepNext/>
        <w:keepLines/>
      </w:pPr>
      <w:r>
        <w:t xml:space="preserve">Zone 0 — Discovery index</w:t>
      </w:r>
    </w:p>
    <w:p>
      <w:pPr>
        <w:pStyle w:val="FirstParagraph"/>
      </w:pPr>
      <w:r>
        <w:t xml:space="preserve">Contains:</w:t>
      </w:r>
    </w:p>
    <w:p>
      <w:pPr>
        <w:pStyle w:val="Compact"/>
        <w:numPr>
          <w:ilvl w:val="0"/>
          <w:numId w:val="1020"/>
        </w:numPr>
      </w:pPr>
      <w:r>
        <w:t xml:space="preserve">bibliographic metadata;</w:t>
      </w:r>
    </w:p>
    <w:p>
      <w:pPr>
        <w:pStyle w:val="Compact"/>
        <w:numPr>
          <w:ilvl w:val="0"/>
          <w:numId w:val="1020"/>
        </w:numPr>
      </w:pPr>
      <w:r>
        <w:t xml:space="preserve">public URLs;</w:t>
      </w:r>
    </w:p>
    <w:p>
      <w:pPr>
        <w:pStyle w:val="Compact"/>
        <w:numPr>
          <w:ilvl w:val="0"/>
          <w:numId w:val="1020"/>
        </w:numPr>
      </w:pPr>
      <w:r>
        <w:t xml:space="preserve">search results;</w:t>
      </w:r>
    </w:p>
    <w:p>
      <w:pPr>
        <w:pStyle w:val="Compact"/>
        <w:numPr>
          <w:ilvl w:val="0"/>
          <w:numId w:val="1020"/>
        </w:numPr>
      </w:pPr>
      <w:r>
        <w:t xml:space="preserve">license candidates;</w:t>
      </w:r>
    </w:p>
    <w:p>
      <w:pPr>
        <w:pStyle w:val="Compact"/>
        <w:numPr>
          <w:ilvl w:val="0"/>
          <w:numId w:val="1020"/>
        </w:numPr>
      </w:pPr>
      <w:r>
        <w:t xml:space="preserve">no full-text assumptions.</w:t>
      </w:r>
    </w:p>
    <w:bookmarkEnd w:id="44"/>
    <w:bookmarkStart w:id="45" w:name="zone-1--controlled-source-vault"/>
    <w:p>
      <w:pPr>
        <w:pStyle w:val="Heading3"/>
        <w:keepNext/>
        <w:keepLines/>
      </w:pPr>
      <w:r>
        <w:t xml:space="preserve">Zone 1 — Controlled source vault</w:t>
      </w:r>
    </w:p>
    <w:p>
      <w:pPr>
        <w:pStyle w:val="FirstParagraph"/>
      </w:pPr>
      <w:r>
        <w:t xml:space="preserve">May contain lawfully obtained source files subject to:</w:t>
      </w:r>
    </w:p>
    <w:p>
      <w:pPr>
        <w:pStyle w:val="Compact"/>
        <w:numPr>
          <w:ilvl w:val="0"/>
          <w:numId w:val="1021"/>
        </w:numPr>
      </w:pPr>
      <w:r>
        <w:t xml:space="preserve">access controls;</w:t>
      </w:r>
    </w:p>
    <w:p>
      <w:pPr>
        <w:pStyle w:val="Compact"/>
        <w:numPr>
          <w:ilvl w:val="0"/>
          <w:numId w:val="1021"/>
        </w:numPr>
      </w:pPr>
      <w:r>
        <w:t xml:space="preserve">subscription or institutional-user limits;</w:t>
      </w:r>
    </w:p>
    <w:p>
      <w:pPr>
        <w:pStyle w:val="Compact"/>
        <w:numPr>
          <w:ilvl w:val="0"/>
          <w:numId w:val="1021"/>
        </w:numPr>
      </w:pPr>
      <w:r>
        <w:t xml:space="preserve">no uncontrolled redistribution;</w:t>
      </w:r>
    </w:p>
    <w:p>
      <w:pPr>
        <w:pStyle w:val="Compact"/>
        <w:numPr>
          <w:ilvl w:val="0"/>
          <w:numId w:val="1021"/>
        </w:numPr>
      </w:pPr>
      <w:r>
        <w:t xml:space="preserve">source checksum and access provenance;</w:t>
      </w:r>
    </w:p>
    <w:p>
      <w:pPr>
        <w:pStyle w:val="Compact"/>
        <w:numPr>
          <w:ilvl w:val="0"/>
          <w:numId w:val="1021"/>
        </w:numPr>
      </w:pPr>
      <w:r>
        <w:t xml:space="preserve">deletion or access termination requirements;</w:t>
      </w:r>
    </w:p>
    <w:p>
      <w:pPr>
        <w:pStyle w:val="Compact"/>
        <w:numPr>
          <w:ilvl w:val="0"/>
          <w:numId w:val="1021"/>
        </w:numPr>
      </w:pPr>
      <w:r>
        <w:t xml:space="preserve">authorized retrieval methods.</w:t>
      </w:r>
    </w:p>
    <w:bookmarkEnd w:id="45"/>
    <w:bookmarkStart w:id="46" w:name="zone-2--research-evidence-registry"/>
    <w:p>
      <w:pPr>
        <w:pStyle w:val="Heading3"/>
        <w:keepNext/>
        <w:keepLines/>
      </w:pPr>
      <w:r>
        <w:t xml:space="preserve">Zone 2 — Research evidence registry</w:t>
      </w:r>
    </w:p>
    <w:p>
      <w:pPr>
        <w:pStyle w:val="FirstParagraph"/>
      </w:pPr>
      <w:r>
        <w:t xml:space="preserve">Contains:</w:t>
      </w:r>
    </w:p>
    <w:p>
      <w:pPr>
        <w:pStyle w:val="Compact"/>
        <w:numPr>
          <w:ilvl w:val="0"/>
          <w:numId w:val="1022"/>
        </w:numPr>
      </w:pPr>
      <w:r>
        <w:t xml:space="preserve">independently worded evidence atoms;</w:t>
      </w:r>
    </w:p>
    <w:p>
      <w:pPr>
        <w:pStyle w:val="Compact"/>
        <w:numPr>
          <w:ilvl w:val="0"/>
          <w:numId w:val="1022"/>
        </w:numPr>
      </w:pPr>
      <w:r>
        <w:t xml:space="preserve">precise source locators;</w:t>
      </w:r>
    </w:p>
    <w:p>
      <w:pPr>
        <w:pStyle w:val="Compact"/>
        <w:numPr>
          <w:ilvl w:val="0"/>
          <w:numId w:val="1022"/>
        </w:numPr>
      </w:pPr>
      <w:r>
        <w:t xml:space="preserve">short controlled excerpts where justified;</w:t>
      </w:r>
    </w:p>
    <w:p>
      <w:pPr>
        <w:pStyle w:val="Compact"/>
        <w:numPr>
          <w:ilvl w:val="0"/>
          <w:numId w:val="1022"/>
        </w:numPr>
      </w:pPr>
      <w:r>
        <w:t xml:space="preserve">appraisal and conflict records;</w:t>
      </w:r>
    </w:p>
    <w:p>
      <w:pPr>
        <w:pStyle w:val="Compact"/>
        <w:numPr>
          <w:ilvl w:val="0"/>
          <w:numId w:val="1022"/>
        </w:numPr>
      </w:pPr>
      <w:r>
        <w:t xml:space="preserve">rights records;</w:t>
      </w:r>
    </w:p>
    <w:p>
      <w:pPr>
        <w:pStyle w:val="Compact"/>
        <w:numPr>
          <w:ilvl w:val="0"/>
          <w:numId w:val="1022"/>
        </w:numPr>
      </w:pPr>
      <w:r>
        <w:t xml:space="preserve">no copied figures, tables, or long text unless separately licensed.</w:t>
      </w:r>
    </w:p>
    <w:bookmarkEnd w:id="46"/>
    <w:bookmarkStart w:id="47" w:name="zone-3--rule-authoring-workspace"/>
    <w:p>
      <w:pPr>
        <w:pStyle w:val="Heading3"/>
        <w:keepNext/>
        <w:keepLines/>
      </w:pPr>
      <w:r>
        <w:t xml:space="preserve">Zone 3 — Rule-authoring workspace</w:t>
      </w:r>
    </w:p>
    <w:p>
      <w:pPr>
        <w:pStyle w:val="FirstParagraph"/>
      </w:pPr>
      <w:r>
        <w:t xml:space="preserve">Contains:</w:t>
      </w:r>
    </w:p>
    <w:p>
      <w:pPr>
        <w:pStyle w:val="Compact"/>
        <w:numPr>
          <w:ilvl w:val="0"/>
          <w:numId w:val="1023"/>
        </w:numPr>
      </w:pPr>
      <w:r>
        <w:t xml:space="preserve">approved factual inputs;</w:t>
      </w:r>
    </w:p>
    <w:p>
      <w:pPr>
        <w:pStyle w:val="Compact"/>
        <w:numPr>
          <w:ilvl w:val="0"/>
          <w:numId w:val="1023"/>
        </w:numPr>
      </w:pPr>
      <w:r>
        <w:t xml:space="preserve">original deterministic logic;</w:t>
      </w:r>
    </w:p>
    <w:p>
      <w:pPr>
        <w:pStyle w:val="Compact"/>
        <w:numPr>
          <w:ilvl w:val="0"/>
          <w:numId w:val="1023"/>
        </w:numPr>
      </w:pPr>
      <w:r>
        <w:t xml:space="preserve">original explanation text;</w:t>
      </w:r>
    </w:p>
    <w:p>
      <w:pPr>
        <w:pStyle w:val="Compact"/>
        <w:numPr>
          <w:ilvl w:val="0"/>
          <w:numId w:val="1023"/>
        </w:numPr>
      </w:pPr>
      <w:r>
        <w:t xml:space="preserve">test cases;</w:t>
      </w:r>
    </w:p>
    <w:p>
      <w:pPr>
        <w:pStyle w:val="Compact"/>
        <w:numPr>
          <w:ilvl w:val="0"/>
          <w:numId w:val="1023"/>
        </w:numPr>
      </w:pPr>
      <w:r>
        <w:t xml:space="preserve">source citations;</w:t>
      </w:r>
    </w:p>
    <w:p>
      <w:pPr>
        <w:pStyle w:val="Compact"/>
        <w:numPr>
          <w:ilvl w:val="0"/>
          <w:numId w:val="1023"/>
        </w:numPr>
      </w:pPr>
      <w:r>
        <w:t xml:space="preserve">reusable content only.</w:t>
      </w:r>
    </w:p>
    <w:bookmarkEnd w:id="47"/>
    <w:bookmarkStart w:id="48" w:name="zone-4--release-candidate"/>
    <w:p>
      <w:pPr>
        <w:pStyle w:val="Heading3"/>
        <w:keepNext/>
        <w:keepLines/>
      </w:pPr>
      <w:r>
        <w:t xml:space="preserve">Zone 4 — Release candidate</w:t>
      </w:r>
    </w:p>
    <w:p>
      <w:pPr>
        <w:pStyle w:val="FirstParagraph"/>
      </w:pPr>
      <w:r>
        <w:t xml:space="preserve">Contains only:</w:t>
      </w:r>
    </w:p>
    <w:p>
      <w:pPr>
        <w:pStyle w:val="Compact"/>
        <w:numPr>
          <w:ilvl w:val="0"/>
          <w:numId w:val="1024"/>
        </w:numPr>
      </w:pPr>
      <w:r>
        <w:t xml:space="preserve">rights-cleared atoms and rules;</w:t>
      </w:r>
    </w:p>
    <w:p>
      <w:pPr>
        <w:pStyle w:val="Compact"/>
        <w:numPr>
          <w:ilvl w:val="0"/>
          <w:numId w:val="1024"/>
        </w:numPr>
      </w:pPr>
      <w:r>
        <w:t xml:space="preserve">required attribution and license notices;</w:t>
      </w:r>
    </w:p>
    <w:p>
      <w:pPr>
        <w:pStyle w:val="Compact"/>
        <w:numPr>
          <w:ilvl w:val="0"/>
          <w:numId w:val="1024"/>
        </w:numPr>
      </w:pPr>
      <w:r>
        <w:t xml:space="preserve">active permission records;</w:t>
      </w:r>
    </w:p>
    <w:p>
      <w:pPr>
        <w:pStyle w:val="Compact"/>
        <w:numPr>
          <w:ilvl w:val="0"/>
          <w:numId w:val="1024"/>
        </w:numPr>
      </w:pPr>
      <w:r>
        <w:t xml:space="preserve">no unresolved rights failures;</w:t>
      </w:r>
    </w:p>
    <w:p>
      <w:pPr>
        <w:pStyle w:val="Compact"/>
        <w:numPr>
          <w:ilvl w:val="0"/>
          <w:numId w:val="1024"/>
        </w:numPr>
      </w:pPr>
      <w:r>
        <w:t xml:space="preserve">versioned clearance manifest.</w:t>
      </w:r>
    </w:p>
    <w:bookmarkEnd w:id="48"/>
    <w:bookmarkStart w:id="49" w:name="zone-5--product-runtime-and-distribution"/>
    <w:p>
      <w:pPr>
        <w:pStyle w:val="Heading3"/>
        <w:keepNext/>
        <w:keepLines/>
      </w:pPr>
      <w:r>
        <w:t xml:space="preserve">Zone 5 — Product runtime and distribution</w:t>
      </w:r>
    </w:p>
    <w:p>
      <w:pPr>
        <w:pStyle w:val="FirstParagraph"/>
      </w:pPr>
      <w:r>
        <w:t xml:space="preserve">Contains only the shippable package approved for:</w:t>
      </w:r>
    </w:p>
    <w:p>
      <w:pPr>
        <w:pStyle w:val="Compact"/>
        <w:numPr>
          <w:ilvl w:val="0"/>
          <w:numId w:val="1025"/>
        </w:numPr>
      </w:pPr>
      <w:r>
        <w:t xml:space="preserve">the named product;</w:t>
      </w:r>
    </w:p>
    <w:p>
      <w:pPr>
        <w:pStyle w:val="Compact"/>
        <w:numPr>
          <w:ilvl w:val="0"/>
          <w:numId w:val="1025"/>
        </w:numPr>
      </w:pPr>
      <w:r>
        <w:t xml:space="preserve">the named audience;</w:t>
      </w:r>
    </w:p>
    <w:p>
      <w:pPr>
        <w:pStyle w:val="Compact"/>
        <w:numPr>
          <w:ilvl w:val="0"/>
          <w:numId w:val="1025"/>
        </w:numPr>
      </w:pPr>
      <w:r>
        <w:t xml:space="preserve">the named territory;</w:t>
      </w:r>
    </w:p>
    <w:p>
      <w:pPr>
        <w:pStyle w:val="Compact"/>
        <w:numPr>
          <w:ilvl w:val="0"/>
          <w:numId w:val="1025"/>
        </w:numPr>
      </w:pPr>
      <w:r>
        <w:t xml:space="preserve">the named channel;</w:t>
      </w:r>
    </w:p>
    <w:p>
      <w:pPr>
        <w:pStyle w:val="Compact"/>
        <w:numPr>
          <w:ilvl w:val="0"/>
          <w:numId w:val="1025"/>
        </w:numPr>
      </w:pPr>
      <w:r>
        <w:t xml:space="preserve">the approved product claims;</w:t>
      </w:r>
    </w:p>
    <w:p>
      <w:pPr>
        <w:pStyle w:val="Compact"/>
        <w:numPr>
          <w:ilvl w:val="0"/>
          <w:numId w:val="1025"/>
        </w:numPr>
      </w:pPr>
      <w:r>
        <w:t xml:space="preserve">the applicable license period.</w:t>
      </w:r>
    </w:p>
    <w:p>
      <w:pPr>
        <w:pStyle w:val="FirstParagraph"/>
      </w:pPr>
      <w:r>
        <w:t xml:space="preserve">Content must not move to a higher zone merely because it has strong medical evidence.</w:t>
      </w:r>
    </w:p>
    <w:p>
      <w:r>
        <w:pict>
          <v:rect style="width:0;height:1.5pt" o:hralign="center" o:hrstd="t" o:hr="t"/>
        </w:pict>
      </w:r>
    </w:p>
    <w:bookmarkEnd w:id="49"/>
    <w:bookmarkEnd w:id="50"/>
    <w:bookmarkStart w:id="54" w:name="X1c5cc8b5dace3fa61c64422dbcbe0c6e817a803"/>
    <w:p>
      <w:pPr>
        <w:pStyle w:val="Heading2"/>
        <w:keepNext/>
        <w:keepLines/>
      </w:pPr>
      <w:r>
        <w:t xml:space="preserve">8. Required agent behavior</w:t>
      </w:r>
    </w:p>
    <w:bookmarkStart w:id="51" w:name="X97a26d28cd0b1896b6b85e4a6ec9876101cc2aa"/>
    <w:p>
      <w:pPr>
        <w:pStyle w:val="Heading3"/>
        <w:keepNext/>
        <w:keepLines/>
      </w:pPr>
      <w:r>
        <w:t xml:space="preserve">8.1 Agents MUST</w:t>
      </w:r>
    </w:p>
    <w:p>
      <w:pPr>
        <w:pStyle w:val="Compact"/>
        <w:numPr>
          <w:ilvl w:val="0"/>
          <w:numId w:val="1026"/>
        </w:numPr>
      </w:pPr>
      <w:r>
        <w:t xml:space="preserve">Identify the exact source, edition, version, correction status, and publication date.</w:t>
      </w:r>
    </w:p>
    <w:p>
      <w:pPr>
        <w:pStyle w:val="Compact"/>
        <w:numPr>
          <w:ilvl w:val="0"/>
          <w:numId w:val="1026"/>
        </w:numPr>
      </w:pPr>
      <w:r>
        <w:t xml:space="preserve">Record how the source was accessed and which terms governed that access.</w:t>
      </w:r>
    </w:p>
    <w:p>
      <w:pPr>
        <w:pStyle w:val="Compact"/>
        <w:numPr>
          <w:ilvl w:val="0"/>
          <w:numId w:val="1026"/>
        </w:numPr>
      </w:pPr>
      <w:r>
        <w:t xml:space="preserve">Verify the article-level or item-level license.</w:t>
      </w:r>
    </w:p>
    <w:p>
      <w:pPr>
        <w:pStyle w:val="Compact"/>
        <w:numPr>
          <w:ilvl w:val="0"/>
          <w:numId w:val="1026"/>
        </w:numPr>
      </w:pPr>
      <w:r>
        <w:t xml:space="preserve">Separate facts and methods from expression, presentation, and compilation.</w:t>
      </w:r>
    </w:p>
    <w:p>
      <w:pPr>
        <w:pStyle w:val="Compact"/>
        <w:numPr>
          <w:ilvl w:val="0"/>
          <w:numId w:val="1026"/>
        </w:numPr>
      </w:pPr>
      <w:r>
        <w:t xml:space="preserve">Extract one atomic factual claim per evidence atom.</w:t>
      </w:r>
    </w:p>
    <w:p>
      <w:pPr>
        <w:pStyle w:val="Compact"/>
        <w:numPr>
          <w:ilvl w:val="0"/>
          <w:numId w:val="1026"/>
        </w:numPr>
      </w:pPr>
      <w:r>
        <w:t xml:space="preserve">Use precise page, section, table, figure, or equation locators.</w:t>
      </w:r>
    </w:p>
    <w:p>
      <w:pPr>
        <w:pStyle w:val="Compact"/>
        <w:numPr>
          <w:ilvl w:val="0"/>
          <w:numId w:val="1026"/>
        </w:numPr>
      </w:pPr>
      <w:r>
        <w:t xml:space="preserve">Write original paraphrases and original product explanations.</w:t>
      </w:r>
    </w:p>
    <w:p>
      <w:pPr>
        <w:pStyle w:val="Compact"/>
        <w:numPr>
          <w:ilvl w:val="0"/>
          <w:numId w:val="1026"/>
        </w:numPr>
      </w:pPr>
      <w:r>
        <w:t xml:space="preserve">Record whether an output is source-stated, analyst-paraphrased, analyst-derived, or expert-adjudicated.</w:t>
      </w:r>
    </w:p>
    <w:p>
      <w:pPr>
        <w:pStyle w:val="Compact"/>
        <w:numPr>
          <w:ilvl w:val="0"/>
          <w:numId w:val="1026"/>
        </w:numPr>
      </w:pPr>
      <w:r>
        <w:t xml:space="preserve">Create a</w:t>
      </w:r>
      <w:r>
        <w:t xml:space="preserve"> </w:t>
      </w:r>
      <w:r>
        <w:rPr>
          <w:rStyle w:val="VerbatimChar"/>
        </w:rPr>
        <w:t xml:space="preserve">rights_record</w:t>
      </w:r>
      <w:r>
        <w:t xml:space="preserve"> </w:t>
      </w:r>
      <w:r>
        <w:t xml:space="preserve">for every source used in rule authoring.</w:t>
      </w:r>
    </w:p>
    <w:p>
      <w:pPr>
        <w:pStyle w:val="Compact"/>
        <w:numPr>
          <w:ilvl w:val="0"/>
          <w:numId w:val="1026"/>
        </w:numPr>
      </w:pPr>
      <w:r>
        <w:t xml:space="preserve">Create a</w:t>
      </w:r>
      <w:r>
        <w:t xml:space="preserve"> </w:t>
      </w:r>
      <w:r>
        <w:rPr>
          <w:rStyle w:val="VerbatimChar"/>
        </w:rPr>
        <w:t xml:space="preserve">content_reuse_assessment</w:t>
      </w:r>
      <w:r>
        <w:t xml:space="preserve"> </w:t>
      </w:r>
      <w:r>
        <w:t xml:space="preserve">for every component intended for external shipment.</w:t>
      </w:r>
    </w:p>
    <w:p>
      <w:pPr>
        <w:pStyle w:val="Compact"/>
        <w:numPr>
          <w:ilvl w:val="0"/>
          <w:numId w:val="1026"/>
        </w:numPr>
      </w:pPr>
      <w:r>
        <w:t xml:space="preserve">Record permission evidence and expiration when permission is required.</w:t>
      </w:r>
    </w:p>
    <w:p>
      <w:pPr>
        <w:pStyle w:val="Compact"/>
        <w:numPr>
          <w:ilvl w:val="0"/>
          <w:numId w:val="1026"/>
        </w:numPr>
      </w:pPr>
      <w:r>
        <w:t xml:space="preserve">Link candidate rules to all supporting reuse assessments.</w:t>
      </w:r>
    </w:p>
    <w:p>
      <w:pPr>
        <w:pStyle w:val="Compact"/>
        <w:numPr>
          <w:ilvl w:val="0"/>
          <w:numId w:val="1026"/>
        </w:numPr>
      </w:pPr>
      <w:r>
        <w:t xml:space="preserve">Block release when the rights status is unknown or unresolved.</w:t>
      </w:r>
    </w:p>
    <w:p>
      <w:pPr>
        <w:pStyle w:val="Compact"/>
        <w:numPr>
          <w:ilvl w:val="0"/>
          <w:numId w:val="1026"/>
        </w:numPr>
      </w:pPr>
      <w:r>
        <w:t xml:space="preserve">Preserve attribution and license notices exactly as required.</w:t>
      </w:r>
    </w:p>
    <w:p>
      <w:pPr>
        <w:pStyle w:val="Compact"/>
        <w:numPr>
          <w:ilvl w:val="0"/>
          <w:numId w:val="1026"/>
        </w:numPr>
      </w:pPr>
      <w:r>
        <w:t xml:space="preserve">Re-review rights when the source, product, audience, territory, channel, or business model changes.</w:t>
      </w:r>
    </w:p>
    <w:p>
      <w:pPr>
        <w:pStyle w:val="Compact"/>
        <w:numPr>
          <w:ilvl w:val="0"/>
          <w:numId w:val="1026"/>
        </w:numPr>
      </w:pPr>
      <w:r>
        <w:t xml:space="preserve">Use only authorized bulk-retrieval and text-mining methods.</w:t>
      </w:r>
    </w:p>
    <w:p>
      <w:pPr>
        <w:pStyle w:val="Compact"/>
        <w:numPr>
          <w:ilvl w:val="0"/>
          <w:numId w:val="1026"/>
        </w:numPr>
      </w:pPr>
      <w:r>
        <w:t xml:space="preserve">Flag patents, questionnaires, proprietary scores, branded methods, and commercial datasets for specialist review.</w:t>
      </w:r>
    </w:p>
    <w:p>
      <w:pPr>
        <w:pStyle w:val="Compact"/>
        <w:numPr>
          <w:ilvl w:val="0"/>
          <w:numId w:val="1026"/>
        </w:numPr>
      </w:pPr>
      <w:r>
        <w:t xml:space="preserve">Search for alternative primary or openly licensed sources when a proprietary source creates avoidable restrictions.</w:t>
      </w:r>
    </w:p>
    <w:bookmarkEnd w:id="51"/>
    <w:bookmarkStart w:id="52" w:name="X86c23045aa862623de36564f93197733df2a182"/>
    <w:p>
      <w:pPr>
        <w:pStyle w:val="Heading3"/>
        <w:keepNext/>
        <w:keepLines/>
      </w:pPr>
      <w:r>
        <w:t xml:space="preserve">8.2 Agents MUST NOT</w:t>
      </w:r>
    </w:p>
    <w:p>
      <w:pPr>
        <w:pStyle w:val="Compact"/>
        <w:numPr>
          <w:ilvl w:val="0"/>
          <w:numId w:val="1027"/>
        </w:numPr>
      </w:pPr>
      <w:r>
        <w:t xml:space="preserve">Treat a citation as permission.</w:t>
      </w:r>
    </w:p>
    <w:p>
      <w:pPr>
        <w:pStyle w:val="Compact"/>
        <w:numPr>
          <w:ilvl w:val="0"/>
          <w:numId w:val="1027"/>
        </w:numPr>
      </w:pPr>
      <w:r>
        <w:t xml:space="preserve">Treat paid access as ownership or a commercial content license.</w:t>
      </w:r>
    </w:p>
    <w:p>
      <w:pPr>
        <w:pStyle w:val="Compact"/>
        <w:numPr>
          <w:ilvl w:val="0"/>
          <w:numId w:val="1027"/>
        </w:numPr>
      </w:pPr>
      <w:r>
        <w:t xml:space="preserve">Treat “free online,” “open access,” PubMed indexing, or PMC inclusion as proof of commercial reuse rights.</w:t>
      </w:r>
    </w:p>
    <w:p>
      <w:pPr>
        <w:pStyle w:val="Compact"/>
        <w:numPr>
          <w:ilvl w:val="0"/>
          <w:numId w:val="1027"/>
        </w:numPr>
      </w:pPr>
      <w:r>
        <w:t xml:space="preserve">Copy or lightly rewrite substantial source prose.</w:t>
      </w:r>
    </w:p>
    <w:p>
      <w:pPr>
        <w:pStyle w:val="Compact"/>
        <w:numPr>
          <w:ilvl w:val="0"/>
          <w:numId w:val="1027"/>
        </w:numPr>
      </w:pPr>
      <w:r>
        <w:t xml:space="preserve">recreate a table or figure by changing colors, fonts, labels, or layout while preserving its protected expression.</w:t>
      </w:r>
    </w:p>
    <w:p>
      <w:pPr>
        <w:pStyle w:val="Compact"/>
        <w:numPr>
          <w:ilvl w:val="0"/>
          <w:numId w:val="1027"/>
        </w:numPr>
      </w:pPr>
      <w:r>
        <w:t xml:space="preserve">Reconstruct a complete proprietary knowledge product from a subscription source without approval.</w:t>
      </w:r>
    </w:p>
    <w:p>
      <w:pPr>
        <w:pStyle w:val="Compact"/>
        <w:numPr>
          <w:ilvl w:val="0"/>
          <w:numId w:val="1027"/>
        </w:numPr>
      </w:pPr>
      <w:r>
        <w:t xml:space="preserve">Bulk scrape a website or repository contrary to its terms or technical controls.</w:t>
      </w:r>
    </w:p>
    <w:p>
      <w:pPr>
        <w:pStyle w:val="Compact"/>
        <w:numPr>
          <w:ilvl w:val="0"/>
          <w:numId w:val="1027"/>
        </w:numPr>
      </w:pPr>
      <w:r>
        <w:t xml:space="preserve">Share credentials or use personal subscriptions for unauthorized organizational extraction.</w:t>
      </w:r>
    </w:p>
    <w:p>
      <w:pPr>
        <w:pStyle w:val="Compact"/>
        <w:numPr>
          <w:ilvl w:val="0"/>
          <w:numId w:val="1027"/>
        </w:numPr>
      </w:pPr>
      <w:r>
        <w:t xml:space="preserve">Bypass paywalls, robot exclusions, download limits, or access controls.</w:t>
      </w:r>
    </w:p>
    <w:p>
      <w:pPr>
        <w:pStyle w:val="Compact"/>
        <w:numPr>
          <w:ilvl w:val="0"/>
          <w:numId w:val="1027"/>
        </w:numPr>
      </w:pPr>
      <w:r>
        <w:t xml:space="preserve">Use society logos, marks, or endorsement language without authorization.</w:t>
      </w:r>
    </w:p>
    <w:p>
      <w:pPr>
        <w:pStyle w:val="Compact"/>
        <w:numPr>
          <w:ilvl w:val="0"/>
          <w:numId w:val="1027"/>
        </w:numPr>
      </w:pPr>
      <w:r>
        <w:t xml:space="preserve">Ship proprietary questionnaires, scoring instructions, test items, or patient handouts without verified rights.</w:t>
      </w:r>
    </w:p>
    <w:p>
      <w:pPr>
        <w:pStyle w:val="Compact"/>
        <w:numPr>
          <w:ilvl w:val="0"/>
          <w:numId w:val="1027"/>
        </w:numPr>
      </w:pPr>
      <w:r>
        <w:t xml:space="preserve">Assume an equation is unencumbered by patent, trademark, or contractual rights merely because equations are not protected by copyright as such.</w:t>
      </w:r>
    </w:p>
    <w:p>
      <w:pPr>
        <w:pStyle w:val="Compact"/>
        <w:numPr>
          <w:ilvl w:val="0"/>
          <w:numId w:val="1027"/>
        </w:numPr>
      </w:pPr>
      <w:r>
        <w:t xml:space="preserve">Use long verbatim passages in the evidence registry.</w:t>
      </w:r>
    </w:p>
    <w:p>
      <w:pPr>
        <w:pStyle w:val="Compact"/>
        <w:numPr>
          <w:ilvl w:val="0"/>
          <w:numId w:val="1027"/>
        </w:numPr>
      </w:pPr>
      <w:r>
        <w:t xml:space="preserve">rely on fair use as an automated or default commercial release rationale.</w:t>
      </w:r>
    </w:p>
    <w:p>
      <w:pPr>
        <w:pStyle w:val="Compact"/>
        <w:numPr>
          <w:ilvl w:val="0"/>
          <w:numId w:val="1027"/>
        </w:numPr>
      </w:pPr>
      <w:r>
        <w:t xml:space="preserve">infer rights from another product’s apparent use of the same source.</w:t>
      </w:r>
    </w:p>
    <w:bookmarkEnd w:id="52"/>
    <w:bookmarkStart w:id="53" w:name="Xfce34bda32a252637064dda402348c1a0035174"/>
    <w:p>
      <w:pPr>
        <w:pStyle w:val="Heading3"/>
        <w:keepNext/>
        <w:keepLines/>
      </w:pPr>
      <w:r>
        <w:t xml:space="preserve">8.3 Agents SHOULD</w:t>
      </w:r>
    </w:p>
    <w:p>
      <w:pPr>
        <w:pStyle w:val="Compact"/>
        <w:numPr>
          <w:ilvl w:val="0"/>
          <w:numId w:val="1028"/>
        </w:numPr>
      </w:pPr>
      <w:r>
        <w:t xml:space="preserve">prefer primary studies, public-health guidance, public-domain works, and CC BY sources;</w:t>
      </w:r>
    </w:p>
    <w:p>
      <w:pPr>
        <w:pStyle w:val="Compact"/>
        <w:numPr>
          <w:ilvl w:val="0"/>
          <w:numId w:val="1028"/>
        </w:numPr>
      </w:pPr>
      <w:r>
        <w:t xml:space="preserve">use multiple independent sources to reduce dependence on one proprietary compilation;</w:t>
      </w:r>
    </w:p>
    <w:p>
      <w:pPr>
        <w:pStyle w:val="Compact"/>
        <w:numPr>
          <w:ilvl w:val="0"/>
          <w:numId w:val="1028"/>
        </w:numPr>
      </w:pPr>
      <w:r>
        <w:t xml:space="preserve">recreate clinical logic from underlying evidence rather than copying a society’s presentation;</w:t>
      </w:r>
    </w:p>
    <w:p>
      <w:pPr>
        <w:pStyle w:val="Compact"/>
        <w:numPr>
          <w:ilvl w:val="0"/>
          <w:numId w:val="1028"/>
        </w:numPr>
      </w:pPr>
      <w:r>
        <w:t xml:space="preserve">use clean-room authoring for high-similarity algorithms;</w:t>
      </w:r>
    </w:p>
    <w:p>
      <w:pPr>
        <w:pStyle w:val="Compact"/>
        <w:numPr>
          <w:ilvl w:val="0"/>
          <w:numId w:val="1028"/>
        </w:numPr>
      </w:pPr>
      <w:r>
        <w:t xml:space="preserve">seek licensing when a proprietary content set materially reduces clinical risk or implementation cost;</w:t>
      </w:r>
    </w:p>
    <w:p>
      <w:pPr>
        <w:pStyle w:val="Compact"/>
        <w:numPr>
          <w:ilvl w:val="0"/>
          <w:numId w:val="1028"/>
        </w:numPr>
      </w:pPr>
      <w:r>
        <w:t xml:space="preserve">retain snapshots of applicable terms and licenses;</w:t>
      </w:r>
    </w:p>
    <w:p>
      <w:pPr>
        <w:pStyle w:val="Compact"/>
        <w:numPr>
          <w:ilvl w:val="0"/>
          <w:numId w:val="1028"/>
        </w:numPr>
      </w:pPr>
      <w:r>
        <w:t xml:space="preserve">obtain human review for high-risk, neonatal, urgent, medication, or patient-facing content;</w:t>
      </w:r>
    </w:p>
    <w:p>
      <w:pPr>
        <w:pStyle w:val="Compact"/>
        <w:numPr>
          <w:ilvl w:val="0"/>
          <w:numId w:val="1028"/>
        </w:numPr>
      </w:pPr>
      <w:r>
        <w:t xml:space="preserve">treat negative rights findings as structured research results, not missing metadata.</w:t>
      </w:r>
    </w:p>
    <w:p>
      <w:r>
        <w:pict>
          <v:rect style="width:0;height:1.5pt" o:hralign="center" o:hrstd="t" o:hr="t"/>
        </w:pict>
      </w:r>
    </w:p>
    <w:bookmarkEnd w:id="53"/>
    <w:bookmarkEnd w:id="54"/>
    <w:bookmarkStart w:id="60" w:name="Xe204f4ab67a474d0a6db21aefe4164ee2a1b02c"/>
    <w:p>
      <w:pPr>
        <w:pStyle w:val="Heading2"/>
        <w:keepNext/>
        <w:keepLines/>
      </w:pPr>
      <w:r>
        <w:t xml:space="preserve">9. Clean-room rule-authoring pattern</w:t>
      </w:r>
    </w:p>
    <w:p>
      <w:pPr>
        <w:pStyle w:val="FirstParagraph"/>
      </w:pPr>
      <w:r>
        <w:t xml:space="preserve">For high-risk guideline or knowledge-base content, use a separation-of-duties process:</w:t>
      </w:r>
    </w:p>
    <w:bookmarkStart w:id="55" w:name="research-reviewer"/>
    <w:p>
      <w:pPr>
        <w:pStyle w:val="Heading3"/>
        <w:keepNext/>
        <w:keepLines/>
      </w:pPr>
      <w:r>
        <w:t xml:space="preserve">Research reviewer</w:t>
      </w:r>
    </w:p>
    <w:p>
      <w:pPr>
        <w:pStyle w:val="Compact"/>
        <w:numPr>
          <w:ilvl w:val="0"/>
          <w:numId w:val="1029"/>
        </w:numPr>
      </w:pPr>
      <w:r>
        <w:t xml:space="preserve">lawfully accesses sources;</w:t>
      </w:r>
    </w:p>
    <w:p>
      <w:pPr>
        <w:pStyle w:val="Compact"/>
        <w:numPr>
          <w:ilvl w:val="0"/>
          <w:numId w:val="1029"/>
        </w:numPr>
      </w:pPr>
      <w:r>
        <w:t xml:space="preserve">extracts atomic facts, methods, population limits, and locators;</w:t>
      </w:r>
    </w:p>
    <w:p>
      <w:pPr>
        <w:pStyle w:val="Compact"/>
        <w:numPr>
          <w:ilvl w:val="0"/>
          <w:numId w:val="1029"/>
        </w:numPr>
      </w:pPr>
      <w:r>
        <w:t xml:space="preserve">does not copy expressive structure into the implementation brief;</w:t>
      </w:r>
    </w:p>
    <w:p>
      <w:pPr>
        <w:pStyle w:val="Compact"/>
        <w:numPr>
          <w:ilvl w:val="0"/>
          <w:numId w:val="1029"/>
        </w:numPr>
      </w:pPr>
      <w:r>
        <w:t xml:space="preserve">records rights constraints.</w:t>
      </w:r>
    </w:p>
    <w:bookmarkEnd w:id="55"/>
    <w:bookmarkStart w:id="56" w:name="independent-rule-author"/>
    <w:p>
      <w:pPr>
        <w:pStyle w:val="Heading3"/>
        <w:keepNext/>
        <w:keepLines/>
      </w:pPr>
      <w:r>
        <w:t xml:space="preserve">Independent rule author</w:t>
      </w:r>
    </w:p>
    <w:p>
      <w:pPr>
        <w:pStyle w:val="Compact"/>
        <w:numPr>
          <w:ilvl w:val="0"/>
          <w:numId w:val="1030"/>
        </w:numPr>
      </w:pPr>
      <w:r>
        <w:t xml:space="preserve">receives approved evidence atoms and clinical requirements;</w:t>
      </w:r>
    </w:p>
    <w:p>
      <w:pPr>
        <w:pStyle w:val="Compact"/>
        <w:numPr>
          <w:ilvl w:val="0"/>
          <w:numId w:val="1030"/>
        </w:numPr>
      </w:pPr>
      <w:r>
        <w:t xml:space="preserve">writes the deterministic rule, variable names, ordering, and explanations independently;</w:t>
      </w:r>
    </w:p>
    <w:p>
      <w:pPr>
        <w:pStyle w:val="Compact"/>
        <w:numPr>
          <w:ilvl w:val="0"/>
          <w:numId w:val="1030"/>
        </w:numPr>
      </w:pPr>
      <w:r>
        <w:t xml:space="preserve">does not use copied source tables, diagrams, or prose.</w:t>
      </w:r>
    </w:p>
    <w:bookmarkEnd w:id="56"/>
    <w:bookmarkStart w:id="57" w:name="clinical-adjudicator"/>
    <w:p>
      <w:pPr>
        <w:pStyle w:val="Heading3"/>
        <w:keepNext/>
        <w:keepLines/>
      </w:pPr>
      <w:r>
        <w:t xml:space="preserve">Clinical adjudicator</w:t>
      </w:r>
    </w:p>
    <w:p>
      <w:pPr>
        <w:pStyle w:val="Compact"/>
        <w:numPr>
          <w:ilvl w:val="0"/>
          <w:numId w:val="1031"/>
        </w:numPr>
      </w:pPr>
      <w:r>
        <w:t xml:space="preserve">confirms clinical fidelity, scope, exclusions, and safety exits;</w:t>
      </w:r>
    </w:p>
    <w:p>
      <w:pPr>
        <w:pStyle w:val="Compact"/>
        <w:numPr>
          <w:ilvl w:val="0"/>
          <w:numId w:val="1031"/>
        </w:numPr>
      </w:pPr>
      <w:r>
        <w:t xml:space="preserve">documents expert judgment separately from source-stated evidence.</w:t>
      </w:r>
    </w:p>
    <w:bookmarkEnd w:id="57"/>
    <w:bookmarkStart w:id="58" w:name="rights-reviewer"/>
    <w:p>
      <w:pPr>
        <w:pStyle w:val="Heading3"/>
        <w:keepNext/>
        <w:keepLines/>
      </w:pPr>
      <w:r>
        <w:t xml:space="preserve">Rights reviewer</w:t>
      </w:r>
    </w:p>
    <w:p>
      <w:pPr>
        <w:pStyle w:val="Compact"/>
        <w:numPr>
          <w:ilvl w:val="0"/>
          <w:numId w:val="1032"/>
        </w:numPr>
      </w:pPr>
      <w:r>
        <w:t xml:space="preserve">compares the proposed product output with the source components;</w:t>
      </w:r>
    </w:p>
    <w:p>
      <w:pPr>
        <w:pStyle w:val="Compact"/>
        <w:numPr>
          <w:ilvl w:val="0"/>
          <w:numId w:val="1032"/>
        </w:numPr>
      </w:pPr>
      <w:r>
        <w:t xml:space="preserve">assesses compilation similarity, market substitution, branding, contract constraints, and notices;</w:t>
      </w:r>
    </w:p>
    <w:p>
      <w:pPr>
        <w:pStyle w:val="Compact"/>
        <w:numPr>
          <w:ilvl w:val="0"/>
          <w:numId w:val="1032"/>
        </w:numPr>
      </w:pPr>
      <w:r>
        <w:t xml:space="preserve">assigns the release status.</w:t>
      </w:r>
    </w:p>
    <w:bookmarkEnd w:id="58"/>
    <w:bookmarkStart w:id="59" w:name="technical-verifier"/>
    <w:p>
      <w:pPr>
        <w:pStyle w:val="Heading3"/>
        <w:keepNext/>
        <w:keepLines/>
      </w:pPr>
      <w:r>
        <w:t xml:space="preserve">Technical verifier</w:t>
      </w:r>
    </w:p>
    <w:p>
      <w:pPr>
        <w:pStyle w:val="Compact"/>
        <w:numPr>
          <w:ilvl w:val="0"/>
          <w:numId w:val="1033"/>
        </w:numPr>
      </w:pPr>
      <w:r>
        <w:t xml:space="preserve">confirms source-to-rule traceability;</w:t>
      </w:r>
    </w:p>
    <w:p>
      <w:pPr>
        <w:pStyle w:val="Compact"/>
        <w:numPr>
          <w:ilvl w:val="0"/>
          <w:numId w:val="1033"/>
        </w:numPr>
      </w:pPr>
      <w:r>
        <w:t xml:space="preserve">tests boundaries, units, profiles, missing data, and version differences;</w:t>
      </w:r>
    </w:p>
    <w:p>
      <w:pPr>
        <w:pStyle w:val="Compact"/>
        <w:numPr>
          <w:ilvl w:val="0"/>
          <w:numId w:val="1033"/>
        </w:numPr>
      </w:pPr>
      <w:r>
        <w:t xml:space="preserve">verifies that only cleared content enters the release package.</w:t>
      </w:r>
    </w:p>
    <w:p>
      <w:pPr>
        <w:pStyle w:val="FirstParagraph"/>
      </w:pPr>
      <w:r>
        <w:t xml:space="preserve">This process reduces copying risk but is not a substitute for legal clearance where the underlying use is restricted.</w:t>
      </w:r>
    </w:p>
    <w:p>
      <w:r>
        <w:pict>
          <v:rect style="width:0;height:1.5pt" o:hralign="center" o:hrstd="t" o:hr="t"/>
        </w:pict>
      </w:r>
    </w:p>
    <w:bookmarkEnd w:id="59"/>
    <w:bookmarkEnd w:id="60"/>
    <w:bookmarkStart w:id="65" w:name="X297be47901149f831f7ac492fa2f07f54c8338b"/>
    <w:p>
      <w:pPr>
        <w:pStyle w:val="Heading2"/>
        <w:keepNext/>
        <w:keepLines/>
      </w:pPr>
      <w:r>
        <w:t xml:space="preserve">10. Evidence Foundry integration</w:t>
      </w:r>
    </w:p>
    <w:bookmarkStart w:id="61" w:name="Xe273806ff5d6962ab4f53a135cc8b81bcec0325"/>
    <w:p>
      <w:pPr>
        <w:pStyle w:val="Heading3"/>
        <w:keepNext/>
        <w:keepLines/>
      </w:pPr>
      <w:r>
        <w:t xml:space="preserve">10.1 Design recommendation</w:t>
      </w:r>
    </w:p>
    <w:p>
      <w:pPr>
        <w:pStyle w:val="FirstParagraph"/>
      </w:pPr>
      <w:r>
        <w:t xml:space="preserve">Do not place all rights data inside the existing source record. Use three linked objects:</w:t>
      </w:r>
    </w:p>
    <w:p>
      <w:pPr>
        <w:pStyle w:val="Compact"/>
        <w:numPr>
          <w:ilvl w:val="0"/>
          <w:numId w:val="1034"/>
        </w:numPr>
      </w:pPr>
      <w:r>
        <w:rPr>
          <w:rStyle w:val="VerbatimChar"/>
          <w:b/>
          <w:bCs/>
        </w:rPr>
        <w:t xml:space="preserve">rights_record</w:t>
      </w:r>
      <w:r>
        <w:t xml:space="preserve"> </w:t>
      </w:r>
      <w:r>
        <w:t xml:space="preserve">— source-level and access-context rights baseline</w:t>
      </w:r>
    </w:p>
    <w:p>
      <w:pPr>
        <w:pStyle w:val="Compact"/>
        <w:numPr>
          <w:ilvl w:val="0"/>
          <w:numId w:val="1034"/>
        </w:numPr>
      </w:pPr>
      <w:r>
        <w:rPr>
          <w:rStyle w:val="VerbatimChar"/>
          <w:b/>
          <w:bCs/>
        </w:rPr>
        <w:t xml:space="preserve">content_reuse_assessment</w:t>
      </w:r>
      <w:r>
        <w:t xml:space="preserve"> </w:t>
      </w:r>
      <w:r>
        <w:t xml:space="preserve">— component-level decision for a specific intended use</w:t>
      </w:r>
    </w:p>
    <w:p>
      <w:pPr>
        <w:pStyle w:val="Compact"/>
        <w:numPr>
          <w:ilvl w:val="0"/>
          <w:numId w:val="1034"/>
        </w:numPr>
      </w:pPr>
      <w:r>
        <w:rPr>
          <w:rStyle w:val="VerbatimChar"/>
          <w:b/>
          <w:bCs/>
        </w:rPr>
        <w:t xml:space="preserve">permission_record</w:t>
      </w:r>
      <w:r>
        <w:t xml:space="preserve"> </w:t>
      </w:r>
      <w:r>
        <w:t xml:space="preserve">— evidence of an affirmative license or permission grant</w:t>
      </w:r>
    </w:p>
    <w:p>
      <w:pPr>
        <w:pStyle w:val="FirstParagraph"/>
      </w:pPr>
      <w:r>
        <w:t xml:space="preserve">This normalization is necessary because:</w:t>
      </w:r>
    </w:p>
    <w:p>
      <w:pPr>
        <w:pStyle w:val="Compact"/>
        <w:numPr>
          <w:ilvl w:val="0"/>
          <w:numId w:val="1035"/>
        </w:numPr>
      </w:pPr>
      <w:r>
        <w:t xml:space="preserve">the same source may be accessed through multiple licenses;</w:t>
      </w:r>
    </w:p>
    <w:p>
      <w:pPr>
        <w:pStyle w:val="Compact"/>
        <w:numPr>
          <w:ilvl w:val="0"/>
          <w:numId w:val="1035"/>
        </w:numPr>
      </w:pPr>
      <w:r>
        <w:t xml:space="preserve">rights differ by component;</w:t>
      </w:r>
    </w:p>
    <w:p>
      <w:pPr>
        <w:pStyle w:val="Compact"/>
        <w:numPr>
          <w:ilvl w:val="0"/>
          <w:numId w:val="1035"/>
        </w:numPr>
      </w:pPr>
      <w:r>
        <w:t xml:space="preserve">a use may be internal-only but not commercial;</w:t>
      </w:r>
    </w:p>
    <w:p>
      <w:pPr>
        <w:pStyle w:val="Compact"/>
        <w:numPr>
          <w:ilvl w:val="0"/>
          <w:numId w:val="1035"/>
        </w:numPr>
      </w:pPr>
      <w:r>
        <w:t xml:space="preserve">permission may apply to one product, territory, or duration;</w:t>
      </w:r>
    </w:p>
    <w:p>
      <w:pPr>
        <w:pStyle w:val="Compact"/>
        <w:numPr>
          <w:ilvl w:val="0"/>
          <w:numId w:val="1035"/>
        </w:numPr>
      </w:pPr>
      <w:r>
        <w:t xml:space="preserve">rights can change without changing the scientific source record;</w:t>
      </w:r>
    </w:p>
    <w:p>
      <w:pPr>
        <w:pStyle w:val="Compact"/>
        <w:numPr>
          <w:ilvl w:val="0"/>
          <w:numId w:val="1035"/>
        </w:numPr>
      </w:pPr>
      <w:r>
        <w:t xml:space="preserve">different products may make different uses of the same evidence.</w:t>
      </w:r>
    </w:p>
    <w:bookmarkEnd w:id="61"/>
    <w:bookmarkStart w:id="62" w:name="X686edfff48436531c8f0e64b6cf8703900baf13"/>
    <w:p>
      <w:pPr>
        <w:pStyle w:val="Heading3"/>
        <w:keepNext/>
        <w:keepLines/>
      </w:pPr>
      <w:r>
        <w:t xml:space="preserve">10.2 Research Foundry base layer</w:t>
      </w:r>
    </w:p>
    <w:p>
      <w:pPr>
        <w:pStyle w:val="FirstParagraph"/>
      </w:pPr>
      <w:r>
        <w:t xml:space="preserve">The generic Research Foundry rights model applies to:</w:t>
      </w:r>
    </w:p>
    <w:p>
      <w:pPr>
        <w:pStyle w:val="Compact"/>
        <w:numPr>
          <w:ilvl w:val="0"/>
          <w:numId w:val="1036"/>
        </w:numPr>
      </w:pPr>
      <w:r>
        <w:t xml:space="preserve">articles and books;</w:t>
      </w:r>
    </w:p>
    <w:p>
      <w:pPr>
        <w:pStyle w:val="Compact"/>
        <w:numPr>
          <w:ilvl w:val="0"/>
          <w:numId w:val="1036"/>
        </w:numPr>
      </w:pPr>
      <w:r>
        <w:t xml:space="preserve">guidelines and standards;</w:t>
      </w:r>
    </w:p>
    <w:p>
      <w:pPr>
        <w:pStyle w:val="Compact"/>
        <w:numPr>
          <w:ilvl w:val="0"/>
          <w:numId w:val="1036"/>
        </w:numPr>
      </w:pPr>
      <w:r>
        <w:t xml:space="preserve">datasets and APIs;</w:t>
      </w:r>
    </w:p>
    <w:p>
      <w:pPr>
        <w:pStyle w:val="Compact"/>
        <w:numPr>
          <w:ilvl w:val="0"/>
          <w:numId w:val="1036"/>
        </w:numPr>
      </w:pPr>
      <w:r>
        <w:t xml:space="preserve">questionnaires and instruments;</w:t>
      </w:r>
    </w:p>
    <w:p>
      <w:pPr>
        <w:pStyle w:val="Compact"/>
        <w:numPr>
          <w:ilvl w:val="0"/>
          <w:numId w:val="1036"/>
        </w:numPr>
      </w:pPr>
      <w:r>
        <w:t xml:space="preserve">software and code;</w:t>
      </w:r>
    </w:p>
    <w:p>
      <w:pPr>
        <w:pStyle w:val="Compact"/>
        <w:numPr>
          <w:ilvl w:val="0"/>
          <w:numId w:val="1036"/>
        </w:numPr>
      </w:pPr>
      <w:r>
        <w:t xml:space="preserve">images and media;</w:t>
      </w:r>
    </w:p>
    <w:p>
      <w:pPr>
        <w:pStyle w:val="Compact"/>
        <w:numPr>
          <w:ilvl w:val="0"/>
          <w:numId w:val="1036"/>
        </w:numPr>
      </w:pPr>
      <w:r>
        <w:t xml:space="preserve">patents and branded algorithms;</w:t>
      </w:r>
    </w:p>
    <w:p>
      <w:pPr>
        <w:pStyle w:val="Compact"/>
        <w:numPr>
          <w:ilvl w:val="0"/>
          <w:numId w:val="1036"/>
        </w:numPr>
      </w:pPr>
      <w:r>
        <w:t xml:space="preserve">partner-provided and confidential materials.</w:t>
      </w:r>
    </w:p>
    <w:bookmarkEnd w:id="62"/>
    <w:bookmarkStart w:id="63" w:name="Xb3e53f3b9a0528973975332dcb273082cc62cea"/>
    <w:p>
      <w:pPr>
        <w:pStyle w:val="Heading3"/>
        <w:keepNext/>
        <w:keepLines/>
      </w:pPr>
      <w:r>
        <w:t xml:space="preserve">10.3 Evidence Foundry specialization</w:t>
      </w:r>
    </w:p>
    <w:p>
      <w:pPr>
        <w:pStyle w:val="FirstParagraph"/>
      </w:pPr>
      <w:r>
        <w:t xml:space="preserve">Evidence Foundry adds clinical deployment fields:</w:t>
      </w:r>
    </w:p>
    <w:p>
      <w:pPr>
        <w:pStyle w:val="Compact"/>
        <w:numPr>
          <w:ilvl w:val="0"/>
          <w:numId w:val="1037"/>
        </w:numPr>
      </w:pPr>
      <w:r>
        <w:t xml:space="preserve">evidence atom IDs;</w:t>
      </w:r>
    </w:p>
    <w:p>
      <w:pPr>
        <w:pStyle w:val="Compact"/>
        <w:numPr>
          <w:ilvl w:val="0"/>
          <w:numId w:val="1037"/>
        </w:numPr>
      </w:pPr>
      <w:r>
        <w:t xml:space="preserve">candidate rule IDs;</w:t>
      </w:r>
    </w:p>
    <w:p>
      <w:pPr>
        <w:pStyle w:val="Compact"/>
        <w:numPr>
          <w:ilvl w:val="0"/>
          <w:numId w:val="1037"/>
        </w:numPr>
      </w:pPr>
      <w:r>
        <w:t xml:space="preserve">clinical content type;</w:t>
      </w:r>
    </w:p>
    <w:p>
      <w:pPr>
        <w:pStyle w:val="Compact"/>
        <w:numPr>
          <w:ilvl w:val="0"/>
          <w:numId w:val="1037"/>
        </w:numPr>
      </w:pPr>
      <w:r>
        <w:t xml:space="preserve">direct pediatric applicability;</w:t>
      </w:r>
    </w:p>
    <w:p>
      <w:pPr>
        <w:pStyle w:val="Compact"/>
        <w:numPr>
          <w:ilvl w:val="0"/>
          <w:numId w:val="1037"/>
        </w:numPr>
      </w:pPr>
      <w:r>
        <w:t xml:space="preserve">rule derivation method;</w:t>
      </w:r>
    </w:p>
    <w:p>
      <w:pPr>
        <w:pStyle w:val="Compact"/>
        <w:numPr>
          <w:ilvl w:val="0"/>
          <w:numId w:val="1037"/>
        </w:numPr>
      </w:pPr>
      <w:r>
        <w:t xml:space="preserve">source-dependency level;</w:t>
      </w:r>
    </w:p>
    <w:p>
      <w:pPr>
        <w:pStyle w:val="Compact"/>
        <w:numPr>
          <w:ilvl w:val="0"/>
          <w:numId w:val="1037"/>
        </w:numPr>
      </w:pPr>
      <w:r>
        <w:t xml:space="preserve">number and proportion of encoded values from the source;</w:t>
      </w:r>
    </w:p>
    <w:p>
      <w:pPr>
        <w:pStyle w:val="Compact"/>
        <w:numPr>
          <w:ilvl w:val="0"/>
          <w:numId w:val="1037"/>
        </w:numPr>
      </w:pPr>
      <w:r>
        <w:t xml:space="preserve">compilation similarity;</w:t>
      </w:r>
    </w:p>
    <w:p>
      <w:pPr>
        <w:pStyle w:val="Compact"/>
        <w:numPr>
          <w:ilvl w:val="0"/>
          <w:numId w:val="1037"/>
        </w:numPr>
      </w:pPr>
      <w:r>
        <w:t xml:space="preserve">local profile requirement;</w:t>
      </w:r>
    </w:p>
    <w:p>
      <w:pPr>
        <w:pStyle w:val="Compact"/>
        <w:numPr>
          <w:ilvl w:val="0"/>
          <w:numId w:val="1037"/>
        </w:numPr>
      </w:pPr>
      <w:r>
        <w:t xml:space="preserve">clinician-facing display scope;</w:t>
      </w:r>
    </w:p>
    <w:p>
      <w:pPr>
        <w:pStyle w:val="Compact"/>
        <w:numPr>
          <w:ilvl w:val="0"/>
          <w:numId w:val="1037"/>
        </w:numPr>
      </w:pPr>
      <w:r>
        <w:t xml:space="preserve">patient-facing display scope;</w:t>
      </w:r>
    </w:p>
    <w:p>
      <w:pPr>
        <w:pStyle w:val="Compact"/>
        <w:numPr>
          <w:ilvl w:val="0"/>
          <w:numId w:val="1037"/>
        </w:numPr>
      </w:pPr>
      <w:r>
        <w:t xml:space="preserve">source-locator display permission;</w:t>
      </w:r>
    </w:p>
    <w:p>
      <w:pPr>
        <w:pStyle w:val="Compact"/>
        <w:numPr>
          <w:ilvl w:val="0"/>
          <w:numId w:val="1037"/>
        </w:numPr>
      </w:pPr>
      <w:r>
        <w:t xml:space="preserve">required regulatory transparency;</w:t>
      </w:r>
    </w:p>
    <w:p>
      <w:pPr>
        <w:pStyle w:val="Compact"/>
        <w:numPr>
          <w:ilvl w:val="0"/>
          <w:numId w:val="1037"/>
        </w:numPr>
      </w:pPr>
      <w:r>
        <w:t xml:space="preserve">clinical reviewer and legal reviewer;</w:t>
      </w:r>
    </w:p>
    <w:p>
      <w:pPr>
        <w:pStyle w:val="Compact"/>
        <w:numPr>
          <w:ilvl w:val="0"/>
          <w:numId w:val="1037"/>
        </w:numPr>
      </w:pPr>
      <w:r>
        <w:t xml:space="preserve">release package and effective version.</w:t>
      </w:r>
    </w:p>
    <w:bookmarkEnd w:id="63"/>
    <w:bookmarkStart w:id="64" w:name="Xd3d61a46153be20e6b2cb97a33a8a894e738a94"/>
    <w:p>
      <w:pPr>
        <w:pStyle w:val="Heading3"/>
        <w:keepNext/>
        <w:keepLines/>
      </w:pPr>
      <w:r>
        <w:t xml:space="preserve">10.4 Existing schema compatibility</w:t>
      </w:r>
    </w:p>
    <w:p>
      <w:pPr>
        <w:pStyle w:val="FirstParagraph"/>
      </w:pPr>
      <w:r>
        <w:t xml:space="preserve">The existing</w:t>
      </w:r>
      <w:r>
        <w:t xml:space="preserve"> </w:t>
      </w:r>
      <w:r>
        <w:rPr>
          <w:rStyle w:val="VerbatimChar"/>
        </w:rPr>
        <w:t xml:space="preserve">source_record.access.license</w:t>
      </w:r>
      <w:r>
        <w:t xml:space="preserve"> </w:t>
      </w:r>
      <w:r>
        <w:t xml:space="preserve">and</w:t>
      </w:r>
      <w:r>
        <w:t xml:space="preserve"> </w:t>
      </w:r>
      <w:r>
        <w:rPr>
          <w:rStyle w:val="VerbatimChar"/>
        </w:rPr>
        <w:t xml:space="preserve">reuse_notes</w:t>
      </w:r>
      <w:r>
        <w:t xml:space="preserve"> </w:t>
      </w:r>
      <w:r>
        <w:t xml:space="preserve">fields are insufficient for release decisions. Retain them for discovery-level metadata, but add</w:t>
      </w:r>
      <w:r>
        <w:t xml:space="preserve"> </w:t>
      </w:r>
      <w:r>
        <w:rPr>
          <w:rStyle w:val="VerbatimChar"/>
        </w:rPr>
        <w:t xml:space="preserve">extensions.rights</w:t>
      </w:r>
      <w:r>
        <w:t xml:space="preserve"> </w:t>
      </w:r>
      <w:r>
        <w:t xml:space="preserve">with links to formal records.</w:t>
      </w:r>
    </w:p>
    <w:p>
      <w:pPr>
        <w:pStyle w:val="BodyText"/>
      </w:pPr>
      <w:r>
        <w:t xml:space="preserve">Recommended source extension:</w:t>
      </w:r>
    </w:p>
    <w:p>
      <w:pPr>
        <w:pStyle w:val="SourceCode"/>
        <w:keepLines/>
        <w:shd w:fill="F4F6F8"/>
        <w:pBdr>
          <w:top w:val="single" w:sz="2" w:color="D7DEE5" w:space="3"/>
          <w:left w:val="single" w:sz="2" w:color="D7DEE5" w:space="3"/>
          <w:bottom w:val="single" w:sz="2" w:color="D7DEE5" w:space="3"/>
          <w:right w:val="single" w:sz="2" w:color="D7DEE5" w:space="3"/>
        </w:pBdr>
      </w:pP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"extensions"</w:t>
      </w:r>
      <w:r>
        <w:rPr>
          <w:rStyle w:val="FunctionTok"/>
          <w:rFonts w:ascii="Liberation Mono" w:hAnsi="Liberation Mono"/>
          <w:sz w:val="14"/>
        </w:rPr>
        <w:t xml:space="preserve">:</w:t>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"rights"</w:t>
      </w:r>
      <w:r>
        <w:rPr>
          <w:rStyle w:val="FunctionTok"/>
          <w:rFonts w:ascii="Liberation Mono" w:hAnsi="Liberation Mono"/>
          <w:sz w:val="14"/>
        </w:rPr>
        <w:t xml:space="preserve">:</w:t>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"rights_record_ids"</w:t>
      </w:r>
      <w:r>
        <w:rPr>
          <w:rStyle w:val="FunctionTok"/>
          <w:rFonts w:ascii="Liberation Mono" w:hAnsi="Liberation Mono"/>
          <w:sz w:val="14"/>
        </w:rPr>
        <w:t xml:space="preserve">:</w:t>
      </w:r>
      <w:r>
        <w:rPr>
          <w:rStyle w:val="NormalTok"/>
          <w:rFonts w:ascii="Liberation Mono" w:hAnsi="Liberation Mono"/>
          <w:sz w:val="14"/>
        </w:rPr>
        <w:t xml:space="preserve"> </w:t>
      </w:r>
      <w:r>
        <w:rPr>
          <w:rStyle w:val="OtherTok"/>
          <w:rFonts w:ascii="Liberation Mono" w:hAnsi="Liberation Mono"/>
          <w:sz w:val="14"/>
        </w:rPr>
        <w:t xml:space="preserve">[</w:t>
      </w:r>
      <w:r>
        <w:rPr>
          <w:rStyle w:val="StringTok"/>
          <w:rFonts w:ascii="Liberation Mono" w:hAnsi="Liberation Mono"/>
          <w:sz w:val="14"/>
        </w:rPr>
        <w:t xml:space="preserve">"RR-SRC-AAP-001"</w:t>
      </w:r>
      <w:r>
        <w:rPr>
          <w:rStyle w:val="OtherTok"/>
          <w:rFonts w:ascii="Liberation Mono" w:hAnsi="Liberation Mono"/>
          <w:sz w:val="14"/>
        </w:rPr>
        <w:t xml:space="preserve">]</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"commercial_reuse_status"</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"CONTRACT_RESTRICTED"</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"last_reviewed_at"</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"2026-07-21T12:00:00Z"</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"release_gate"</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"BLOCK"</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FunctionTok"/>
          <w:rFonts w:ascii="Liberation Mono" w:hAnsi="Liberation Mono"/>
          <w:sz w:val="14"/>
        </w:rPr>
        <w:t xml:space="preserve">}</w:t>
      </w:r>
    </w:p>
    <w:p>
      <w:pPr>
        <w:pStyle w:val="FirstParagraph"/>
      </w:pPr>
      <w:r>
        <w:t xml:space="preserve">Recommended evidence-atom extension:</w:t>
      </w:r>
    </w:p>
    <w:p>
      <w:pPr>
        <w:pStyle w:val="SourceCode"/>
        <w:keepLines/>
        <w:shd w:fill="F4F6F8"/>
        <w:pBdr>
          <w:top w:val="single" w:sz="2" w:color="D7DEE5" w:space="3"/>
          <w:left w:val="single" w:sz="2" w:color="D7DEE5" w:space="3"/>
          <w:bottom w:val="single" w:sz="2" w:color="D7DEE5" w:space="3"/>
          <w:right w:val="single" w:sz="2" w:color="D7DEE5" w:space="3"/>
        </w:pBdr>
      </w:pP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"extensions"</w:t>
      </w:r>
      <w:r>
        <w:rPr>
          <w:rStyle w:val="FunctionTok"/>
          <w:rFonts w:ascii="Liberation Mono" w:hAnsi="Liberation Mono"/>
          <w:sz w:val="14"/>
        </w:rPr>
        <w:t xml:space="preserve">:</w:t>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"rights"</w:t>
      </w:r>
      <w:r>
        <w:rPr>
          <w:rStyle w:val="FunctionTok"/>
          <w:rFonts w:ascii="Liberation Mono" w:hAnsi="Liberation Mono"/>
          <w:sz w:val="14"/>
        </w:rPr>
        <w:t xml:space="preserve">:</w:t>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"rights_record_ids"</w:t>
      </w:r>
      <w:r>
        <w:rPr>
          <w:rStyle w:val="FunctionTok"/>
          <w:rFonts w:ascii="Liberation Mono" w:hAnsi="Liberation Mono"/>
          <w:sz w:val="14"/>
        </w:rPr>
        <w:t xml:space="preserve">:</w:t>
      </w:r>
      <w:r>
        <w:rPr>
          <w:rStyle w:val="NormalTok"/>
          <w:rFonts w:ascii="Liberation Mono" w:hAnsi="Liberation Mono"/>
          <w:sz w:val="14"/>
        </w:rPr>
        <w:t xml:space="preserve"> </w:t>
      </w:r>
      <w:r>
        <w:rPr>
          <w:rStyle w:val="OtherTok"/>
          <w:rFonts w:ascii="Liberation Mono" w:hAnsi="Liberation Mono"/>
          <w:sz w:val="14"/>
        </w:rPr>
        <w:t xml:space="preserve">[</w:t>
      </w:r>
      <w:r>
        <w:rPr>
          <w:rStyle w:val="StringTok"/>
          <w:rFonts w:ascii="Liberation Mono" w:hAnsi="Liberation Mono"/>
          <w:sz w:val="14"/>
        </w:rPr>
        <w:t xml:space="preserve">"RR-SRC-PRIMARY-001"</w:t>
      </w:r>
      <w:r>
        <w:rPr>
          <w:rStyle w:val="OtherTok"/>
          <w:rFonts w:ascii="Liberation Mono" w:hAnsi="Liberation Mono"/>
          <w:sz w:val="14"/>
        </w:rPr>
        <w:t xml:space="preserve">]</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"reuse_assessment_ids"</w:t>
      </w:r>
      <w:r>
        <w:rPr>
          <w:rStyle w:val="FunctionTok"/>
          <w:rFonts w:ascii="Liberation Mono" w:hAnsi="Liberation Mono"/>
          <w:sz w:val="14"/>
        </w:rPr>
        <w:t xml:space="preserve">:</w:t>
      </w:r>
      <w:r>
        <w:rPr>
          <w:rStyle w:val="NormalTok"/>
          <w:rFonts w:ascii="Liberation Mono" w:hAnsi="Liberation Mono"/>
          <w:sz w:val="14"/>
        </w:rPr>
        <w:t xml:space="preserve"> </w:t>
      </w:r>
      <w:r>
        <w:rPr>
          <w:rStyle w:val="OtherTok"/>
          <w:rFonts w:ascii="Liberation Mono" w:hAnsi="Liberation Mono"/>
          <w:sz w:val="14"/>
        </w:rPr>
        <w:t xml:space="preserve">[</w:t>
      </w:r>
      <w:r>
        <w:rPr>
          <w:rStyle w:val="StringTok"/>
          <w:rFonts w:ascii="Liberation Mono" w:hAnsi="Liberation Mono"/>
          <w:sz w:val="14"/>
        </w:rPr>
        <w:t xml:space="preserve">"CRA-EA-0042-RUNTIME"</w:t>
      </w:r>
      <w:r>
        <w:rPr>
          <w:rStyle w:val="OtherTok"/>
          <w:rFonts w:ascii="Liberation Mono" w:hAnsi="Liberation Mono"/>
          <w:sz w:val="14"/>
        </w:rPr>
        <w:t xml:space="preserve">]</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"clearance_status"</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"CLEARED_FACTS_ONLY"</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"shippable_claim_text_allowed"</w:t>
      </w:r>
      <w:r>
        <w:rPr>
          <w:rStyle w:val="FunctionTok"/>
          <w:rFonts w:ascii="Liberation Mono" w:hAnsi="Liberation Mono"/>
          <w:sz w:val="14"/>
        </w:rPr>
        <w:t xml:space="preserve">:</w:t>
      </w:r>
      <w:r>
        <w:rPr>
          <w:rStyle w:val="NormalTok"/>
          <w:rFonts w:ascii="Liberation Mono" w:hAnsi="Liberation Mono"/>
          <w:sz w:val="14"/>
        </w:rPr>
        <w:t xml:space="preserve"> </w:t>
      </w:r>
      <w:r>
        <w:rPr>
          <w:rStyle w:val="KeywordTok"/>
          <w:rFonts w:ascii="Liberation Mono" w:hAnsi="Liberation Mono"/>
          <w:sz w:val="14"/>
        </w:rPr>
        <w:t xml:space="preserve">true</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"verbatim_excerpt_allowed"</w:t>
      </w:r>
      <w:r>
        <w:rPr>
          <w:rStyle w:val="FunctionTok"/>
          <w:rFonts w:ascii="Liberation Mono" w:hAnsi="Liberation Mono"/>
          <w:sz w:val="14"/>
        </w:rPr>
        <w:t xml:space="preserve">:</w:t>
      </w:r>
      <w:r>
        <w:rPr>
          <w:rStyle w:val="NormalTok"/>
          <w:rFonts w:ascii="Liberation Mono" w:hAnsi="Liberation Mono"/>
          <w:sz w:val="14"/>
        </w:rPr>
        <w:t xml:space="preserve"> </w:t>
      </w:r>
      <w:r>
        <w:rPr>
          <w:rStyle w:val="KeywordTok"/>
          <w:rFonts w:ascii="Liberation Mono" w:hAnsi="Liberation Mono"/>
          <w:sz w:val="14"/>
        </w:rPr>
        <w:t xml:space="preserve">false</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"source_locator_display_allowed"</w:t>
      </w:r>
      <w:r>
        <w:rPr>
          <w:rStyle w:val="FunctionTok"/>
          <w:rFonts w:ascii="Liberation Mono" w:hAnsi="Liberation Mono"/>
          <w:sz w:val="14"/>
        </w:rPr>
        <w:t xml:space="preserve">:</w:t>
      </w:r>
      <w:r>
        <w:rPr>
          <w:rStyle w:val="NormalTok"/>
          <w:rFonts w:ascii="Liberation Mono" w:hAnsi="Liberation Mono"/>
          <w:sz w:val="14"/>
        </w:rPr>
        <w:t xml:space="preserve"> </w:t>
      </w:r>
      <w:r>
        <w:rPr>
          <w:rStyle w:val="KeywordTok"/>
          <w:rFonts w:ascii="Liberation Mono" w:hAnsi="Liberation Mono"/>
          <w:sz w:val="14"/>
        </w:rPr>
        <w:t xml:space="preserve">true</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FunctionTok"/>
          <w:rFonts w:ascii="Liberation Mono" w:hAnsi="Liberation Mono"/>
          <w:sz w:val="14"/>
        </w:rPr>
        <w:t xml:space="preserve">}</w:t>
      </w:r>
    </w:p>
    <w:p>
      <w:pPr>
        <w:pStyle w:val="FirstParagraph"/>
      </w:pPr>
      <w:r>
        <w:t xml:space="preserve">Recommended candidate-rule extension:</w:t>
      </w:r>
    </w:p>
    <w:p>
      <w:pPr>
        <w:pStyle w:val="SourceCode"/>
        <w:keepLines/>
        <w:shd w:fill="F4F6F8"/>
        <w:pBdr>
          <w:top w:val="single" w:sz="2" w:color="D7DEE5" w:space="3"/>
          <w:left w:val="single" w:sz="2" w:color="D7DEE5" w:space="3"/>
          <w:bottom w:val="single" w:sz="2" w:color="D7DEE5" w:space="3"/>
          <w:right w:val="single" w:sz="2" w:color="D7DEE5" w:space="3"/>
        </w:pBdr>
      </w:pP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"extensions"</w:t>
      </w:r>
      <w:r>
        <w:rPr>
          <w:rStyle w:val="FunctionTok"/>
          <w:rFonts w:ascii="Liberation Mono" w:hAnsi="Liberation Mono"/>
          <w:sz w:val="14"/>
        </w:rPr>
        <w:t xml:space="preserve">:</w:t>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"rights"</w:t>
      </w:r>
      <w:r>
        <w:rPr>
          <w:rStyle w:val="FunctionTok"/>
          <w:rFonts w:ascii="Liberation Mono" w:hAnsi="Liberation Mono"/>
          <w:sz w:val="14"/>
        </w:rPr>
        <w:t xml:space="preserve">:</w:t>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"reuse_assessment_ids"</w:t>
      </w:r>
      <w:r>
        <w:rPr>
          <w:rStyle w:val="FunctionTok"/>
          <w:rFonts w:ascii="Liberation Mono" w:hAnsi="Liberation Mono"/>
          <w:sz w:val="14"/>
        </w:rPr>
        <w:t xml:space="preserve">:</w:t>
      </w:r>
      <w:r>
        <w:rPr>
          <w:rStyle w:val="NormalTok"/>
          <w:rFonts w:ascii="Liberation Mono" w:hAnsi="Liberation Mono"/>
          <w:sz w:val="14"/>
        </w:rPr>
        <w:t xml:space="preserve"> </w:t>
      </w:r>
      <w:r>
        <w:rPr>
          <w:rStyle w:val="Other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StringTok"/>
          <w:rFonts w:ascii="Liberation Mono" w:hAnsi="Liberation Mono"/>
          <w:sz w:val="14"/>
        </w:rPr>
        <w:t xml:space="preserve">"CRA-EA-0042-RUNTIME"</w:t>
      </w:r>
      <w:r>
        <w:rPr>
          <w:rStyle w:val="Other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StringTok"/>
          <w:rFonts w:ascii="Liberation Mono" w:hAnsi="Liberation Mono"/>
          <w:sz w:val="14"/>
        </w:rPr>
        <w:t xml:space="preserve">"CRA-EA-0043-RUNTIME"</w:t>
      </w:r>
      <w:r>
        <w:rPr>
          <w:rFonts w:ascii="Liberation Mono" w:hAnsi="Liberation Mono"/>
          <w:sz w:val="14"/>
        </w:rPr>
        <w:br/>
      </w:r>
      <w:r>
        <w:rPr>
          <w:rStyle w:val="NormalTok"/>
          <w:rFonts w:ascii="Liberation Mono" w:hAnsi="Liberation Mono"/>
          <w:sz w:val="14"/>
        </w:rPr>
        <w:t xml:space="preserve">      </w:t>
      </w:r>
      <w:r>
        <w:rPr>
          <w:rStyle w:val="OtherTok"/>
          <w:rFonts w:ascii="Liberation Mono" w:hAnsi="Liberation Mono"/>
          <w:sz w:val="14"/>
        </w:rPr>
        <w:t xml:space="preserve">]</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"clearance_status"</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"CLEARED_FACTS_ONLY"</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"publisher_content_dependency"</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"low"</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"compilation_similarity"</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"low"</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"permission_required_before_release"</w:t>
      </w:r>
      <w:r>
        <w:rPr>
          <w:rStyle w:val="FunctionTok"/>
          <w:rFonts w:ascii="Liberation Mono" w:hAnsi="Liberation Mono"/>
          <w:sz w:val="14"/>
        </w:rPr>
        <w:t xml:space="preserve">:</w:t>
      </w:r>
      <w:r>
        <w:rPr>
          <w:rStyle w:val="NormalTok"/>
          <w:rFonts w:ascii="Liberation Mono" w:hAnsi="Liberation Mono"/>
          <w:sz w:val="14"/>
        </w:rPr>
        <w:t xml:space="preserve"> </w:t>
      </w:r>
      <w:r>
        <w:rPr>
          <w:rStyle w:val="KeywordTok"/>
          <w:rFonts w:ascii="Liberation Mono" w:hAnsi="Liberation Mono"/>
          <w:sz w:val="14"/>
        </w:rPr>
        <w:t xml:space="preserve">false</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"release_gate"</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"PASS"</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FunctionTok"/>
          <w:rFonts w:ascii="Liberation Mono" w:hAnsi="Liberation Mono"/>
          <w:sz w:val="14"/>
        </w:rPr>
        <w:t xml:space="preserve">}</w:t>
      </w:r>
    </w:p>
    <w:p>
      <w:r>
        <w:pict>
          <v:rect style="width:0;height:1.5pt" o:hralign="center" o:hrstd="t" o:hr="t"/>
        </w:pict>
      </w:r>
    </w:p>
    <w:bookmarkEnd w:id="64"/>
    <w:bookmarkEnd w:id="65"/>
    <w:bookmarkStart w:id="74" w:name="Xf2e81774532c8066d26a1b04b342607e80db149"/>
    <w:p>
      <w:pPr>
        <w:pStyle w:val="Heading2"/>
        <w:keepNext/>
        <w:keepLines/>
      </w:pPr>
      <w:r>
        <w:t xml:space="preserve">11. Rights record specification</w:t>
      </w:r>
    </w:p>
    <w:p>
      <w:pPr>
        <w:pStyle w:val="FirstParagraph"/>
      </w:pPr>
      <w:r>
        <w:t xml:space="preserve">The companion JSON Schema is authoritative for machine validation. At minimum, a rights record must capture:</w:t>
      </w:r>
    </w:p>
    <w:bookmarkStart w:id="66" w:name="identity-and-scope"/>
    <w:p>
      <w:pPr>
        <w:pStyle w:val="Heading3"/>
        <w:keepNext/>
        <w:keepLines/>
      </w:pPr>
      <w:r>
        <w:t xml:space="preserve">Identity and scope</w:t>
      </w:r>
    </w:p>
    <w:p>
      <w:pPr>
        <w:pStyle w:val="Compact"/>
        <w:numPr>
          <w:ilvl w:val="0"/>
          <w:numId w:val="1038"/>
        </w:numPr>
      </w:pPr>
      <w:r>
        <w:t xml:space="preserve">rights-record ID;</w:t>
      </w:r>
    </w:p>
    <w:p>
      <w:pPr>
        <w:pStyle w:val="Compact"/>
        <w:numPr>
          <w:ilvl w:val="0"/>
          <w:numId w:val="1038"/>
        </w:numPr>
      </w:pPr>
      <w:r>
        <w:t xml:space="preserve">source ID;</w:t>
      </w:r>
    </w:p>
    <w:p>
      <w:pPr>
        <w:pStyle w:val="Compact"/>
        <w:numPr>
          <w:ilvl w:val="0"/>
          <w:numId w:val="1038"/>
        </w:numPr>
      </w:pPr>
      <w:r>
        <w:t xml:space="preserve">source version or edition;</w:t>
      </w:r>
    </w:p>
    <w:p>
      <w:pPr>
        <w:pStyle w:val="Compact"/>
        <w:numPr>
          <w:ilvl w:val="0"/>
          <w:numId w:val="1038"/>
        </w:numPr>
      </w:pPr>
      <w:r>
        <w:t xml:space="preserve">source component scope;</w:t>
      </w:r>
    </w:p>
    <w:p>
      <w:pPr>
        <w:pStyle w:val="Compact"/>
        <w:numPr>
          <w:ilvl w:val="0"/>
          <w:numId w:val="1038"/>
        </w:numPr>
      </w:pPr>
      <w:r>
        <w:t xml:space="preserve">jurisdiction;</w:t>
      </w:r>
    </w:p>
    <w:p>
      <w:pPr>
        <w:pStyle w:val="Compact"/>
        <w:numPr>
          <w:ilvl w:val="0"/>
          <w:numId w:val="1038"/>
        </w:numPr>
      </w:pPr>
      <w:r>
        <w:t xml:space="preserve">rights review date;</w:t>
      </w:r>
    </w:p>
    <w:p>
      <w:pPr>
        <w:pStyle w:val="Compact"/>
        <w:numPr>
          <w:ilvl w:val="0"/>
          <w:numId w:val="1038"/>
        </w:numPr>
      </w:pPr>
      <w:r>
        <w:t xml:space="preserve">current status.</w:t>
      </w:r>
    </w:p>
    <w:bookmarkEnd w:id="66"/>
    <w:bookmarkStart w:id="67" w:name="access-basis"/>
    <w:p>
      <w:pPr>
        <w:pStyle w:val="Heading3"/>
        <w:keepNext/>
        <w:keepLines/>
      </w:pPr>
      <w:r>
        <w:t xml:space="preserve">Access basis</w:t>
      </w:r>
    </w:p>
    <w:p>
      <w:pPr>
        <w:pStyle w:val="Compact"/>
        <w:numPr>
          <w:ilvl w:val="0"/>
          <w:numId w:val="1039"/>
        </w:numPr>
      </w:pPr>
      <w:r>
        <w:t xml:space="preserve">public web;</w:t>
      </w:r>
    </w:p>
    <w:p>
      <w:pPr>
        <w:pStyle w:val="Compact"/>
        <w:numPr>
          <w:ilvl w:val="0"/>
          <w:numId w:val="1039"/>
        </w:numPr>
      </w:pPr>
      <w:r>
        <w:t xml:space="preserve">open repository;</w:t>
      </w:r>
    </w:p>
    <w:p>
      <w:pPr>
        <w:pStyle w:val="Compact"/>
        <w:numPr>
          <w:ilvl w:val="0"/>
          <w:numId w:val="1039"/>
        </w:numPr>
      </w:pPr>
      <w:r>
        <w:t xml:space="preserve">personal subscription;</w:t>
      </w:r>
    </w:p>
    <w:p>
      <w:pPr>
        <w:pStyle w:val="Compact"/>
        <w:numPr>
          <w:ilvl w:val="0"/>
          <w:numId w:val="1039"/>
        </w:numPr>
      </w:pPr>
      <w:r>
        <w:t xml:space="preserve">institutional subscription;</w:t>
      </w:r>
    </w:p>
    <w:p>
      <w:pPr>
        <w:pStyle w:val="Compact"/>
        <w:numPr>
          <w:ilvl w:val="0"/>
          <w:numId w:val="1039"/>
        </w:numPr>
      </w:pPr>
      <w:r>
        <w:t xml:space="preserve">purchased copy;</w:t>
      </w:r>
    </w:p>
    <w:p>
      <w:pPr>
        <w:pStyle w:val="Compact"/>
        <w:numPr>
          <w:ilvl w:val="0"/>
          <w:numId w:val="1039"/>
        </w:numPr>
      </w:pPr>
      <w:r>
        <w:t xml:space="preserve">licensed API;</w:t>
      </w:r>
    </w:p>
    <w:p>
      <w:pPr>
        <w:pStyle w:val="Compact"/>
        <w:numPr>
          <w:ilvl w:val="0"/>
          <w:numId w:val="1039"/>
        </w:numPr>
      </w:pPr>
      <w:r>
        <w:t xml:space="preserve">direct permission;</w:t>
      </w:r>
    </w:p>
    <w:p>
      <w:pPr>
        <w:pStyle w:val="Compact"/>
        <w:numPr>
          <w:ilvl w:val="0"/>
          <w:numId w:val="1039"/>
        </w:numPr>
      </w:pPr>
      <w:r>
        <w:t xml:space="preserve">author-provided copy;</w:t>
      </w:r>
    </w:p>
    <w:p>
      <w:pPr>
        <w:pStyle w:val="Compact"/>
        <w:numPr>
          <w:ilvl w:val="0"/>
          <w:numId w:val="1039"/>
        </w:numPr>
      </w:pPr>
      <w:r>
        <w:t xml:space="preserve">government source;</w:t>
      </w:r>
    </w:p>
    <w:p>
      <w:pPr>
        <w:pStyle w:val="Compact"/>
        <w:numPr>
          <w:ilvl w:val="0"/>
          <w:numId w:val="1039"/>
        </w:numPr>
      </w:pPr>
      <w:r>
        <w:t xml:space="preserve">partner or confidential source;</w:t>
      </w:r>
    </w:p>
    <w:p>
      <w:pPr>
        <w:pStyle w:val="Compact"/>
        <w:numPr>
          <w:ilvl w:val="0"/>
          <w:numId w:val="1039"/>
        </w:numPr>
      </w:pPr>
      <w:r>
        <w:t xml:space="preserve">data-use agreement.</w:t>
      </w:r>
    </w:p>
    <w:bookmarkEnd w:id="67"/>
    <w:bookmarkStart w:id="68" w:name="copyright-and-license"/>
    <w:p>
      <w:pPr>
        <w:pStyle w:val="Heading3"/>
        <w:keepNext/>
        <w:keepLines/>
      </w:pPr>
      <w:r>
        <w:t xml:space="preserve">Copyright and license</w:t>
      </w:r>
    </w:p>
    <w:p>
      <w:pPr>
        <w:pStyle w:val="Compact"/>
        <w:numPr>
          <w:ilvl w:val="0"/>
          <w:numId w:val="1040"/>
        </w:numPr>
      </w:pPr>
      <w:r>
        <w:t xml:space="preserve">copyright owner;</w:t>
      </w:r>
    </w:p>
    <w:p>
      <w:pPr>
        <w:pStyle w:val="Compact"/>
        <w:numPr>
          <w:ilvl w:val="0"/>
          <w:numId w:val="1040"/>
        </w:numPr>
      </w:pPr>
      <w:r>
        <w:t xml:space="preserve">publication license and version;</w:t>
      </w:r>
    </w:p>
    <w:p>
      <w:pPr>
        <w:pStyle w:val="Compact"/>
        <w:numPr>
          <w:ilvl w:val="0"/>
          <w:numId w:val="1040"/>
        </w:numPr>
      </w:pPr>
      <w:r>
        <w:t xml:space="preserve">license URL;</w:t>
      </w:r>
    </w:p>
    <w:p>
      <w:pPr>
        <w:pStyle w:val="Compact"/>
        <w:numPr>
          <w:ilvl w:val="0"/>
          <w:numId w:val="1040"/>
        </w:numPr>
      </w:pPr>
      <w:r>
        <w:t xml:space="preserve">license applicability to text, figures, tables, supplements, code, and data;</w:t>
      </w:r>
    </w:p>
    <w:p>
      <w:pPr>
        <w:pStyle w:val="Compact"/>
        <w:numPr>
          <w:ilvl w:val="0"/>
          <w:numId w:val="1040"/>
        </w:numPr>
      </w:pPr>
      <w:r>
        <w:t xml:space="preserve">public-domain status;</w:t>
      </w:r>
    </w:p>
    <w:p>
      <w:pPr>
        <w:pStyle w:val="Compact"/>
        <w:numPr>
          <w:ilvl w:val="0"/>
          <w:numId w:val="1040"/>
        </w:numPr>
      </w:pPr>
      <w:r>
        <w:t xml:space="preserve">U.S. federal-government-work status;</w:t>
      </w:r>
    </w:p>
    <w:p>
      <w:pPr>
        <w:pStyle w:val="Compact"/>
        <w:numPr>
          <w:ilvl w:val="0"/>
          <w:numId w:val="1040"/>
        </w:numPr>
      </w:pPr>
      <w:r>
        <w:t xml:space="preserve">attribution and notice requirements;</w:t>
      </w:r>
    </w:p>
    <w:p>
      <w:pPr>
        <w:pStyle w:val="Compact"/>
        <w:numPr>
          <w:ilvl w:val="0"/>
          <w:numId w:val="1040"/>
        </w:numPr>
      </w:pPr>
      <w:r>
        <w:t xml:space="preserve">share-alike, noncommercial, or no-derivatives obligations.</w:t>
      </w:r>
    </w:p>
    <w:bookmarkEnd w:id="68"/>
    <w:bookmarkStart w:id="69" w:name="contract-restrictions"/>
    <w:p>
      <w:pPr>
        <w:pStyle w:val="Heading3"/>
        <w:keepNext/>
        <w:keepLines/>
      </w:pPr>
      <w:r>
        <w:t xml:space="preserve">Contract restrictions</w:t>
      </w:r>
    </w:p>
    <w:p>
      <w:pPr>
        <w:pStyle w:val="Compact"/>
        <w:numPr>
          <w:ilvl w:val="0"/>
          <w:numId w:val="1041"/>
        </w:numPr>
      </w:pPr>
      <w:r>
        <w:t xml:space="preserve">incorporation into another product;</w:t>
      </w:r>
    </w:p>
    <w:p>
      <w:pPr>
        <w:pStyle w:val="Compact"/>
        <w:numPr>
          <w:ilvl w:val="0"/>
          <w:numId w:val="1041"/>
        </w:numPr>
      </w:pPr>
      <w:r>
        <w:t xml:space="preserve">adaptation;</w:t>
      </w:r>
    </w:p>
    <w:p>
      <w:pPr>
        <w:pStyle w:val="Compact"/>
        <w:numPr>
          <w:ilvl w:val="0"/>
          <w:numId w:val="1041"/>
        </w:numPr>
      </w:pPr>
      <w:r>
        <w:t xml:space="preserve">commercial use;</w:t>
      </w:r>
    </w:p>
    <w:p>
      <w:pPr>
        <w:pStyle w:val="Compact"/>
        <w:numPr>
          <w:ilvl w:val="0"/>
          <w:numId w:val="1041"/>
        </w:numPr>
      </w:pPr>
      <w:r>
        <w:t xml:space="preserve">redistribution;</w:t>
      </w:r>
    </w:p>
    <w:p>
      <w:pPr>
        <w:pStyle w:val="Compact"/>
        <w:numPr>
          <w:ilvl w:val="0"/>
          <w:numId w:val="1041"/>
        </w:numPr>
      </w:pPr>
      <w:r>
        <w:t xml:space="preserve">sublicensing;</w:t>
      </w:r>
    </w:p>
    <w:p>
      <w:pPr>
        <w:pStyle w:val="Compact"/>
        <w:numPr>
          <w:ilvl w:val="0"/>
          <w:numId w:val="1041"/>
        </w:numPr>
      </w:pPr>
      <w:r>
        <w:t xml:space="preserve">text and data mining;</w:t>
      </w:r>
    </w:p>
    <w:p>
      <w:pPr>
        <w:pStyle w:val="Compact"/>
        <w:numPr>
          <w:ilvl w:val="0"/>
          <w:numId w:val="1041"/>
        </w:numPr>
      </w:pPr>
      <w:r>
        <w:t xml:space="preserve">automated retrieval;</w:t>
      </w:r>
    </w:p>
    <w:p>
      <w:pPr>
        <w:pStyle w:val="Compact"/>
        <w:numPr>
          <w:ilvl w:val="0"/>
          <w:numId w:val="1041"/>
        </w:numPr>
      </w:pPr>
      <w:r>
        <w:t xml:space="preserve">model training;</w:t>
      </w:r>
    </w:p>
    <w:p>
      <w:pPr>
        <w:pStyle w:val="Compact"/>
        <w:numPr>
          <w:ilvl w:val="0"/>
          <w:numId w:val="1041"/>
        </w:numPr>
      </w:pPr>
      <w:r>
        <w:t xml:space="preserve">user-count and territory restrictions;</w:t>
      </w:r>
    </w:p>
    <w:p>
      <w:pPr>
        <w:pStyle w:val="Compact"/>
        <w:numPr>
          <w:ilvl w:val="0"/>
          <w:numId w:val="1041"/>
        </w:numPr>
      </w:pPr>
      <w:r>
        <w:t xml:space="preserve">termination and deletion duties.</w:t>
      </w:r>
    </w:p>
    <w:bookmarkEnd w:id="69"/>
    <w:bookmarkStart w:id="70" w:name="component-decisions"/>
    <w:p>
      <w:pPr>
        <w:pStyle w:val="Heading3"/>
        <w:keepNext/>
        <w:keepLines/>
      </w:pPr>
      <w:r>
        <w:t xml:space="preserve">Component decisions</w:t>
      </w:r>
    </w:p>
    <w:p>
      <w:pPr>
        <w:pStyle w:val="FirstParagraph"/>
      </w:pPr>
      <w:r>
        <w:t xml:space="preserve">For each component:</w:t>
      </w:r>
    </w:p>
    <w:p>
      <w:pPr>
        <w:pStyle w:val="Compact"/>
        <w:numPr>
          <w:ilvl w:val="0"/>
          <w:numId w:val="1042"/>
        </w:numPr>
      </w:pPr>
      <w:r>
        <w:t xml:space="preserve">permitted;</w:t>
      </w:r>
    </w:p>
    <w:p>
      <w:pPr>
        <w:pStyle w:val="Compact"/>
        <w:numPr>
          <w:ilvl w:val="0"/>
          <w:numId w:val="1042"/>
        </w:numPr>
      </w:pPr>
      <w:r>
        <w:t xml:space="preserve">permitted with conditions;</w:t>
      </w:r>
    </w:p>
    <w:p>
      <w:pPr>
        <w:pStyle w:val="Compact"/>
        <w:numPr>
          <w:ilvl w:val="0"/>
          <w:numId w:val="1042"/>
        </w:numPr>
      </w:pPr>
      <w:r>
        <w:t xml:space="preserve">facts-only;</w:t>
      </w:r>
    </w:p>
    <w:p>
      <w:pPr>
        <w:pStyle w:val="Compact"/>
        <w:numPr>
          <w:ilvl w:val="0"/>
          <w:numId w:val="1042"/>
        </w:numPr>
      </w:pPr>
      <w:r>
        <w:t xml:space="preserve">permission required;</w:t>
      </w:r>
    </w:p>
    <w:p>
      <w:pPr>
        <w:pStyle w:val="Compact"/>
        <w:numPr>
          <w:ilvl w:val="0"/>
          <w:numId w:val="1042"/>
        </w:numPr>
      </w:pPr>
      <w:r>
        <w:t xml:space="preserve">prohibited;</w:t>
      </w:r>
    </w:p>
    <w:p>
      <w:pPr>
        <w:pStyle w:val="Compact"/>
        <w:numPr>
          <w:ilvl w:val="0"/>
          <w:numId w:val="1042"/>
        </w:numPr>
      </w:pPr>
      <w:r>
        <w:t xml:space="preserve">unknown.</w:t>
      </w:r>
    </w:p>
    <w:bookmarkEnd w:id="70"/>
    <w:bookmarkStart w:id="71" w:name="other-rights-and-constraints"/>
    <w:p>
      <w:pPr>
        <w:pStyle w:val="Heading3"/>
        <w:keepNext/>
        <w:keepLines/>
      </w:pPr>
      <w:r>
        <w:t xml:space="preserve">Other rights and constraints</w:t>
      </w:r>
    </w:p>
    <w:p>
      <w:pPr>
        <w:pStyle w:val="Compact"/>
        <w:numPr>
          <w:ilvl w:val="0"/>
          <w:numId w:val="1043"/>
        </w:numPr>
      </w:pPr>
      <w:r>
        <w:t xml:space="preserve">patents;</w:t>
      </w:r>
    </w:p>
    <w:p>
      <w:pPr>
        <w:pStyle w:val="Compact"/>
        <w:numPr>
          <w:ilvl w:val="0"/>
          <w:numId w:val="1043"/>
        </w:numPr>
      </w:pPr>
      <w:r>
        <w:t xml:space="preserve">trademarks and endorsement;</w:t>
      </w:r>
    </w:p>
    <w:p>
      <w:pPr>
        <w:pStyle w:val="Compact"/>
        <w:numPr>
          <w:ilvl w:val="0"/>
          <w:numId w:val="1043"/>
        </w:numPr>
      </w:pPr>
      <w:r>
        <w:t xml:space="preserve">database rights;</w:t>
      </w:r>
    </w:p>
    <w:p>
      <w:pPr>
        <w:pStyle w:val="Compact"/>
        <w:numPr>
          <w:ilvl w:val="0"/>
          <w:numId w:val="1043"/>
        </w:numPr>
      </w:pPr>
      <w:r>
        <w:t xml:space="preserve">privacy and confidentiality;</w:t>
      </w:r>
    </w:p>
    <w:p>
      <w:pPr>
        <w:pStyle w:val="Compact"/>
        <w:numPr>
          <w:ilvl w:val="0"/>
          <w:numId w:val="1043"/>
        </w:numPr>
      </w:pPr>
      <w:r>
        <w:t xml:space="preserve">data-use agreement;</w:t>
      </w:r>
    </w:p>
    <w:p>
      <w:pPr>
        <w:pStyle w:val="Compact"/>
        <w:numPr>
          <w:ilvl w:val="0"/>
          <w:numId w:val="1043"/>
        </w:numPr>
      </w:pPr>
      <w:r>
        <w:t xml:space="preserve">third-party embedded content;</w:t>
      </w:r>
    </w:p>
    <w:p>
      <w:pPr>
        <w:pStyle w:val="Compact"/>
        <w:numPr>
          <w:ilvl w:val="0"/>
          <w:numId w:val="1043"/>
        </w:numPr>
      </w:pPr>
      <w:r>
        <w:t xml:space="preserve">export or jurisdiction limits.</w:t>
      </w:r>
    </w:p>
    <w:bookmarkEnd w:id="71"/>
    <w:bookmarkStart w:id="72" w:name="product-disposition"/>
    <w:p>
      <w:pPr>
        <w:pStyle w:val="Heading3"/>
        <w:keepNext/>
        <w:keepLines/>
      </w:pPr>
      <w:r>
        <w:t xml:space="preserve">Product disposition</w:t>
      </w:r>
    </w:p>
    <w:p>
      <w:pPr>
        <w:pStyle w:val="Compact"/>
        <w:numPr>
          <w:ilvl w:val="0"/>
          <w:numId w:val="1044"/>
        </w:numPr>
      </w:pPr>
      <w:r>
        <w:t xml:space="preserve">internal research;</w:t>
      </w:r>
    </w:p>
    <w:p>
      <w:pPr>
        <w:pStyle w:val="Compact"/>
        <w:numPr>
          <w:ilvl w:val="0"/>
          <w:numId w:val="1044"/>
        </w:numPr>
      </w:pPr>
      <w:r>
        <w:t xml:space="preserve">evidence-atom extraction;</w:t>
      </w:r>
    </w:p>
    <w:p>
      <w:pPr>
        <w:pStyle w:val="Compact"/>
        <w:numPr>
          <w:ilvl w:val="0"/>
          <w:numId w:val="1044"/>
        </w:numPr>
      </w:pPr>
      <w:r>
        <w:t xml:space="preserve">independent rule implementation;</w:t>
      </w:r>
    </w:p>
    <w:p>
      <w:pPr>
        <w:pStyle w:val="Compact"/>
        <w:numPr>
          <w:ilvl w:val="0"/>
          <w:numId w:val="1044"/>
        </w:numPr>
      </w:pPr>
      <w:r>
        <w:t xml:space="preserve">commercial runtime;</w:t>
      </w:r>
    </w:p>
    <w:p>
      <w:pPr>
        <w:pStyle w:val="Compact"/>
        <w:numPr>
          <w:ilvl w:val="0"/>
          <w:numId w:val="1044"/>
        </w:numPr>
      </w:pPr>
      <w:r>
        <w:t xml:space="preserve">user-facing explanation;</w:t>
      </w:r>
    </w:p>
    <w:p>
      <w:pPr>
        <w:pStyle w:val="Compact"/>
        <w:numPr>
          <w:ilvl w:val="0"/>
          <w:numId w:val="1044"/>
        </w:numPr>
      </w:pPr>
      <w:r>
        <w:t xml:space="preserve">patient-facing content;</w:t>
      </w:r>
    </w:p>
    <w:p>
      <w:pPr>
        <w:pStyle w:val="Compact"/>
        <w:numPr>
          <w:ilvl w:val="0"/>
          <w:numId w:val="1044"/>
        </w:numPr>
      </w:pPr>
      <w:r>
        <w:t xml:space="preserve">marketing or training;</w:t>
      </w:r>
    </w:p>
    <w:p>
      <w:pPr>
        <w:pStyle w:val="Compact"/>
        <w:numPr>
          <w:ilvl w:val="0"/>
          <w:numId w:val="1044"/>
        </w:numPr>
      </w:pPr>
      <w:r>
        <w:t xml:space="preserve">bulk retrieval or corpus use.</w:t>
      </w:r>
    </w:p>
    <w:bookmarkEnd w:id="72"/>
    <w:bookmarkStart w:id="73" w:name="review-and-surveillance"/>
    <w:p>
      <w:pPr>
        <w:pStyle w:val="Heading3"/>
        <w:keepNext/>
        <w:keepLines/>
      </w:pPr>
      <w:r>
        <w:t xml:space="preserve">Review and surveillance</w:t>
      </w:r>
    </w:p>
    <w:p>
      <w:pPr>
        <w:pStyle w:val="Compact"/>
        <w:numPr>
          <w:ilvl w:val="0"/>
          <w:numId w:val="1045"/>
        </w:numPr>
      </w:pPr>
      <w:r>
        <w:t xml:space="preserve">automated assessment agent;</w:t>
      </w:r>
    </w:p>
    <w:p>
      <w:pPr>
        <w:pStyle w:val="Compact"/>
        <w:numPr>
          <w:ilvl w:val="0"/>
          <w:numId w:val="1045"/>
        </w:numPr>
      </w:pPr>
      <w:r>
        <w:t xml:space="preserve">human rights reviewer;</w:t>
      </w:r>
    </w:p>
    <w:p>
      <w:pPr>
        <w:pStyle w:val="Compact"/>
        <w:numPr>
          <w:ilvl w:val="0"/>
          <w:numId w:val="1045"/>
        </w:numPr>
      </w:pPr>
      <w:r>
        <w:t xml:space="preserve">counsel decision;</w:t>
      </w:r>
    </w:p>
    <w:p>
      <w:pPr>
        <w:pStyle w:val="Compact"/>
        <w:numPr>
          <w:ilvl w:val="0"/>
          <w:numId w:val="1045"/>
        </w:numPr>
      </w:pPr>
      <w:r>
        <w:t xml:space="preserve">review date;</w:t>
      </w:r>
    </w:p>
    <w:p>
      <w:pPr>
        <w:pStyle w:val="Compact"/>
        <w:numPr>
          <w:ilvl w:val="0"/>
          <w:numId w:val="1045"/>
        </w:numPr>
      </w:pPr>
      <w:r>
        <w:t xml:space="preserve">expiration or renewal date;</w:t>
      </w:r>
    </w:p>
    <w:p>
      <w:pPr>
        <w:pStyle w:val="Compact"/>
        <w:numPr>
          <w:ilvl w:val="0"/>
          <w:numId w:val="1045"/>
        </w:numPr>
      </w:pPr>
      <w:r>
        <w:t xml:space="preserve">change triggers;</w:t>
      </w:r>
    </w:p>
    <w:p>
      <w:pPr>
        <w:pStyle w:val="Compact"/>
        <w:numPr>
          <w:ilvl w:val="0"/>
          <w:numId w:val="1045"/>
        </w:numPr>
      </w:pPr>
      <w:r>
        <w:t xml:space="preserve">source snapshots and checksums;</w:t>
      </w:r>
    </w:p>
    <w:p>
      <w:pPr>
        <w:pStyle w:val="Compact"/>
        <w:numPr>
          <w:ilvl w:val="0"/>
          <w:numId w:val="1045"/>
        </w:numPr>
      </w:pPr>
      <w:r>
        <w:t xml:space="preserve">permission record IDs.</w:t>
      </w:r>
    </w:p>
    <w:p>
      <w:r>
        <w:pict>
          <v:rect style="width:0;height:1.5pt" o:hralign="center" o:hrstd="t" o:hr="t"/>
        </w:pict>
      </w:r>
    </w:p>
    <w:bookmarkEnd w:id="73"/>
    <w:bookmarkEnd w:id="74"/>
    <w:bookmarkStart w:id="75" w:name="X116e17873dcfdf7f8beb3fe3a89f13b5e9a43bf"/>
    <w:p>
      <w:pPr>
        <w:pStyle w:val="Heading2"/>
        <w:keepNext/>
        <w:keepLines/>
      </w:pPr>
      <w:r>
        <w:t xml:space="preserve">12. Content reuse assessment specification</w:t>
      </w:r>
    </w:p>
    <w:p>
      <w:pPr>
        <w:pStyle w:val="FirstParagraph"/>
      </w:pPr>
      <w:r>
        <w:t xml:space="preserve">A source-level rights record does not answer every intended-use question. Each shipped component requires a content reuse assessment that records:</w:t>
      </w:r>
    </w:p>
    <w:p>
      <w:pPr>
        <w:pStyle w:val="Compact"/>
        <w:numPr>
          <w:ilvl w:val="0"/>
          <w:numId w:val="1046"/>
        </w:numPr>
      </w:pPr>
      <w:r>
        <w:t xml:space="preserve">source and rights record;</w:t>
      </w:r>
    </w:p>
    <w:p>
      <w:pPr>
        <w:pStyle w:val="Compact"/>
        <w:numPr>
          <w:ilvl w:val="0"/>
          <w:numId w:val="1046"/>
        </w:numPr>
      </w:pPr>
      <w:r>
        <w:t xml:space="preserve">exact content component;</w:t>
      </w:r>
    </w:p>
    <w:p>
      <w:pPr>
        <w:pStyle w:val="Compact"/>
        <w:numPr>
          <w:ilvl w:val="0"/>
          <w:numId w:val="1046"/>
        </w:numPr>
      </w:pPr>
      <w:r>
        <w:t xml:space="preserve">intended product and version;</w:t>
      </w:r>
    </w:p>
    <w:p>
      <w:pPr>
        <w:pStyle w:val="Compact"/>
        <w:numPr>
          <w:ilvl w:val="0"/>
          <w:numId w:val="1046"/>
        </w:numPr>
      </w:pPr>
      <w:r>
        <w:t xml:space="preserve">intended audience;</w:t>
      </w:r>
    </w:p>
    <w:p>
      <w:pPr>
        <w:pStyle w:val="Compact"/>
        <w:numPr>
          <w:ilvl w:val="0"/>
          <w:numId w:val="1046"/>
        </w:numPr>
      </w:pPr>
      <w:r>
        <w:t xml:space="preserve">commercial or noncommercial status;</w:t>
      </w:r>
    </w:p>
    <w:p>
      <w:pPr>
        <w:pStyle w:val="Compact"/>
        <w:numPr>
          <w:ilvl w:val="0"/>
          <w:numId w:val="1046"/>
        </w:numPr>
      </w:pPr>
      <w:r>
        <w:t xml:space="preserve">territory and channel;</w:t>
      </w:r>
    </w:p>
    <w:p>
      <w:pPr>
        <w:pStyle w:val="Compact"/>
        <w:numPr>
          <w:ilvl w:val="0"/>
          <w:numId w:val="1046"/>
        </w:numPr>
      </w:pPr>
      <w:r>
        <w:t xml:space="preserve">amount and substantiality used;</w:t>
      </w:r>
    </w:p>
    <w:p>
      <w:pPr>
        <w:pStyle w:val="Compact"/>
        <w:numPr>
          <w:ilvl w:val="0"/>
          <w:numId w:val="1046"/>
        </w:numPr>
      </w:pPr>
      <w:r>
        <w:t xml:space="preserve">whether the output reproduces source wording or arrangement;</w:t>
      </w:r>
    </w:p>
    <w:p>
      <w:pPr>
        <w:pStyle w:val="Compact"/>
        <w:numPr>
          <w:ilvl w:val="0"/>
          <w:numId w:val="1046"/>
        </w:numPr>
      </w:pPr>
      <w:r>
        <w:t xml:space="preserve">whether the output was independently derived;</w:t>
      </w:r>
    </w:p>
    <w:p>
      <w:pPr>
        <w:pStyle w:val="Compact"/>
        <w:numPr>
          <w:ilvl w:val="0"/>
          <w:numId w:val="1046"/>
        </w:numPr>
      </w:pPr>
      <w:r>
        <w:t xml:space="preserve">whether alternative sources exist;</w:t>
      </w:r>
    </w:p>
    <w:p>
      <w:pPr>
        <w:pStyle w:val="Compact"/>
        <w:numPr>
          <w:ilvl w:val="0"/>
          <w:numId w:val="1046"/>
        </w:numPr>
      </w:pPr>
      <w:r>
        <w:t xml:space="preserve">compilation similarity;</w:t>
      </w:r>
    </w:p>
    <w:p>
      <w:pPr>
        <w:pStyle w:val="Compact"/>
        <w:numPr>
          <w:ilvl w:val="0"/>
          <w:numId w:val="1046"/>
        </w:numPr>
      </w:pPr>
      <w:r>
        <w:t xml:space="preserve">market-substitution risk;</w:t>
      </w:r>
    </w:p>
    <w:p>
      <w:pPr>
        <w:pStyle w:val="Compact"/>
        <w:numPr>
          <w:ilvl w:val="0"/>
          <w:numId w:val="1046"/>
        </w:numPr>
      </w:pPr>
      <w:r>
        <w:t xml:space="preserve">license conditions;</w:t>
      </w:r>
    </w:p>
    <w:p>
      <w:pPr>
        <w:pStyle w:val="Compact"/>
        <w:numPr>
          <w:ilvl w:val="0"/>
          <w:numId w:val="1046"/>
        </w:numPr>
      </w:pPr>
      <w:r>
        <w:t xml:space="preserve">clinical and regulatory transparency requirements;</w:t>
      </w:r>
    </w:p>
    <w:p>
      <w:pPr>
        <w:pStyle w:val="Compact"/>
        <w:numPr>
          <w:ilvl w:val="0"/>
          <w:numId w:val="1046"/>
        </w:numPr>
      </w:pPr>
      <w:r>
        <w:t xml:space="preserve">final decision and rationale;</w:t>
      </w:r>
    </w:p>
    <w:p>
      <w:pPr>
        <w:pStyle w:val="Compact"/>
        <w:numPr>
          <w:ilvl w:val="0"/>
          <w:numId w:val="1046"/>
        </w:numPr>
      </w:pPr>
      <w:r>
        <w:t xml:space="preserve">approvers and expiration.</w:t>
      </w:r>
    </w:p>
    <w:p>
      <w:pPr>
        <w:pStyle w:val="FirstParagraph"/>
      </w:pPr>
      <w:r>
        <w:t xml:space="preserve">The decision is use-specific. A figure may be blocked for runtime display but permitted in an internal legal-review memo.</w:t>
      </w:r>
    </w:p>
    <w:p>
      <w:r>
        <w:pict>
          <v:rect style="width:0;height:1.5pt" o:hralign="center" o:hrstd="t" o:hr="t"/>
        </w:pict>
      </w:r>
    </w:p>
    <w:bookmarkEnd w:id="75"/>
    <w:bookmarkStart w:id="76" w:name="Xa3cbd09c279c37c5ffb34c8838c80248b35ebe0"/>
    <w:p>
      <w:pPr>
        <w:pStyle w:val="Heading2"/>
        <w:keepNext/>
        <w:keepLines/>
      </w:pPr>
      <w:r>
        <w:t xml:space="preserve">13. Permission record specification</w:t>
      </w:r>
    </w:p>
    <w:p>
      <w:pPr>
        <w:pStyle w:val="FirstParagraph"/>
      </w:pPr>
      <w:r>
        <w:t xml:space="preserve">When permission is obtained, preserve the grant as a structured record rather than an email attachment alone.</w:t>
      </w:r>
    </w:p>
    <w:p>
      <w:pPr>
        <w:pStyle w:val="BodyText"/>
      </w:pPr>
      <w:r>
        <w:t xml:space="preserve">Required fields include:</w:t>
      </w:r>
    </w:p>
    <w:p>
      <w:pPr>
        <w:pStyle w:val="Compact"/>
        <w:numPr>
          <w:ilvl w:val="0"/>
          <w:numId w:val="1047"/>
        </w:numPr>
      </w:pPr>
      <w:r>
        <w:t xml:space="preserve">rights holder and contact;</w:t>
      </w:r>
    </w:p>
    <w:p>
      <w:pPr>
        <w:pStyle w:val="Compact"/>
        <w:numPr>
          <w:ilvl w:val="0"/>
          <w:numId w:val="1047"/>
        </w:numPr>
      </w:pPr>
      <w:r>
        <w:t xml:space="preserve">permission or license identifier;</w:t>
      </w:r>
    </w:p>
    <w:p>
      <w:pPr>
        <w:pStyle w:val="Compact"/>
        <w:numPr>
          <w:ilvl w:val="0"/>
          <w:numId w:val="1047"/>
        </w:numPr>
      </w:pPr>
      <w:r>
        <w:t xml:space="preserve">executed agreement location and checksum;</w:t>
      </w:r>
    </w:p>
    <w:p>
      <w:pPr>
        <w:pStyle w:val="Compact"/>
        <w:numPr>
          <w:ilvl w:val="0"/>
          <w:numId w:val="1047"/>
        </w:numPr>
      </w:pPr>
      <w:r>
        <w:t xml:space="preserve">source and components covered;</w:t>
      </w:r>
    </w:p>
    <w:p>
      <w:pPr>
        <w:pStyle w:val="Compact"/>
        <w:numPr>
          <w:ilvl w:val="0"/>
          <w:numId w:val="1047"/>
        </w:numPr>
      </w:pPr>
      <w:r>
        <w:t xml:space="preserve">product and affiliates covered;</w:t>
      </w:r>
    </w:p>
    <w:p>
      <w:pPr>
        <w:pStyle w:val="Compact"/>
        <w:numPr>
          <w:ilvl w:val="0"/>
          <w:numId w:val="1047"/>
        </w:numPr>
      </w:pPr>
      <w:r>
        <w:t xml:space="preserve">commercial use;</w:t>
      </w:r>
    </w:p>
    <w:p>
      <w:pPr>
        <w:pStyle w:val="Compact"/>
        <w:numPr>
          <w:ilvl w:val="0"/>
          <w:numId w:val="1047"/>
        </w:numPr>
      </w:pPr>
      <w:r>
        <w:t xml:space="preserve">channels;</w:t>
      </w:r>
    </w:p>
    <w:p>
      <w:pPr>
        <w:pStyle w:val="Compact"/>
        <w:numPr>
          <w:ilvl w:val="0"/>
          <w:numId w:val="1047"/>
        </w:numPr>
      </w:pPr>
      <w:r>
        <w:t xml:space="preserve">audiences and user counts;</w:t>
      </w:r>
    </w:p>
    <w:p>
      <w:pPr>
        <w:pStyle w:val="Compact"/>
        <w:numPr>
          <w:ilvl w:val="0"/>
          <w:numId w:val="1047"/>
        </w:numPr>
      </w:pPr>
      <w:r>
        <w:t xml:space="preserve">territory;</w:t>
      </w:r>
    </w:p>
    <w:p>
      <w:pPr>
        <w:pStyle w:val="Compact"/>
        <w:numPr>
          <w:ilvl w:val="0"/>
          <w:numId w:val="1047"/>
        </w:numPr>
      </w:pPr>
      <w:r>
        <w:t xml:space="preserve">term and renewal;</w:t>
      </w:r>
    </w:p>
    <w:p>
      <w:pPr>
        <w:pStyle w:val="Compact"/>
        <w:numPr>
          <w:ilvl w:val="0"/>
          <w:numId w:val="1047"/>
        </w:numPr>
      </w:pPr>
      <w:r>
        <w:t xml:space="preserve">adaptation rights;</w:t>
      </w:r>
    </w:p>
    <w:p>
      <w:pPr>
        <w:pStyle w:val="Compact"/>
        <w:numPr>
          <w:ilvl w:val="0"/>
          <w:numId w:val="1047"/>
        </w:numPr>
      </w:pPr>
      <w:r>
        <w:t xml:space="preserve">attribution and notices;</w:t>
      </w:r>
    </w:p>
    <w:p>
      <w:pPr>
        <w:pStyle w:val="Compact"/>
        <w:numPr>
          <w:ilvl w:val="0"/>
          <w:numId w:val="1047"/>
        </w:numPr>
      </w:pPr>
      <w:r>
        <w:t xml:space="preserve">update rights;</w:t>
      </w:r>
    </w:p>
    <w:p>
      <w:pPr>
        <w:pStyle w:val="Compact"/>
        <w:numPr>
          <w:ilvl w:val="0"/>
          <w:numId w:val="1047"/>
        </w:numPr>
      </w:pPr>
      <w:r>
        <w:t xml:space="preserve">sublicensing and hosting rights;</w:t>
      </w:r>
    </w:p>
    <w:p>
      <w:pPr>
        <w:pStyle w:val="Compact"/>
        <w:numPr>
          <w:ilvl w:val="0"/>
          <w:numId w:val="1047"/>
        </w:numPr>
      </w:pPr>
      <w:r>
        <w:t xml:space="preserve">fees and reporting obligations;</w:t>
      </w:r>
    </w:p>
    <w:p>
      <w:pPr>
        <w:pStyle w:val="Compact"/>
        <w:numPr>
          <w:ilvl w:val="0"/>
          <w:numId w:val="1047"/>
        </w:numPr>
      </w:pPr>
      <w:r>
        <w:t xml:space="preserve">warranties, indemnities, and disclaimers;</w:t>
      </w:r>
    </w:p>
    <w:p>
      <w:pPr>
        <w:pStyle w:val="Compact"/>
        <w:numPr>
          <w:ilvl w:val="0"/>
          <w:numId w:val="1047"/>
        </w:numPr>
      </w:pPr>
      <w:r>
        <w:t xml:space="preserve">revocation and deletion obligations;</w:t>
      </w:r>
    </w:p>
    <w:p>
      <w:pPr>
        <w:pStyle w:val="Compact"/>
        <w:numPr>
          <w:ilvl w:val="0"/>
          <w:numId w:val="1047"/>
        </w:numPr>
      </w:pPr>
      <w:r>
        <w:t xml:space="preserve">approval status.</w:t>
      </w:r>
    </w:p>
    <w:p>
      <w:pPr>
        <w:pStyle w:val="FirstParagraph"/>
      </w:pPr>
      <w:r>
        <w:t xml:space="preserve">A permission grant must not be generalized beyond its documented scope.</w:t>
      </w:r>
    </w:p>
    <w:p>
      <w:r>
        <w:pict>
          <v:rect style="width:0;height:1.5pt" o:hralign="center" o:hrstd="t" o:hr="t"/>
        </w:pict>
      </w:r>
    </w:p>
    <w:bookmarkEnd w:id="76"/>
    <w:bookmarkStart w:id="87" w:name="Xd19d59d99c92ebb6f6e4c8946624cb8c1db8350"/>
    <w:p>
      <w:pPr>
        <w:pStyle w:val="Heading2"/>
        <w:keepNext/>
        <w:keepLines/>
      </w:pPr>
      <w:r>
        <w:t xml:space="preserve">14. Automated decision workflow</w:t>
      </w:r>
    </w:p>
    <w:p>
      <w:pPr>
        <w:pStyle w:val="FirstParagraph"/>
      </w:pPr>
      <w:r>
        <w:t xml:space="preserve">Agents must apply the following workflow.</w:t>
      </w:r>
    </w:p>
    <w:bookmarkStart w:id="77" w:name="step-1--identify-the-source"/>
    <w:p>
      <w:pPr>
        <w:pStyle w:val="Heading3"/>
        <w:keepNext/>
        <w:keepLines/>
      </w:pPr>
      <w:r>
        <w:t xml:space="preserve">Step 1 — Identify the source</w:t>
      </w:r>
    </w:p>
    <w:p>
      <w:pPr>
        <w:pStyle w:val="FirstParagraph"/>
      </w:pPr>
      <w:r>
        <w:t xml:space="preserve">Resolve the authoritative source, version, correction status, identifiers, and owner.</w:t>
      </w:r>
    </w:p>
    <w:bookmarkEnd w:id="77"/>
    <w:bookmarkStart w:id="78" w:name="step-2--identify-the-access-context"/>
    <w:p>
      <w:pPr>
        <w:pStyle w:val="Heading3"/>
        <w:keepNext/>
        <w:keepLines/>
      </w:pPr>
      <w:r>
        <w:t xml:space="preserve">Step 2 — Identify the access context</w:t>
      </w:r>
    </w:p>
    <w:p>
      <w:pPr>
        <w:pStyle w:val="FirstParagraph"/>
      </w:pPr>
      <w:r>
        <w:t xml:space="preserve">Record the exact platform, account type, subscription, API, repository, or permission used.</w:t>
      </w:r>
    </w:p>
    <w:bookmarkEnd w:id="78"/>
    <w:bookmarkStart w:id="79" w:name="step-3--determine-the-intended-use"/>
    <w:p>
      <w:pPr>
        <w:pStyle w:val="Heading3"/>
        <w:keepNext/>
        <w:keepLines/>
      </w:pPr>
      <w:r>
        <w:t xml:space="preserve">Step 3 — Determine the intended use</w:t>
      </w:r>
    </w:p>
    <w:p>
      <w:pPr>
        <w:pStyle w:val="FirstParagraph"/>
      </w:pPr>
      <w:r>
        <w:t xml:space="preserve">Specify internal/external, commercial/noncommercial, runtime/display, audience, territory, volume, and channel.</w:t>
      </w:r>
    </w:p>
    <w:bookmarkEnd w:id="79"/>
    <w:bookmarkStart w:id="80" w:name="step-4--classify-the-component"/>
    <w:p>
      <w:pPr>
        <w:pStyle w:val="Heading3"/>
        <w:keepNext/>
        <w:keepLines/>
      </w:pPr>
      <w:r>
        <w:t xml:space="preserve">Step 4 — Classify the component</w:t>
      </w:r>
    </w:p>
    <w:p>
      <w:pPr>
        <w:pStyle w:val="FirstParagraph"/>
      </w:pPr>
      <w:r>
        <w:t xml:space="preserve">Fact, method, prose, table, figure, compilation, questionnaire, dataset, code, image, brand, or other.</w:t>
      </w:r>
    </w:p>
    <w:bookmarkEnd w:id="80"/>
    <w:bookmarkStart w:id="81" w:name="step-5--verify-license-and-terms"/>
    <w:p>
      <w:pPr>
        <w:pStyle w:val="Heading3"/>
        <w:keepNext/>
        <w:keepLines/>
      </w:pPr>
      <w:r>
        <w:t xml:space="preserve">Step 5 — Verify license and terms</w:t>
      </w:r>
    </w:p>
    <w:p>
      <w:pPr>
        <w:pStyle w:val="FirstParagraph"/>
      </w:pPr>
      <w:r>
        <w:t xml:space="preserve">Use the item-level license, access agreement, and rights-holder information. Do not infer.</w:t>
      </w:r>
    </w:p>
    <w:bookmarkEnd w:id="81"/>
    <w:bookmarkStart w:id="82" w:name="step-6--check-other-constraints"/>
    <w:p>
      <w:pPr>
        <w:pStyle w:val="Heading3"/>
        <w:keepNext/>
        <w:keepLines/>
      </w:pPr>
      <w:r>
        <w:t xml:space="preserve">Step 6 — Check other constraints</w:t>
      </w:r>
    </w:p>
    <w:p>
      <w:pPr>
        <w:pStyle w:val="FirstParagraph"/>
      </w:pPr>
      <w:r>
        <w:t xml:space="preserve">Patent, trademark, database right, confidentiality, privacy, DUA, third-party content, and jurisdiction.</w:t>
      </w:r>
    </w:p>
    <w:bookmarkEnd w:id="82"/>
    <w:bookmarkStart w:id="83" w:name="Xaff91e2e4b2632d1555f8e70658d1d3462cedca"/>
    <w:p>
      <w:pPr>
        <w:pStyle w:val="Heading3"/>
        <w:keepNext/>
        <w:keepLines/>
      </w:pPr>
      <w:r>
        <w:t xml:space="preserve">Step 7 — Choose the least restrictive lawful implementation</w:t>
      </w:r>
    </w:p>
    <w:p>
      <w:pPr>
        <w:pStyle w:val="FirstParagraph"/>
      </w:pPr>
      <w:r>
        <w:t xml:space="preserve">Preferred order:</w:t>
      </w:r>
    </w:p>
    <w:p>
      <w:pPr>
        <w:pStyle w:val="Compact"/>
        <w:numPr>
          <w:ilvl w:val="0"/>
          <w:numId w:val="1048"/>
        </w:numPr>
      </w:pPr>
      <w:r>
        <w:t xml:space="preserve">public-domain source;</w:t>
      </w:r>
    </w:p>
    <w:p>
      <w:pPr>
        <w:pStyle w:val="Compact"/>
        <w:numPr>
          <w:ilvl w:val="0"/>
          <w:numId w:val="1048"/>
        </w:numPr>
      </w:pPr>
      <w:r>
        <w:t xml:space="preserve">CC BY or similarly compatible source;</w:t>
      </w:r>
    </w:p>
    <w:p>
      <w:pPr>
        <w:pStyle w:val="Compact"/>
        <w:numPr>
          <w:ilvl w:val="0"/>
          <w:numId w:val="1048"/>
        </w:numPr>
      </w:pPr>
      <w:r>
        <w:t xml:space="preserve">primary study and facts-only independent implementation;</w:t>
      </w:r>
    </w:p>
    <w:p>
      <w:pPr>
        <w:pStyle w:val="Compact"/>
        <w:numPr>
          <w:ilvl w:val="0"/>
          <w:numId w:val="1048"/>
        </w:numPr>
      </w:pPr>
      <w:r>
        <w:t xml:space="preserve">direct permission or commercial license;</w:t>
      </w:r>
    </w:p>
    <w:p>
      <w:pPr>
        <w:pStyle w:val="Compact"/>
        <w:numPr>
          <w:ilvl w:val="0"/>
          <w:numId w:val="1048"/>
        </w:numPr>
      </w:pPr>
      <w:r>
        <w:t xml:space="preserve">local validation and independently generated content;</w:t>
      </w:r>
    </w:p>
    <w:p>
      <w:pPr>
        <w:pStyle w:val="Compact"/>
        <w:numPr>
          <w:ilvl w:val="0"/>
          <w:numId w:val="1048"/>
        </w:numPr>
      </w:pPr>
      <w:r>
        <w:t xml:space="preserve">legal review;</w:t>
      </w:r>
    </w:p>
    <w:p>
      <w:pPr>
        <w:pStyle w:val="Compact"/>
        <w:numPr>
          <w:ilvl w:val="0"/>
          <w:numId w:val="1048"/>
        </w:numPr>
      </w:pPr>
      <w:r>
        <w:t xml:space="preserve">block or defer.</w:t>
      </w:r>
    </w:p>
    <w:bookmarkEnd w:id="83"/>
    <w:bookmarkStart w:id="84" w:name="step-8--produce-records"/>
    <w:p>
      <w:pPr>
        <w:pStyle w:val="Heading3"/>
        <w:keepNext/>
        <w:keepLines/>
      </w:pPr>
      <w:r>
        <w:t xml:space="preserve">Step 8 — Produce records</w:t>
      </w:r>
    </w:p>
    <w:p>
      <w:pPr>
        <w:pStyle w:val="FirstParagraph"/>
      </w:pPr>
      <w:r>
        <w:t xml:space="preserve">Create or update:</w:t>
      </w:r>
    </w:p>
    <w:p>
      <w:pPr>
        <w:pStyle w:val="Compact"/>
        <w:numPr>
          <w:ilvl w:val="0"/>
          <w:numId w:val="1049"/>
        </w:numPr>
      </w:pPr>
      <w:r>
        <w:t xml:space="preserve">source record;</w:t>
      </w:r>
    </w:p>
    <w:p>
      <w:pPr>
        <w:pStyle w:val="Compact"/>
        <w:numPr>
          <w:ilvl w:val="0"/>
          <w:numId w:val="1049"/>
        </w:numPr>
      </w:pPr>
      <w:r>
        <w:t xml:space="preserve">rights record;</w:t>
      </w:r>
    </w:p>
    <w:p>
      <w:pPr>
        <w:pStyle w:val="Compact"/>
        <w:numPr>
          <w:ilvl w:val="0"/>
          <w:numId w:val="1049"/>
        </w:numPr>
      </w:pPr>
      <w:r>
        <w:t xml:space="preserve">content reuse assessment;</w:t>
      </w:r>
    </w:p>
    <w:p>
      <w:pPr>
        <w:pStyle w:val="Compact"/>
        <w:numPr>
          <w:ilvl w:val="0"/>
          <w:numId w:val="1049"/>
        </w:numPr>
      </w:pPr>
      <w:r>
        <w:t xml:space="preserve">permission record when applicable;</w:t>
      </w:r>
    </w:p>
    <w:p>
      <w:pPr>
        <w:pStyle w:val="Compact"/>
        <w:numPr>
          <w:ilvl w:val="0"/>
          <w:numId w:val="1049"/>
        </w:numPr>
      </w:pPr>
      <w:r>
        <w:t xml:space="preserve">evidence atom;</w:t>
      </w:r>
    </w:p>
    <w:p>
      <w:pPr>
        <w:pStyle w:val="Compact"/>
        <w:numPr>
          <w:ilvl w:val="0"/>
          <w:numId w:val="1049"/>
        </w:numPr>
      </w:pPr>
      <w:r>
        <w:t xml:space="preserve">candidate rule;</w:t>
      </w:r>
    </w:p>
    <w:p>
      <w:pPr>
        <w:pStyle w:val="Compact"/>
        <w:numPr>
          <w:ilvl w:val="0"/>
          <w:numId w:val="1049"/>
        </w:numPr>
      </w:pPr>
      <w:r>
        <w:t xml:space="preserve">research failure or conflict when blocked.</w:t>
      </w:r>
    </w:p>
    <w:bookmarkEnd w:id="84"/>
    <w:bookmarkStart w:id="85" w:name="step-9--apply-release-gate"/>
    <w:p>
      <w:pPr>
        <w:pStyle w:val="Heading3"/>
        <w:keepNext/>
        <w:keepLines/>
      </w:pPr>
      <w:r>
        <w:t xml:space="preserve">Step 9 — Apply release gate</w:t>
      </w:r>
    </w:p>
    <w:p>
      <w:pPr>
        <w:pStyle w:val="FirstParagraph"/>
      </w:pPr>
      <w:r>
        <w:t xml:space="preserve">No external release when:</w:t>
      </w:r>
    </w:p>
    <w:p>
      <w:pPr>
        <w:pStyle w:val="Compact"/>
        <w:numPr>
          <w:ilvl w:val="0"/>
          <w:numId w:val="1050"/>
        </w:numPr>
      </w:pPr>
      <w:r>
        <w:t xml:space="preserve">status is</w:t>
      </w:r>
      <w:r>
        <w:t xml:space="preserve"> </w:t>
      </w:r>
      <w:r>
        <w:rPr>
          <w:rStyle w:val="VerbatimChar"/>
        </w:rPr>
        <w:t xml:space="preserve">UNKNOWN</w:t>
      </w:r>
      <w:r>
        <w:t xml:space="preserve">;</w:t>
      </w:r>
    </w:p>
    <w:p>
      <w:pPr>
        <w:pStyle w:val="Compact"/>
        <w:numPr>
          <w:ilvl w:val="0"/>
          <w:numId w:val="1050"/>
        </w:numPr>
      </w:pPr>
      <w:r>
        <w:t xml:space="preserve">required permission is missing or expired;</w:t>
      </w:r>
    </w:p>
    <w:p>
      <w:pPr>
        <w:pStyle w:val="Compact"/>
        <w:numPr>
          <w:ilvl w:val="0"/>
          <w:numId w:val="1050"/>
        </w:numPr>
      </w:pPr>
      <w:r>
        <w:t xml:space="preserve">access terms prohibit intended use;</w:t>
      </w:r>
    </w:p>
    <w:p>
      <w:pPr>
        <w:pStyle w:val="Compact"/>
        <w:numPr>
          <w:ilvl w:val="0"/>
          <w:numId w:val="1050"/>
        </w:numPr>
      </w:pPr>
      <w:r>
        <w:t xml:space="preserve">source output is substantially copied;</w:t>
      </w:r>
    </w:p>
    <w:p>
      <w:pPr>
        <w:pStyle w:val="Compact"/>
        <w:numPr>
          <w:ilvl w:val="0"/>
          <w:numId w:val="1050"/>
        </w:numPr>
      </w:pPr>
      <w:r>
        <w:t xml:space="preserve">unresolved patent, trademark, privacy, or database-right risk exists;</w:t>
      </w:r>
    </w:p>
    <w:p>
      <w:pPr>
        <w:pStyle w:val="Compact"/>
        <w:numPr>
          <w:ilvl w:val="0"/>
          <w:numId w:val="1050"/>
        </w:numPr>
      </w:pPr>
      <w:r>
        <w:t xml:space="preserve">required attribution or license notices cannot be satisfied;</w:t>
      </w:r>
    </w:p>
    <w:p>
      <w:pPr>
        <w:pStyle w:val="Compact"/>
        <w:numPr>
          <w:ilvl w:val="0"/>
          <w:numId w:val="1050"/>
        </w:numPr>
      </w:pPr>
      <w:r>
        <w:t xml:space="preserve">clinical validation or regulatory transparency is inadequate.</w:t>
      </w:r>
    </w:p>
    <w:bookmarkEnd w:id="85"/>
    <w:bookmarkStart w:id="86" w:name="step-10--monitor-changes"/>
    <w:p>
      <w:pPr>
        <w:pStyle w:val="Heading3"/>
        <w:keepNext/>
        <w:keepLines/>
      </w:pPr>
      <w:r>
        <w:t xml:space="preserve">Step 10 — Monitor changes</w:t>
      </w:r>
    </w:p>
    <w:p>
      <w:pPr>
        <w:pStyle w:val="FirstParagraph"/>
      </w:pPr>
      <w:r>
        <w:t xml:space="preserve">Reassess when:</w:t>
      </w:r>
    </w:p>
    <w:p>
      <w:pPr>
        <w:pStyle w:val="Compact"/>
        <w:numPr>
          <w:ilvl w:val="0"/>
          <w:numId w:val="1051"/>
        </w:numPr>
      </w:pPr>
      <w:r>
        <w:t xml:space="preserve">a source updates or is superseded;</w:t>
      </w:r>
    </w:p>
    <w:p>
      <w:pPr>
        <w:pStyle w:val="Compact"/>
        <w:numPr>
          <w:ilvl w:val="0"/>
          <w:numId w:val="1051"/>
        </w:numPr>
      </w:pPr>
      <w:r>
        <w:t xml:space="preserve">terms of use change;</w:t>
      </w:r>
    </w:p>
    <w:p>
      <w:pPr>
        <w:pStyle w:val="Compact"/>
        <w:numPr>
          <w:ilvl w:val="0"/>
          <w:numId w:val="1051"/>
        </w:numPr>
      </w:pPr>
      <w:r>
        <w:t xml:space="preserve">a license changes;</w:t>
      </w:r>
    </w:p>
    <w:p>
      <w:pPr>
        <w:pStyle w:val="Compact"/>
        <w:numPr>
          <w:ilvl w:val="0"/>
          <w:numId w:val="1051"/>
        </w:numPr>
      </w:pPr>
      <w:r>
        <w:t xml:space="preserve">a permission expires;</w:t>
      </w:r>
    </w:p>
    <w:p>
      <w:pPr>
        <w:pStyle w:val="Compact"/>
        <w:numPr>
          <w:ilvl w:val="0"/>
          <w:numId w:val="1051"/>
        </w:numPr>
      </w:pPr>
      <w:r>
        <w:t xml:space="preserve">the product becomes commercial;</w:t>
      </w:r>
    </w:p>
    <w:p>
      <w:pPr>
        <w:pStyle w:val="Compact"/>
        <w:numPr>
          <w:ilvl w:val="0"/>
          <w:numId w:val="1051"/>
        </w:numPr>
      </w:pPr>
      <w:r>
        <w:t xml:space="preserve">the audience changes from clinician to patient;</w:t>
      </w:r>
    </w:p>
    <w:p>
      <w:pPr>
        <w:pStyle w:val="Compact"/>
        <w:numPr>
          <w:ilvl w:val="0"/>
          <w:numId w:val="1051"/>
        </w:numPr>
      </w:pPr>
      <w:r>
        <w:t xml:space="preserve">the product enters a new country;</w:t>
      </w:r>
    </w:p>
    <w:p>
      <w:pPr>
        <w:pStyle w:val="Compact"/>
        <w:numPr>
          <w:ilvl w:val="0"/>
          <w:numId w:val="1051"/>
        </w:numPr>
      </w:pPr>
      <w:r>
        <w:t xml:space="preserve">content moves from internal display to runtime logic;</w:t>
      </w:r>
    </w:p>
    <w:p>
      <w:pPr>
        <w:pStyle w:val="Compact"/>
        <w:numPr>
          <w:ilvl w:val="0"/>
          <w:numId w:val="1051"/>
        </w:numPr>
      </w:pPr>
      <w:r>
        <w:t xml:space="preserve">extraction volume grows materially;</w:t>
      </w:r>
    </w:p>
    <w:p>
      <w:pPr>
        <w:pStyle w:val="Compact"/>
        <w:numPr>
          <w:ilvl w:val="0"/>
          <w:numId w:val="1051"/>
        </w:numPr>
      </w:pPr>
      <w:r>
        <w:t xml:space="preserve">a named source becomes a core marketing claim.</w:t>
      </w:r>
    </w:p>
    <w:p>
      <w:r>
        <w:pict>
          <v:rect style="width:0;height:1.5pt" o:hralign="center" o:hrstd="t" o:hr="t"/>
        </w:pict>
      </w:r>
    </w:p>
    <w:bookmarkEnd w:id="86"/>
    <w:bookmarkEnd w:id="87"/>
    <w:bookmarkStart w:id="88" w:name="X982f70b8d4786df16623a9502e1afef5c5c22fc"/>
    <w:p>
      <w:pPr>
        <w:pStyle w:val="Heading2"/>
        <w:keepNext/>
        <w:keepLines/>
      </w:pPr>
      <w:r>
        <w:t xml:space="preserve">15. Decision matrix: common product uses</w:t>
      </w:r>
    </w:p>
    <w:p>
      <w:pPr>
        <w:pStyle w:val="FirstParagraph"/>
      </w:pPr>
      <w:r>
        <w:rPr>
          <w:b/>
          <w:bCs/>
        </w:rPr>
        <w:t xml:space="preserve">Store DOI, PMID, title, authors, and date</w:t>
      </w:r>
      <w:r>
        <w:br/>
      </w:r>
      <w:r>
        <w:t xml:space="preserve">Default: cleared. Verify accuracy and store metadata only.</w:t>
      </w:r>
    </w:p>
    <w:p>
      <w:pPr>
        <w:pStyle w:val="BodyText"/>
      </w:pPr>
      <w:r>
        <w:rPr>
          <w:b/>
          <w:bCs/>
        </w:rPr>
        <w:t xml:space="preserve">Store an original paraphrase of one study finding</w:t>
      </w:r>
      <w:r>
        <w:br/>
      </w:r>
      <w:r>
        <w:t xml:space="preserve">Default: facts-only candidate. Require lawful access, a precise locator, no blocking terms, and no copied expression.</w:t>
      </w:r>
    </w:p>
    <w:p>
      <w:pPr>
        <w:pStyle w:val="BodyText"/>
      </w:pPr>
      <w:r>
        <w:rPr>
          <w:b/>
          <w:bCs/>
        </w:rPr>
        <w:t xml:space="preserve">Encode a reported numeric threshold</w:t>
      </w:r>
      <w:r>
        <w:br/>
      </w:r>
      <w:r>
        <w:t xml:space="preserve">Default: facts-only candidate. Preserve population and assay limits; assess contract and compilation dependence.</w:t>
      </w:r>
    </w:p>
    <w:p>
      <w:pPr>
        <w:pStyle w:val="BodyText"/>
      </w:pPr>
      <w:r>
        <w:rPr>
          <w:b/>
          <w:bCs/>
        </w:rPr>
        <w:t xml:space="preserve">Encode an equation</w:t>
      </w:r>
      <w:r>
        <w:br/>
      </w:r>
      <w:r>
        <w:t xml:space="preserve">Default: facts-only candidate. Check patents, branded methods, license terms, inputs, and clinical validity.</w:t>
      </w:r>
    </w:p>
    <w:p>
      <w:pPr>
        <w:pStyle w:val="BodyText"/>
      </w:pPr>
      <w:r>
        <w:rPr>
          <w:b/>
          <w:bCs/>
        </w:rPr>
        <w:t xml:space="preserve">Combine several studies into an original rule</w:t>
      </w:r>
      <w:r>
        <w:br/>
      </w:r>
      <w:r>
        <w:t xml:space="preserve">Default: facts-only candidate. Document synthesis and expert judgment; do not reproduce source organization.</w:t>
      </w:r>
    </w:p>
    <w:p>
      <w:pPr>
        <w:pStyle w:val="BodyText"/>
      </w:pPr>
      <w:r>
        <w:rPr>
          <w:b/>
          <w:bCs/>
        </w:rPr>
        <w:t xml:space="preserve">Display a citation and link</w:t>
      </w:r>
      <w:r>
        <w:br/>
      </w:r>
      <w:r>
        <w:t xml:space="preserve">Default: usually cleared. Do not display copied previews or imply endorsement.</w:t>
      </w:r>
    </w:p>
    <w:p>
      <w:pPr>
        <w:pStyle w:val="BodyText"/>
      </w:pPr>
      <w:r>
        <w:rPr>
          <w:b/>
          <w:bCs/>
        </w:rPr>
        <w:t xml:space="preserve">Display a short source quotation</w:t>
      </w:r>
      <w:r>
        <w:br/>
      </w:r>
      <w:r>
        <w:t xml:space="preserve">Default: legal review or license. There is no fixed word-count safe harbor.</w:t>
      </w:r>
    </w:p>
    <w:p>
      <w:pPr>
        <w:pStyle w:val="BodyText"/>
      </w:pPr>
      <w:r>
        <w:rPr>
          <w:b/>
          <w:bCs/>
        </w:rPr>
        <w:t xml:space="preserve">Reproduce a source table</w:t>
      </w:r>
      <w:r>
        <w:br/>
      </w:r>
      <w:r>
        <w:t xml:space="preserve">Default: permission or license required. Follow the grant and attribution exactly.</w:t>
      </w:r>
    </w:p>
    <w:p>
      <w:pPr>
        <w:pStyle w:val="BodyText"/>
      </w:pPr>
      <w:r>
        <w:rPr>
          <w:b/>
          <w:bCs/>
        </w:rPr>
        <w:t xml:space="preserve">Redraw the same table or figure</w:t>
      </w:r>
      <w:r>
        <w:br/>
      </w:r>
      <w:r>
        <w:t xml:space="preserve">Default: permission or license is likely required. Cosmetic changes do not eliminate derivative-work risk.</w:t>
      </w:r>
    </w:p>
    <w:p>
      <w:pPr>
        <w:pStyle w:val="BodyText"/>
      </w:pPr>
      <w:r>
        <w:rPr>
          <w:b/>
          <w:bCs/>
        </w:rPr>
        <w:t xml:space="preserve">Implement an entire proprietary nomogram</w:t>
      </w:r>
      <w:r>
        <w:br/>
      </w:r>
      <w:r>
        <w:t xml:space="preserve">Default: legal review or license. Compilation and market-substitution risk are high.</w:t>
      </w:r>
    </w:p>
    <w:p>
      <w:pPr>
        <w:pStyle w:val="BodyText"/>
      </w:pPr>
      <w:r>
        <w:rPr>
          <w:b/>
          <w:bCs/>
        </w:rPr>
        <w:t xml:space="preserve">Copy guideline flowchart logic and labels</w:t>
      </w:r>
      <w:r>
        <w:br/>
      </w:r>
      <w:r>
        <w:t xml:space="preserve">Default: legal review or license. Independently author structure and text and assess substantial similarity.</w:t>
      </w:r>
    </w:p>
    <w:p>
      <w:pPr>
        <w:pStyle w:val="BodyText"/>
      </w:pPr>
      <w:r>
        <w:rPr>
          <w:b/>
          <w:bCs/>
        </w:rPr>
        <w:t xml:space="preserve">Use a proprietary questionnaire</w:t>
      </w:r>
      <w:r>
        <w:br/>
      </w:r>
      <w:r>
        <w:t xml:space="preserve">Default: permission required. Verify instrument, scoring, language, electronic-use, and commercial terms.</w:t>
      </w:r>
    </w:p>
    <w:p>
      <w:pPr>
        <w:pStyle w:val="BodyText"/>
      </w:pPr>
      <w:r>
        <w:rPr>
          <w:b/>
          <w:bCs/>
        </w:rPr>
        <w:t xml:space="preserve">Use CC BY article text or a figure</w:t>
      </w:r>
      <w:r>
        <w:br/>
      </w:r>
      <w:r>
        <w:t xml:space="preserve">Default: cleared with conditions. Verify the item-level license, provide attribution and license reference, and indicate changes.</w:t>
      </w:r>
    </w:p>
    <w:p>
      <w:pPr>
        <w:pStyle w:val="BodyText"/>
      </w:pPr>
      <w:r>
        <w:rPr>
          <w:b/>
          <w:bCs/>
        </w:rPr>
        <w:t xml:space="preserve">Use CC BY-NC content in paid SaaS</w:t>
      </w:r>
      <w:r>
        <w:br/>
      </w:r>
      <w:r>
        <w:t xml:space="preserve">Default: blocked without permission because commercial use is not granted.</w:t>
      </w:r>
    </w:p>
    <w:p>
      <w:pPr>
        <w:pStyle w:val="BodyText"/>
      </w:pPr>
      <w:r>
        <w:rPr>
          <w:b/>
          <w:bCs/>
        </w:rPr>
        <w:t xml:space="preserve">Adapt CC BY-ND content</w:t>
      </w:r>
      <w:r>
        <w:br/>
      </w:r>
      <w:r>
        <w:t xml:space="preserve">Default: blocked without permission because distribution of adaptations is not granted.</w:t>
      </w:r>
    </w:p>
    <w:p>
      <w:pPr>
        <w:pStyle w:val="BodyText"/>
      </w:pPr>
      <w:r>
        <w:rPr>
          <w:b/>
          <w:bCs/>
        </w:rPr>
        <w:t xml:space="preserve">Use a PMC article because it is free to read</w:t>
      </w:r>
      <w:r>
        <w:br/>
      </w:r>
      <w:r>
        <w:t xml:space="preserve">Default: insufficient information. Verify the article-level license and retrieval method.</w:t>
      </w:r>
    </w:p>
    <w:p>
      <w:pPr>
        <w:pStyle w:val="BodyText"/>
      </w:pPr>
      <w:r>
        <w:rPr>
          <w:b/>
          <w:bCs/>
        </w:rPr>
        <w:t xml:space="preserve">Use U.S. federal-government guidance</w:t>
      </w:r>
      <w:r>
        <w:br/>
      </w:r>
      <w:r>
        <w:t xml:space="preserve">Default: public-domain candidate. Verify federal authorship and third-party content and avoid logo misuse.</w:t>
      </w:r>
    </w:p>
    <w:p>
      <w:pPr>
        <w:pStyle w:val="BodyText"/>
      </w:pPr>
      <w:r>
        <w:rPr>
          <w:b/>
          <w:bCs/>
        </w:rPr>
        <w:t xml:space="preserve">Bulk-download subscription content for retrieval or RAG</w:t>
      </w:r>
      <w:r>
        <w:br/>
      </w:r>
      <w:r>
        <w:t xml:space="preserve">Default: contract and legal review. Explicit automated retrieval, storage, and use rights are required.</w:t>
      </w:r>
    </w:p>
    <w:p>
      <w:pPr>
        <w:pStyle w:val="BodyText"/>
      </w:pPr>
      <w:r>
        <w:rPr>
          <w:b/>
          <w:bCs/>
        </w:rPr>
        <w:t xml:space="preserve">Train a model on source full text</w:t>
      </w:r>
      <w:r>
        <w:br/>
      </w:r>
      <w:r>
        <w:t xml:space="preserve">Default: legal review required. This use is not implied by research or clinical access.</w:t>
      </w:r>
    </w:p>
    <w:p>
      <w:pPr>
        <w:pStyle w:val="BodyText"/>
      </w:pPr>
      <w:r>
        <w:rPr>
          <w:b/>
          <w:bCs/>
        </w:rPr>
        <w:t xml:space="preserve">Use an AAP logo or an “AAP-approved” claim</w:t>
      </w:r>
      <w:r>
        <w:br/>
      </w:r>
      <w:r>
        <w:t xml:space="preserve">Default: prohibited without authorization. Citation is not endorsement.</w:t>
      </w:r>
    </w:p>
    <w:p>
      <w:r>
        <w:pict>
          <v:rect style="width:0;height:1.5pt" o:hralign="center" o:hrstd="t" o:hr="t"/>
        </w:pict>
      </w:r>
    </w:p>
    <w:bookmarkEnd w:id="88"/>
    <w:bookmarkStart w:id="93" w:name="X4c4caace6f0849affabdb48011ef31c29c4a137"/>
    <w:p>
      <w:pPr>
        <w:pStyle w:val="Heading2"/>
        <w:keepNext/>
        <w:keepLines/>
      </w:pPr>
      <w:r>
        <w:t xml:space="preserve">16. AAP-specific operating guidance</w:t>
      </w:r>
    </w:p>
    <w:bookmarkStart w:id="89" w:name="X432df7fabd65301867432d42aa550981b3961af"/>
    <w:p>
      <w:pPr>
        <w:pStyle w:val="Heading3"/>
        <w:keepNext/>
        <w:keepLines/>
      </w:pPr>
      <w:r>
        <w:t xml:space="preserve">16.1 What an AAP subscription does</w:t>
      </w:r>
    </w:p>
    <w:p>
      <w:pPr>
        <w:pStyle w:val="FirstParagraph"/>
      </w:pPr>
      <w:r>
        <w:t xml:space="preserve">AAP Pediatric Care Online grants subscribers limited access and use for healthcare services and imposes restrictions on distribution, adaptation, derivative works, and incorporation into other materials absent separate approval. [S5]</w:t>
      </w:r>
    </w:p>
    <w:p>
      <w:pPr>
        <w:pStyle w:val="BodyText"/>
      </w:pPr>
      <w:r>
        <w:t xml:space="preserve">Therefore:</w:t>
      </w:r>
    </w:p>
    <w:p>
      <w:pPr>
        <w:pStyle w:val="Compact"/>
        <w:numPr>
          <w:ilvl w:val="0"/>
          <w:numId w:val="1052"/>
        </w:numPr>
      </w:pPr>
      <w:r>
        <w:t xml:space="preserve">the subscription is useful for clinical research and source identification;</w:t>
      </w:r>
    </w:p>
    <w:p>
      <w:pPr>
        <w:pStyle w:val="Compact"/>
        <w:numPr>
          <w:ilvl w:val="0"/>
          <w:numId w:val="1052"/>
        </w:numPr>
      </w:pPr>
      <w:r>
        <w:t xml:space="preserve">it is not, by itself, a commercial content-ingestion license;</w:t>
      </w:r>
    </w:p>
    <w:p>
      <w:pPr>
        <w:pStyle w:val="Compact"/>
        <w:numPr>
          <w:ilvl w:val="0"/>
          <w:numId w:val="1052"/>
        </w:numPr>
      </w:pPr>
      <w:r>
        <w:t xml:space="preserve">account terms must be respected even when the underlying medical fact may be independently usable.</w:t>
      </w:r>
    </w:p>
    <w:bookmarkEnd w:id="89"/>
    <w:bookmarkStart w:id="90" w:name="Xd3ec4dcb0a68b6dce061db4f86ef3b66c05c162"/>
    <w:p>
      <w:pPr>
        <w:pStyle w:val="Heading3"/>
        <w:keepNext/>
        <w:keepLines/>
      </w:pPr>
      <w:r>
        <w:t xml:space="preserve">16.2 What may often be usable</w:t>
      </w:r>
    </w:p>
    <w:p>
      <w:pPr>
        <w:pStyle w:val="FirstParagraph"/>
      </w:pPr>
      <w:r>
        <w:t xml:space="preserve">Subject to source and legal review, the product may often:</w:t>
      </w:r>
    </w:p>
    <w:p>
      <w:pPr>
        <w:pStyle w:val="Compact"/>
        <w:numPr>
          <w:ilvl w:val="0"/>
          <w:numId w:val="1053"/>
        </w:numPr>
      </w:pPr>
      <w:r>
        <w:t xml:space="preserve">cite the AAP publication;</w:t>
      </w:r>
    </w:p>
    <w:p>
      <w:pPr>
        <w:pStyle w:val="Compact"/>
        <w:numPr>
          <w:ilvl w:val="0"/>
          <w:numId w:val="1053"/>
        </w:numPr>
      </w:pPr>
      <w:r>
        <w:t xml:space="preserve">state independently worded clinical facts or recommendations;</w:t>
      </w:r>
    </w:p>
    <w:p>
      <w:pPr>
        <w:pStyle w:val="Compact"/>
        <w:numPr>
          <w:ilvl w:val="0"/>
          <w:numId w:val="1053"/>
        </w:numPr>
      </w:pPr>
      <w:r>
        <w:t xml:space="preserve">implement a clinical method in original code;</w:t>
      </w:r>
    </w:p>
    <w:p>
      <w:pPr>
        <w:pStyle w:val="Compact"/>
        <w:numPr>
          <w:ilvl w:val="0"/>
          <w:numId w:val="1053"/>
        </w:numPr>
      </w:pPr>
      <w:r>
        <w:t xml:space="preserve">use primary studies cited by the AAP as the direct evidentiary basis;</w:t>
      </w:r>
    </w:p>
    <w:p>
      <w:pPr>
        <w:pStyle w:val="Compact"/>
        <w:numPr>
          <w:ilvl w:val="0"/>
          <w:numId w:val="1053"/>
        </w:numPr>
      </w:pPr>
      <w:r>
        <w:t xml:space="preserve">record that an AAP guideline supports a recommendation;</w:t>
      </w:r>
    </w:p>
    <w:p>
      <w:pPr>
        <w:pStyle w:val="Compact"/>
        <w:numPr>
          <w:ilvl w:val="0"/>
          <w:numId w:val="1053"/>
        </w:numPr>
      </w:pPr>
      <w:r>
        <w:t xml:space="preserve">build original explanations and safety logic;</w:t>
      </w:r>
    </w:p>
    <w:p>
      <w:pPr>
        <w:pStyle w:val="Compact"/>
        <w:numPr>
          <w:ilvl w:val="0"/>
          <w:numId w:val="1053"/>
        </w:numPr>
      </w:pPr>
      <w:r>
        <w:t xml:space="preserve">independently validate the implementation.</w:t>
      </w:r>
    </w:p>
    <w:bookmarkEnd w:id="90"/>
    <w:bookmarkStart w:id="91" w:name="X82f7b9bd5eee4a24da988579e05563ef57bcce8"/>
    <w:p>
      <w:pPr>
        <w:pStyle w:val="Heading3"/>
        <w:keepNext/>
        <w:keepLines/>
      </w:pPr>
      <w:r>
        <w:t xml:space="preserve">16.3 What should not be assumed usable</w:t>
      </w:r>
    </w:p>
    <w:p>
      <w:pPr>
        <w:pStyle w:val="FirstParagraph"/>
      </w:pPr>
      <w:r>
        <w:t xml:space="preserve">Do not assume the right to:</w:t>
      </w:r>
    </w:p>
    <w:p>
      <w:pPr>
        <w:pStyle w:val="Compact"/>
        <w:numPr>
          <w:ilvl w:val="0"/>
          <w:numId w:val="1054"/>
        </w:numPr>
      </w:pPr>
      <w:r>
        <w:t xml:space="preserve">copy AAP prose;</w:t>
      </w:r>
    </w:p>
    <w:p>
      <w:pPr>
        <w:pStyle w:val="Compact"/>
        <w:numPr>
          <w:ilvl w:val="0"/>
          <w:numId w:val="1054"/>
        </w:numPr>
      </w:pPr>
      <w:r>
        <w:t xml:space="preserve">reproduce an AAP figure, table, chart, nomogram, algorithm, form, handout, or slide;</w:t>
      </w:r>
    </w:p>
    <w:p>
      <w:pPr>
        <w:pStyle w:val="Compact"/>
        <w:numPr>
          <w:ilvl w:val="0"/>
          <w:numId w:val="1054"/>
        </w:numPr>
      </w:pPr>
      <w:r>
        <w:t xml:space="preserve">extract and redistribute the full AAP threshold or knowledge set;</w:t>
      </w:r>
    </w:p>
    <w:p>
      <w:pPr>
        <w:pStyle w:val="Compact"/>
        <w:numPr>
          <w:ilvl w:val="0"/>
          <w:numId w:val="1054"/>
        </w:numPr>
      </w:pPr>
      <w:r>
        <w:t xml:space="preserve">incorporate Pediatric Care Online Materials into the commercial knowledge base in violation of the subscription terms;</w:t>
      </w:r>
    </w:p>
    <w:p>
      <w:pPr>
        <w:pStyle w:val="Compact"/>
        <w:numPr>
          <w:ilvl w:val="0"/>
          <w:numId w:val="1054"/>
        </w:numPr>
      </w:pPr>
      <w:r>
        <w:t xml:space="preserve">use AAP trademarks or imply endorsement.</w:t>
      </w:r>
    </w:p>
    <w:p>
      <w:pPr>
        <w:pStyle w:val="FirstParagraph"/>
      </w:pPr>
      <w:r>
        <w:t xml:space="preserve">AAP expressly provides a permissions and licensing process and states that it is willing to discuss reuse in electronic health records. [S6]</w:t>
      </w:r>
    </w:p>
    <w:bookmarkEnd w:id="91"/>
    <w:bookmarkStart w:id="92" w:name="Xf48c40bb5f3faecc1c5d8b78dbbf12123d990f6"/>
    <w:p>
      <w:pPr>
        <w:pStyle w:val="Heading3"/>
        <w:keepNext/>
        <w:keepLines/>
      </w:pPr>
      <w:r>
        <w:t xml:space="preserve">16.4 Recommended AAP strategy</w:t>
      </w:r>
    </w:p>
    <w:p>
      <w:pPr>
        <w:pStyle w:val="FirstParagraph"/>
      </w:pPr>
      <w:r>
        <w:t xml:space="preserve">For each AAP-dependent module:</w:t>
      </w:r>
    </w:p>
    <w:p>
      <w:pPr>
        <w:pStyle w:val="Compact"/>
        <w:numPr>
          <w:ilvl w:val="0"/>
          <w:numId w:val="1055"/>
        </w:numPr>
      </w:pPr>
      <w:r>
        <w:t xml:space="preserve">Determine whether the module can be based directly on primary studies, public guidance, and independently generated clinical logic.</w:t>
      </w:r>
    </w:p>
    <w:p>
      <w:pPr>
        <w:pStyle w:val="Compact"/>
        <w:numPr>
          <w:ilvl w:val="0"/>
          <w:numId w:val="1055"/>
        </w:numPr>
      </w:pPr>
      <w:r>
        <w:t xml:space="preserve">Calculate how much of the value depends on the complete AAP-curated structure.</w:t>
      </w:r>
    </w:p>
    <w:p>
      <w:pPr>
        <w:pStyle w:val="Compact"/>
        <w:numPr>
          <w:ilvl w:val="0"/>
          <w:numId w:val="1055"/>
        </w:numPr>
      </w:pPr>
      <w:r>
        <w:t xml:space="preserve">Use facts-only implementation when genuinely independent and contract-compatible.</w:t>
      </w:r>
    </w:p>
    <w:p>
      <w:pPr>
        <w:pStyle w:val="Compact"/>
        <w:numPr>
          <w:ilvl w:val="0"/>
          <w:numId w:val="1055"/>
        </w:numPr>
      </w:pPr>
      <w:r>
        <w:t xml:space="preserve">Request an EHR/CDS or commercial-content license when the product needs AAP tables, graphics, full algorithms, patient materials, or a complete curated content set.</w:t>
      </w:r>
    </w:p>
    <w:p>
      <w:pPr>
        <w:pStyle w:val="Compact"/>
        <w:numPr>
          <w:ilvl w:val="0"/>
          <w:numId w:val="1055"/>
        </w:numPr>
      </w:pPr>
      <w:r>
        <w:t xml:space="preserve">Do not market AAP association without a separate agreement.</w:t>
      </w:r>
    </w:p>
    <w:p>
      <w:r>
        <w:pict>
          <v:rect style="width:0;height:1.5pt" o:hralign="center" o:hrstd="t" o:hr="t"/>
        </w:pict>
      </w:r>
    </w:p>
    <w:bookmarkEnd w:id="92"/>
    <w:bookmarkEnd w:id="93"/>
    <w:bookmarkStart w:id="104" w:name="X3d033b427e544441f0a37c5d5f1d3684958f71b"/>
    <w:p>
      <w:pPr>
        <w:pStyle w:val="Heading2"/>
        <w:keepNext/>
        <w:keepLines/>
      </w:pPr>
      <w:r>
        <w:t xml:space="preserve">17. Detailed examples</w:t>
      </w:r>
    </w:p>
    <w:bookmarkStart w:id="94" w:name="Xc067e22f4d5cde1c391bd4dc31c54807fc8ef86"/>
    <w:p>
      <w:pPr>
        <w:pStyle w:val="Heading3"/>
        <w:keepNext/>
        <w:keepLines/>
      </w:pPr>
      <w:r>
        <w:t xml:space="preserve">Example A — Single threshold from a primary study</w:t>
      </w:r>
    </w:p>
    <w:p>
      <w:pPr>
        <w:pStyle w:val="FirstParagraph"/>
      </w:pPr>
      <w:r>
        <w:t xml:space="preserve">A pediatric cohort reports that a laboratory value below a stated cutoff had specified diagnostic performance on a named analyzer.</w:t>
      </w:r>
    </w:p>
    <w:p>
      <w:pPr>
        <w:pStyle w:val="BodyText"/>
      </w:pPr>
      <w:r>
        <w:rPr>
          <w:b/>
          <w:bCs/>
        </w:rPr>
        <w:t xml:space="preserve">Permitted pattern:</w:t>
      </w:r>
    </w:p>
    <w:p>
      <w:pPr>
        <w:pStyle w:val="Compact"/>
        <w:numPr>
          <w:ilvl w:val="0"/>
          <w:numId w:val="1056"/>
        </w:numPr>
      </w:pPr>
      <w:r>
        <w:t xml:space="preserve">store bibliographic metadata;</w:t>
      </w:r>
    </w:p>
    <w:p>
      <w:pPr>
        <w:pStyle w:val="Compact"/>
        <w:numPr>
          <w:ilvl w:val="0"/>
          <w:numId w:val="1056"/>
        </w:numPr>
      </w:pPr>
      <w:r>
        <w:t xml:space="preserve">create an original evidence atom;</w:t>
      </w:r>
    </w:p>
    <w:p>
      <w:pPr>
        <w:pStyle w:val="Compact"/>
        <w:numPr>
          <w:ilvl w:val="0"/>
          <w:numId w:val="1056"/>
        </w:numPr>
      </w:pPr>
      <w:r>
        <w:t xml:space="preserve">record exact population, analyzer, reference standard, and performance;</w:t>
      </w:r>
    </w:p>
    <w:p>
      <w:pPr>
        <w:pStyle w:val="Compact"/>
        <w:numPr>
          <w:ilvl w:val="0"/>
          <w:numId w:val="1056"/>
        </w:numPr>
      </w:pPr>
      <w:r>
        <w:t xml:space="preserve">write original rule logic;</w:t>
      </w:r>
    </w:p>
    <w:p>
      <w:pPr>
        <w:pStyle w:val="Compact"/>
        <w:numPr>
          <w:ilvl w:val="0"/>
          <w:numId w:val="1056"/>
        </w:numPr>
      </w:pPr>
      <w:r>
        <w:t xml:space="preserve">cite the study;</w:t>
      </w:r>
    </w:p>
    <w:p>
      <w:pPr>
        <w:pStyle w:val="Compact"/>
        <w:numPr>
          <w:ilvl w:val="0"/>
          <w:numId w:val="1056"/>
        </w:numPr>
      </w:pPr>
      <w:r>
        <w:t xml:space="preserve">prohibit application when analyzer or population is outside scope.</w:t>
      </w:r>
    </w:p>
    <w:p>
      <w:pPr>
        <w:pStyle w:val="FirstParagraph"/>
      </w:pPr>
      <w:r>
        <w:rPr>
          <w:b/>
          <w:bCs/>
        </w:rPr>
        <w:t xml:space="preserve">Do not:</w:t>
      </w:r>
      <w:r>
        <w:t xml:space="preserve"> </w:t>
      </w:r>
      <w:r>
        <w:t xml:space="preserve">copy the study’s table, wording, or figure into the product without permission.</w:t>
      </w:r>
    </w:p>
    <w:p>
      <w:pPr>
        <w:pStyle w:val="BodyText"/>
      </w:pPr>
      <w:r>
        <w:rPr>
          <w:b/>
          <w:bCs/>
        </w:rPr>
        <w:t xml:space="preserve">Expected decision:</w:t>
      </w:r>
      <w:r>
        <w:t xml:space="preserve"> </w:t>
      </w:r>
      <w:r>
        <w:rPr>
          <w:rStyle w:val="VerbatimChar"/>
        </w:rPr>
        <w:t xml:space="preserve">CLEARED_FACTS_ONLY</w:t>
      </w:r>
      <w:r>
        <w:t xml:space="preserve">, assuming no blocking contract, patent, or other restriction.</w:t>
      </w:r>
    </w:p>
    <w:bookmarkEnd w:id="94"/>
    <w:bookmarkStart w:id="95" w:name="Xa829371646c10b343388ee738c7230f63b5cb7d"/>
    <w:p>
      <w:pPr>
        <w:pStyle w:val="Heading3"/>
        <w:keepNext/>
        <w:keepLines/>
      </w:pPr>
      <w:r>
        <w:t xml:space="preserve">Example B — AAP multi-dimensional threshold nomogram</w:t>
      </w:r>
    </w:p>
    <w:p>
      <w:pPr>
        <w:pStyle w:val="FirstParagraph"/>
      </w:pPr>
      <w:r>
        <w:t xml:space="preserve">An AAP guideline provides a custom graph and complete table crossing age, gestation, risk, and laboratory value.</w:t>
      </w:r>
    </w:p>
    <w:p>
      <w:pPr>
        <w:pStyle w:val="BodyText"/>
      </w:pPr>
      <w:r>
        <w:rPr>
          <w:b/>
          <w:bCs/>
        </w:rPr>
        <w:t xml:space="preserve">Permitted research:</w:t>
      </w:r>
      <w:r>
        <w:t xml:space="preserve"> </w:t>
      </w:r>
      <w:r>
        <w:t xml:space="preserve">understand the method, identify underlying evidence, record source locators, and assess clinical logic.</w:t>
      </w:r>
    </w:p>
    <w:p>
      <w:pPr>
        <w:pStyle w:val="BodyText"/>
      </w:pPr>
      <w:r>
        <w:rPr>
          <w:b/>
          <w:bCs/>
        </w:rPr>
        <w:t xml:space="preserve">High-risk shipment:</w:t>
      </w:r>
      <w:r>
        <w:t xml:space="preserve"> </w:t>
      </w:r>
      <w:r>
        <w:t xml:space="preserve">reproducing all values and the same categories in a product that substitutes for the AAP tool.</w:t>
      </w:r>
    </w:p>
    <w:p>
      <w:pPr>
        <w:pStyle w:val="BodyText"/>
      </w:pPr>
      <w:r>
        <w:rPr>
          <w:b/>
          <w:bCs/>
        </w:rPr>
        <w:t xml:space="preserve">Preferred path:</w:t>
      </w:r>
      <w:r>
        <w:t xml:space="preserve"> </w:t>
      </w:r>
      <w:r>
        <w:t xml:space="preserve">obtain a license, or independently derive and validate a clinically justified implementation from permissible sources with legal review.</w:t>
      </w:r>
    </w:p>
    <w:p>
      <w:pPr>
        <w:pStyle w:val="BodyText"/>
      </w:pPr>
      <w:r>
        <w:rPr>
          <w:b/>
          <w:bCs/>
        </w:rPr>
        <w:t xml:space="preserve">Expected decision:</w:t>
      </w:r>
      <w:r>
        <w:t xml:space="preserve"> </w:t>
      </w:r>
      <w:r>
        <w:rPr>
          <w:rStyle w:val="VerbatimChar"/>
        </w:rPr>
        <w:t xml:space="preserve">LEGAL_REVIEW_REQUIRED</w:t>
      </w:r>
      <w:r>
        <w:t xml:space="preserve"> </w:t>
      </w:r>
      <w:r>
        <w:t xml:space="preserve">or</w:t>
      </w:r>
      <w:r>
        <w:t xml:space="preserve"> </w:t>
      </w:r>
      <w:r>
        <w:rPr>
          <w:rStyle w:val="VerbatimChar"/>
        </w:rPr>
        <w:t xml:space="preserve">PERMISSION_REQUIRED</w:t>
      </w:r>
      <w:r>
        <w:t xml:space="preserve">.</w:t>
      </w:r>
    </w:p>
    <w:bookmarkEnd w:id="95"/>
    <w:bookmarkStart w:id="96" w:name="example-c--pediatric-egfr-equation"/>
    <w:p>
      <w:pPr>
        <w:pStyle w:val="Heading3"/>
        <w:keepNext/>
        <w:keepLines/>
      </w:pPr>
      <w:r>
        <w:t xml:space="preserve">Example C — Pediatric eGFR equation</w:t>
      </w:r>
    </w:p>
    <w:p>
      <w:pPr>
        <w:pStyle w:val="FirstParagraph"/>
      </w:pPr>
      <w:r>
        <w:t xml:space="preserve">A peer-reviewed study publishes an equation and coefficients.</w:t>
      </w:r>
    </w:p>
    <w:p>
      <w:pPr>
        <w:pStyle w:val="BodyText"/>
      </w:pPr>
      <w:r>
        <w:rPr>
          <w:b/>
          <w:bCs/>
        </w:rPr>
        <w:t xml:space="preserve">Permitted pattern:</w:t>
      </w:r>
      <w:r>
        <w:t xml:space="preserve"> </w:t>
      </w:r>
      <w:r>
        <w:t xml:space="preserve">independently encode the equation, cite it, capture calibration population and assay assumptions, and validate it.</w:t>
      </w:r>
    </w:p>
    <w:p>
      <w:pPr>
        <w:pStyle w:val="BodyText"/>
      </w:pPr>
      <w:r>
        <w:rPr>
          <w:b/>
          <w:bCs/>
        </w:rPr>
        <w:t xml:space="preserve">Additional checks:</w:t>
      </w:r>
      <w:r>
        <w:t xml:space="preserve"> </w:t>
      </w:r>
      <w:r>
        <w:t xml:space="preserve">patents, branded name, transition-age validity, source access terms, and whether coefficients came from a proprietary dataset.</w:t>
      </w:r>
    </w:p>
    <w:p>
      <w:pPr>
        <w:pStyle w:val="BodyText"/>
      </w:pPr>
      <w:r>
        <w:rPr>
          <w:b/>
          <w:bCs/>
        </w:rPr>
        <w:t xml:space="preserve">Expected decision:</w:t>
      </w:r>
      <w:r>
        <w:t xml:space="preserve"> </w:t>
      </w:r>
      <w:r>
        <w:t xml:space="preserve">commonly</w:t>
      </w:r>
      <w:r>
        <w:t xml:space="preserve"> </w:t>
      </w:r>
      <w:r>
        <w:rPr>
          <w:rStyle w:val="VerbatimChar"/>
        </w:rPr>
        <w:t xml:space="preserve">CLEARED_FACTS_ONLY</w:t>
      </w:r>
      <w:r>
        <w:t xml:space="preserve">, but never automatic.</w:t>
      </w:r>
    </w:p>
    <w:bookmarkEnd w:id="96"/>
    <w:bookmarkStart w:id="97" w:name="example-d--cc-by-article-figure"/>
    <w:p>
      <w:pPr>
        <w:pStyle w:val="Heading3"/>
        <w:keepNext/>
        <w:keepLines/>
      </w:pPr>
      <w:r>
        <w:t xml:space="preserve">Example D — CC BY article figure</w:t>
      </w:r>
    </w:p>
    <w:p>
      <w:pPr>
        <w:pStyle w:val="FirstParagraph"/>
      </w:pPr>
      <w:r>
        <w:t xml:space="preserve">An article-level CC BY 4.0 license applies to the figure and contains no credited third-party material.</w:t>
      </w:r>
    </w:p>
    <w:p>
      <w:pPr>
        <w:pStyle w:val="BodyText"/>
      </w:pPr>
      <w:r>
        <w:rPr>
          <w:b/>
          <w:bCs/>
        </w:rPr>
        <w:t xml:space="preserve">Permitted pattern:</w:t>
      </w:r>
      <w:r>
        <w:t xml:space="preserve"> </w:t>
      </w:r>
      <w:r>
        <w:t xml:space="preserve">reuse or adapt commercially with required attribution, license reference, and indication of changes.</w:t>
      </w:r>
    </w:p>
    <w:p>
      <w:pPr>
        <w:pStyle w:val="BodyText"/>
      </w:pPr>
      <w:r>
        <w:rPr>
          <w:b/>
          <w:bCs/>
        </w:rPr>
        <w:t xml:space="preserve">Expected decision:</w:t>
      </w:r>
      <w:r>
        <w:t xml:space="preserve"> </w:t>
      </w:r>
      <w:r>
        <w:rPr>
          <w:rStyle w:val="VerbatimChar"/>
        </w:rPr>
        <w:t xml:space="preserve">CLEARED_OPEN_LICENSE</w:t>
      </w:r>
      <w:r>
        <w:t xml:space="preserve">.</w:t>
      </w:r>
    </w:p>
    <w:bookmarkEnd w:id="97"/>
    <w:bookmarkStart w:id="98" w:name="example-e--cc-by-nc-clinical-table"/>
    <w:p>
      <w:pPr>
        <w:pStyle w:val="Heading3"/>
        <w:keepNext/>
        <w:keepLines/>
      </w:pPr>
      <w:r>
        <w:t xml:space="preserve">Example E — CC BY-NC clinical table</w:t>
      </w:r>
    </w:p>
    <w:p>
      <w:pPr>
        <w:pStyle w:val="FirstParagraph"/>
      </w:pPr>
      <w:r>
        <w:t xml:space="preserve">The table is covered by CC BY-NC and the product is paid commercial SaaS.</w:t>
      </w:r>
    </w:p>
    <w:p>
      <w:pPr>
        <w:pStyle w:val="BodyText"/>
      </w:pPr>
      <w:r>
        <w:rPr>
          <w:b/>
          <w:bCs/>
        </w:rPr>
        <w:t xml:space="preserve">Expected decision:</w:t>
      </w:r>
      <w:r>
        <w:t xml:space="preserve"> </w:t>
      </w:r>
      <w:r>
        <w:rPr>
          <w:rStyle w:val="VerbatimChar"/>
        </w:rPr>
        <w:t xml:space="preserve">PERMISSION_REQUIRED</w:t>
      </w:r>
      <w:r>
        <w:t xml:space="preserve">; attribution alone is insufficient.</w:t>
      </w:r>
    </w:p>
    <w:bookmarkEnd w:id="98"/>
    <w:bookmarkStart w:id="99" w:name="example-f--pmc-author-manuscript"/>
    <w:p>
      <w:pPr>
        <w:pStyle w:val="Heading3"/>
        <w:keepNext/>
        <w:keepLines/>
      </w:pPr>
      <w:r>
        <w:t xml:space="preserve">Example F — PMC author manuscript</w:t>
      </w:r>
    </w:p>
    <w:p>
      <w:pPr>
        <w:pStyle w:val="FirstParagraph"/>
      </w:pPr>
      <w:r>
        <w:t xml:space="preserve">An article is freely readable in PMC but has no reuse license.</w:t>
      </w:r>
    </w:p>
    <w:p>
      <w:pPr>
        <w:pStyle w:val="BodyText"/>
      </w:pPr>
      <w:r>
        <w:rPr>
          <w:b/>
          <w:bCs/>
        </w:rPr>
        <w:t xml:space="preserve">Permitted pattern:</w:t>
      </w:r>
      <w:r>
        <w:t xml:space="preserve"> </w:t>
      </w:r>
      <w:r>
        <w:t xml:space="preserve">read and extract independently worded factual claims as otherwise lawful.</w:t>
      </w:r>
    </w:p>
    <w:p>
      <w:pPr>
        <w:pStyle w:val="BodyText"/>
      </w:pPr>
      <w:r>
        <w:rPr>
          <w:b/>
          <w:bCs/>
        </w:rPr>
        <w:t xml:space="preserve">Do not:</w:t>
      </w:r>
      <w:r>
        <w:t xml:space="preserve"> </w:t>
      </w:r>
      <w:r>
        <w:t xml:space="preserve">assume the article text, tables, or figures can be commercially redistributed.</w:t>
      </w:r>
    </w:p>
    <w:p>
      <w:pPr>
        <w:pStyle w:val="BodyText"/>
      </w:pPr>
      <w:r>
        <w:rPr>
          <w:b/>
          <w:bCs/>
        </w:rPr>
        <w:t xml:space="preserve">Expected decision:</w:t>
      </w:r>
      <w:r>
        <w:t xml:space="preserve"> </w:t>
      </w:r>
      <w:r>
        <w:t xml:space="preserve">facts-only assessment or</w:t>
      </w:r>
      <w:r>
        <w:t xml:space="preserve"> </w:t>
      </w:r>
      <w:r>
        <w:rPr>
          <w:rStyle w:val="VerbatimChar"/>
        </w:rPr>
        <w:t xml:space="preserve">LEGAL_REVIEW_REQUIRED</w:t>
      </w:r>
      <w:r>
        <w:t xml:space="preserve">, not open-license clearance.</w:t>
      </w:r>
    </w:p>
    <w:bookmarkEnd w:id="99"/>
    <w:bookmarkStart w:id="100" w:name="example-g--us-federal-guidance"/>
    <w:p>
      <w:pPr>
        <w:pStyle w:val="Heading3"/>
        <w:keepNext/>
        <w:keepLines/>
      </w:pPr>
      <w:r>
        <w:t xml:space="preserve">Example G — U.S. federal guidance</w:t>
      </w:r>
    </w:p>
    <w:p>
      <w:pPr>
        <w:pStyle w:val="FirstParagraph"/>
      </w:pPr>
      <w:r>
        <w:t xml:space="preserve">A CDC-authored page contains original federal text plus a third-party chart.</w:t>
      </w:r>
    </w:p>
    <w:p>
      <w:pPr>
        <w:pStyle w:val="BodyText"/>
      </w:pPr>
      <w:r>
        <w:rPr>
          <w:b/>
          <w:bCs/>
        </w:rPr>
        <w:t xml:space="preserve">Permitted pattern:</w:t>
      </w:r>
      <w:r>
        <w:t xml:space="preserve"> </w:t>
      </w:r>
      <w:r>
        <w:t xml:space="preserve">reuse the federal text or facts subject to verification and attribution practices.</w:t>
      </w:r>
    </w:p>
    <w:p>
      <w:pPr>
        <w:pStyle w:val="BodyText"/>
      </w:pPr>
      <w:r>
        <w:rPr>
          <w:b/>
          <w:bCs/>
        </w:rPr>
        <w:t xml:space="preserve">Do not:</w:t>
      </w:r>
      <w:r>
        <w:t xml:space="preserve"> </w:t>
      </w:r>
      <w:r>
        <w:t xml:space="preserve">reuse the third-party chart without checking its separate notice; do not use agency seals deceptively.</w:t>
      </w:r>
    </w:p>
    <w:bookmarkEnd w:id="100"/>
    <w:bookmarkStart w:id="101" w:name="example-h--proprietary-questionnaire"/>
    <w:p>
      <w:pPr>
        <w:pStyle w:val="Heading3"/>
        <w:keepNext/>
        <w:keepLines/>
      </w:pPr>
      <w:r>
        <w:t xml:space="preserve">Example H — Proprietary questionnaire</w:t>
      </w:r>
    </w:p>
    <w:p>
      <w:pPr>
        <w:pStyle w:val="FirstParagraph"/>
      </w:pPr>
      <w:r>
        <w:t xml:space="preserve">A screening instrument has publicly visible questions but requires an electronic-use license.</w:t>
      </w:r>
    </w:p>
    <w:p>
      <w:pPr>
        <w:pStyle w:val="BodyText"/>
      </w:pPr>
      <w:r>
        <w:rPr>
          <w:b/>
          <w:bCs/>
        </w:rPr>
        <w:t xml:space="preserve">Expected decision:</w:t>
      </w:r>
      <w:r>
        <w:t xml:space="preserve"> </w:t>
      </w:r>
      <w:r>
        <w:rPr>
          <w:rStyle w:val="VerbatimChar"/>
        </w:rPr>
        <w:t xml:space="preserve">PERMISSION_REQUIRED</w:t>
      </w:r>
      <w:r>
        <w:t xml:space="preserve">. Do not rewrite questions lightly and assume independence; test items and arrangement may be protected.</w:t>
      </w:r>
    </w:p>
    <w:bookmarkEnd w:id="101"/>
    <w:bookmarkStart w:id="102" w:name="Xd26407b88fb65027ac1e7ab35b384ac5029a9a5"/>
    <w:p>
      <w:pPr>
        <w:pStyle w:val="Heading3"/>
        <w:keepNext/>
        <w:keepLines/>
      </w:pPr>
      <w:r>
        <w:t xml:space="preserve">Example I — Local laboratory reference intervals</w:t>
      </w:r>
    </w:p>
    <w:p>
      <w:pPr>
        <w:pStyle w:val="FirstParagraph"/>
      </w:pPr>
      <w:r>
        <w:t xml:space="preserve">A health-system partner provides local ranges under a data-use agreement.</w:t>
      </w:r>
    </w:p>
    <w:p>
      <w:pPr>
        <w:pStyle w:val="BodyText"/>
      </w:pPr>
      <w:r>
        <w:rPr>
          <w:b/>
          <w:bCs/>
        </w:rPr>
        <w:t xml:space="preserve">Permitted pattern:</w:t>
      </w:r>
      <w:r>
        <w:t xml:space="preserve"> </w:t>
      </w:r>
      <w:r>
        <w:t xml:space="preserve">use only for the contractually approved site or study, with access controls and provenance.</w:t>
      </w:r>
    </w:p>
    <w:p>
      <w:pPr>
        <w:pStyle w:val="BodyText"/>
      </w:pPr>
      <w:r>
        <w:rPr>
          <w:b/>
          <w:bCs/>
        </w:rPr>
        <w:t xml:space="preserve">Do not:</w:t>
      </w:r>
      <w:r>
        <w:t xml:space="preserve"> </w:t>
      </w:r>
      <w:r>
        <w:t xml:space="preserve">generalize or redistribute the range set to other customers without explicit rights.</w:t>
      </w:r>
    </w:p>
    <w:p>
      <w:pPr>
        <w:pStyle w:val="BodyText"/>
      </w:pPr>
      <w:r>
        <w:rPr>
          <w:b/>
          <w:bCs/>
        </w:rPr>
        <w:t xml:space="preserve">Expected decision:</w:t>
      </w:r>
      <w:r>
        <w:t xml:space="preserve"> </w:t>
      </w:r>
      <w:r>
        <w:rPr>
          <w:rStyle w:val="VerbatimChar"/>
        </w:rPr>
        <w:t xml:space="preserve">LOCAL_VALIDATION_ONLY</w:t>
      </w:r>
      <w:r>
        <w:t xml:space="preserve"> </w:t>
      </w:r>
      <w:r>
        <w:t xml:space="preserve">or permission-scoped clearance.</w:t>
      </w:r>
    </w:p>
    <w:bookmarkEnd w:id="102"/>
    <w:bookmarkStart w:id="103" w:name="example-j--research-agent-bulk-retrieval"/>
    <w:p>
      <w:pPr>
        <w:pStyle w:val="Heading3"/>
        <w:keepNext/>
        <w:keepLines/>
      </w:pPr>
      <w:r>
        <w:t xml:space="preserve">Example J — Research agent bulk retrieval</w:t>
      </w:r>
    </w:p>
    <w:p>
      <w:pPr>
        <w:pStyle w:val="FirstParagraph"/>
      </w:pPr>
      <w:r>
        <w:t xml:space="preserve">An agent can technically download thousands of articles from a subscription website.</w:t>
      </w:r>
    </w:p>
    <w:p>
      <w:pPr>
        <w:pStyle w:val="BodyText"/>
      </w:pPr>
      <w:r>
        <w:rPr>
          <w:b/>
          <w:bCs/>
        </w:rPr>
        <w:t xml:space="preserve">Expected decision:</w:t>
      </w:r>
      <w:r>
        <w:t xml:space="preserve"> </w:t>
      </w:r>
      <w:r>
        <w:t xml:space="preserve">prohibited unless the provider expressly authorizes automated retrieval, storage, and intended reuse. Technical capability is not permission.</w:t>
      </w:r>
    </w:p>
    <w:p>
      <w:r>
        <w:pict>
          <v:rect style="width:0;height:1.5pt" o:hralign="center" o:hrstd="t" o:hr="t"/>
        </w:pict>
      </w:r>
    </w:p>
    <w:bookmarkEnd w:id="103"/>
    <w:bookmarkEnd w:id="104"/>
    <w:bookmarkStart w:id="108" w:name="X9ff47fd89a6d89376a7952d3646b55572512f4d"/>
    <w:p>
      <w:pPr>
        <w:pStyle w:val="Heading2"/>
        <w:keepNext/>
        <w:keepLines/>
      </w:pPr>
      <w:r>
        <w:t xml:space="preserve">18. Rights-aware evidence authoring</w:t>
      </w:r>
    </w:p>
    <w:bookmarkStart w:id="105" w:name="X255d14d65a993cfef7c01d063486dbd0305915f"/>
    <w:p>
      <w:pPr>
        <w:pStyle w:val="Heading3"/>
        <w:keepNext/>
        <w:keepLines/>
      </w:pPr>
      <w:r>
        <w:t xml:space="preserve">18.1 Shippable evidence atom</w:t>
      </w:r>
    </w:p>
    <w:p>
      <w:pPr>
        <w:pStyle w:val="FirstParagraph"/>
      </w:pPr>
      <w:r>
        <w:t xml:space="preserve">A shippable atom should contain:</w:t>
      </w:r>
    </w:p>
    <w:p>
      <w:pPr>
        <w:pStyle w:val="Compact"/>
        <w:numPr>
          <w:ilvl w:val="0"/>
          <w:numId w:val="1057"/>
        </w:numPr>
      </w:pPr>
      <w:r>
        <w:t xml:space="preserve">original factual paraphrase;</w:t>
      </w:r>
    </w:p>
    <w:p>
      <w:pPr>
        <w:pStyle w:val="Compact"/>
        <w:numPr>
          <w:ilvl w:val="0"/>
          <w:numId w:val="1057"/>
        </w:numPr>
      </w:pPr>
      <w:r>
        <w:t xml:space="preserve">source citation and locator;</w:t>
      </w:r>
    </w:p>
    <w:p>
      <w:pPr>
        <w:pStyle w:val="Compact"/>
        <w:numPr>
          <w:ilvl w:val="0"/>
          <w:numId w:val="1057"/>
        </w:numPr>
      </w:pPr>
      <w:r>
        <w:t xml:space="preserve">population, method, and limitations;</w:t>
      </w:r>
    </w:p>
    <w:p>
      <w:pPr>
        <w:pStyle w:val="Compact"/>
        <w:numPr>
          <w:ilvl w:val="0"/>
          <w:numId w:val="1057"/>
        </w:numPr>
      </w:pPr>
      <w:r>
        <w:t xml:space="preserve">no long source text;</w:t>
      </w:r>
    </w:p>
    <w:p>
      <w:pPr>
        <w:pStyle w:val="Compact"/>
        <w:numPr>
          <w:ilvl w:val="0"/>
          <w:numId w:val="1057"/>
        </w:numPr>
      </w:pPr>
      <w:r>
        <w:t xml:space="preserve">rights clearance status;</w:t>
      </w:r>
    </w:p>
    <w:p>
      <w:pPr>
        <w:pStyle w:val="Compact"/>
        <w:numPr>
          <w:ilvl w:val="0"/>
          <w:numId w:val="1057"/>
        </w:numPr>
      </w:pPr>
      <w:r>
        <w:t xml:space="preserve">source-component classification;</w:t>
      </w:r>
    </w:p>
    <w:p>
      <w:pPr>
        <w:pStyle w:val="Compact"/>
        <w:numPr>
          <w:ilvl w:val="0"/>
          <w:numId w:val="1057"/>
        </w:numPr>
      </w:pPr>
      <w:r>
        <w:t xml:space="preserve">product uses approved;</w:t>
      </w:r>
    </w:p>
    <w:p>
      <w:pPr>
        <w:pStyle w:val="Compact"/>
        <w:numPr>
          <w:ilvl w:val="0"/>
          <w:numId w:val="1057"/>
        </w:numPr>
      </w:pPr>
      <w:r>
        <w:t xml:space="preserve">attribution requirements;</w:t>
      </w:r>
    </w:p>
    <w:p>
      <w:pPr>
        <w:pStyle w:val="Compact"/>
        <w:numPr>
          <w:ilvl w:val="0"/>
          <w:numId w:val="1057"/>
        </w:numPr>
      </w:pPr>
      <w:r>
        <w:t xml:space="preserve">no protected visual content.</w:t>
      </w:r>
    </w:p>
    <w:bookmarkEnd w:id="105"/>
    <w:bookmarkStart w:id="106" w:name="Xd43ae8c87762b56fb0c20edc156d7da5d8bc385"/>
    <w:p>
      <w:pPr>
        <w:pStyle w:val="Heading3"/>
        <w:keepNext/>
        <w:keepLines/>
      </w:pPr>
      <w:r>
        <w:t xml:space="preserve">18.2 Shippable rule explanation</w:t>
      </w:r>
    </w:p>
    <w:p>
      <w:pPr>
        <w:pStyle w:val="FirstParagraph"/>
      </w:pPr>
      <w:r>
        <w:t xml:space="preserve">A product explanation should:</w:t>
      </w:r>
    </w:p>
    <w:p>
      <w:pPr>
        <w:pStyle w:val="Compact"/>
        <w:numPr>
          <w:ilvl w:val="0"/>
          <w:numId w:val="1058"/>
        </w:numPr>
      </w:pPr>
      <w:r>
        <w:t xml:space="preserve">state what the tool observed;</w:t>
      </w:r>
    </w:p>
    <w:p>
      <w:pPr>
        <w:pStyle w:val="Compact"/>
        <w:numPr>
          <w:ilvl w:val="0"/>
          <w:numId w:val="1058"/>
        </w:numPr>
      </w:pPr>
      <w:r>
        <w:t xml:space="preserve">state what rule fired;</w:t>
      </w:r>
    </w:p>
    <w:p>
      <w:pPr>
        <w:pStyle w:val="Compact"/>
        <w:numPr>
          <w:ilvl w:val="0"/>
          <w:numId w:val="1058"/>
        </w:numPr>
      </w:pPr>
      <w:r>
        <w:t xml:space="preserve">state the clinical reason in original language;</w:t>
      </w:r>
    </w:p>
    <w:p>
      <w:pPr>
        <w:pStyle w:val="Compact"/>
        <w:numPr>
          <w:ilvl w:val="0"/>
          <w:numId w:val="1058"/>
        </w:numPr>
      </w:pPr>
      <w:r>
        <w:t xml:space="preserve">cite the supporting source;</w:t>
      </w:r>
    </w:p>
    <w:p>
      <w:pPr>
        <w:pStyle w:val="Compact"/>
        <w:numPr>
          <w:ilvl w:val="0"/>
          <w:numId w:val="1058"/>
        </w:numPr>
      </w:pPr>
      <w:r>
        <w:t xml:space="preserve">state scope and limitations;</w:t>
      </w:r>
    </w:p>
    <w:p>
      <w:pPr>
        <w:pStyle w:val="Compact"/>
        <w:numPr>
          <w:ilvl w:val="0"/>
          <w:numId w:val="1058"/>
        </w:numPr>
      </w:pPr>
      <w:r>
        <w:t xml:space="preserve">avoid copying guideline recommendation text;</w:t>
      </w:r>
    </w:p>
    <w:p>
      <w:pPr>
        <w:pStyle w:val="Compact"/>
        <w:numPr>
          <w:ilvl w:val="0"/>
          <w:numId w:val="1058"/>
        </w:numPr>
      </w:pPr>
      <w:r>
        <w:t xml:space="preserve">avoid implying source endorsement;</w:t>
      </w:r>
    </w:p>
    <w:p>
      <w:pPr>
        <w:pStyle w:val="Compact"/>
        <w:numPr>
          <w:ilvl w:val="0"/>
          <w:numId w:val="1058"/>
        </w:numPr>
      </w:pPr>
      <w:r>
        <w:t xml:space="preserve">expose enough basis for clinician review without redistributing the source product.</w:t>
      </w:r>
    </w:p>
    <w:bookmarkEnd w:id="106"/>
    <w:bookmarkStart w:id="107" w:name="Xf82f2b10c247f32288fa48089322baa76f222d0"/>
    <w:p>
      <w:pPr>
        <w:pStyle w:val="Heading3"/>
        <w:keepNext/>
        <w:keepLines/>
      </w:pPr>
      <w:r>
        <w:t xml:space="preserve">18.3 Internal source excerpts</w:t>
      </w:r>
    </w:p>
    <w:p>
      <w:pPr>
        <w:pStyle w:val="FirstParagraph"/>
      </w:pPr>
      <w:r>
        <w:t xml:space="preserve">Internal excerpts should:</w:t>
      </w:r>
    </w:p>
    <w:p>
      <w:pPr>
        <w:pStyle w:val="Compact"/>
        <w:numPr>
          <w:ilvl w:val="0"/>
          <w:numId w:val="1059"/>
        </w:numPr>
      </w:pPr>
      <w:r>
        <w:t xml:space="preserve">be minimal and purpose-limited;</w:t>
      </w:r>
    </w:p>
    <w:p>
      <w:pPr>
        <w:pStyle w:val="Compact"/>
        <w:numPr>
          <w:ilvl w:val="0"/>
          <w:numId w:val="1059"/>
        </w:numPr>
      </w:pPr>
      <w:r>
        <w:t xml:space="preserve">include exact locator and access context;</w:t>
      </w:r>
    </w:p>
    <w:p>
      <w:pPr>
        <w:pStyle w:val="Compact"/>
        <w:numPr>
          <w:ilvl w:val="0"/>
          <w:numId w:val="1059"/>
        </w:numPr>
      </w:pPr>
      <w:r>
        <w:t xml:space="preserve">remain in controlled zones;</w:t>
      </w:r>
    </w:p>
    <w:p>
      <w:pPr>
        <w:pStyle w:val="Compact"/>
        <w:numPr>
          <w:ilvl w:val="0"/>
          <w:numId w:val="1059"/>
        </w:numPr>
      </w:pPr>
      <w:r>
        <w:t xml:space="preserve">not be automatically propagated into user-facing content;</w:t>
      </w:r>
    </w:p>
    <w:p>
      <w:pPr>
        <w:pStyle w:val="Compact"/>
        <w:numPr>
          <w:ilvl w:val="0"/>
          <w:numId w:val="1059"/>
        </w:numPr>
      </w:pPr>
      <w:r>
        <w:t xml:space="preserve">follow license and contract limits;</w:t>
      </w:r>
    </w:p>
    <w:p>
      <w:pPr>
        <w:pStyle w:val="Compact"/>
        <w:numPr>
          <w:ilvl w:val="0"/>
          <w:numId w:val="1059"/>
        </w:numPr>
      </w:pPr>
      <w:r>
        <w:t xml:space="preserve">be deleted or restricted when access terminates if required.</w:t>
      </w:r>
    </w:p>
    <w:p>
      <w:r>
        <w:pict>
          <v:rect style="width:0;height:1.5pt" o:hralign="center" o:hrstd="t" o:hr="t"/>
        </w:pict>
      </w:r>
    </w:p>
    <w:bookmarkEnd w:id="107"/>
    <w:bookmarkEnd w:id="108"/>
    <w:bookmarkStart w:id="109" w:name="X0135b65e21206844a7522410c8b0eb97cf188fa"/>
    <w:p>
      <w:pPr>
        <w:pStyle w:val="Heading2"/>
        <w:keepNext/>
        <w:keepLines/>
      </w:pPr>
      <w:r>
        <w:t xml:space="preserve">19. Rights failures and research failures</w:t>
      </w:r>
    </w:p>
    <w:p>
      <w:pPr>
        <w:pStyle w:val="FirstParagraph"/>
      </w:pPr>
      <w:r>
        <w:t xml:space="preserve">Rights limitations must create structured failure records. Recommended failure codes:</w:t>
      </w:r>
    </w:p>
    <w:p>
      <w:pPr>
        <w:pStyle w:val="Compact"/>
        <w:numPr>
          <w:ilvl w:val="0"/>
          <w:numId w:val="1060"/>
        </w:numPr>
      </w:pPr>
      <w:r>
        <w:rPr>
          <w:rStyle w:val="VerbatimChar"/>
        </w:rPr>
        <w:t xml:space="preserve">LICENSE_UNKNOWN</w:t>
      </w:r>
    </w:p>
    <w:p>
      <w:pPr>
        <w:pStyle w:val="Compact"/>
        <w:numPr>
          <w:ilvl w:val="0"/>
          <w:numId w:val="1060"/>
        </w:numPr>
      </w:pPr>
      <w:r>
        <w:rPr>
          <w:rStyle w:val="VerbatimChar"/>
        </w:rPr>
        <w:t xml:space="preserve">ARTICLE_LEVEL_LICENSE_UNVERIFIED</w:t>
      </w:r>
    </w:p>
    <w:p>
      <w:pPr>
        <w:pStyle w:val="Compact"/>
        <w:numPr>
          <w:ilvl w:val="0"/>
          <w:numId w:val="1060"/>
        </w:numPr>
      </w:pPr>
      <w:r>
        <w:rPr>
          <w:rStyle w:val="VerbatimChar"/>
        </w:rPr>
        <w:t xml:space="preserve">CONTRACT_PROHIBITS_INCORPORATION</w:t>
      </w:r>
    </w:p>
    <w:p>
      <w:pPr>
        <w:pStyle w:val="Compact"/>
        <w:numPr>
          <w:ilvl w:val="0"/>
          <w:numId w:val="1060"/>
        </w:numPr>
      </w:pPr>
      <w:r>
        <w:rPr>
          <w:rStyle w:val="VerbatimChar"/>
        </w:rPr>
        <w:t xml:space="preserve">COMMERCIAL_USE_NOT_GRANTED</w:t>
      </w:r>
    </w:p>
    <w:p>
      <w:pPr>
        <w:pStyle w:val="Compact"/>
        <w:numPr>
          <w:ilvl w:val="0"/>
          <w:numId w:val="1060"/>
        </w:numPr>
      </w:pPr>
      <w:r>
        <w:rPr>
          <w:rStyle w:val="VerbatimChar"/>
        </w:rPr>
        <w:t xml:space="preserve">NO_DERIVATIVES_RESTRICTION</w:t>
      </w:r>
    </w:p>
    <w:p>
      <w:pPr>
        <w:pStyle w:val="Compact"/>
        <w:numPr>
          <w:ilvl w:val="0"/>
          <w:numId w:val="1060"/>
        </w:numPr>
      </w:pPr>
      <w:r>
        <w:rPr>
          <w:rStyle w:val="VerbatimChar"/>
        </w:rPr>
        <w:t xml:space="preserve">PERMISSION_REQUIRED_NOT_OBTAINED</w:t>
      </w:r>
    </w:p>
    <w:p>
      <w:pPr>
        <w:pStyle w:val="Compact"/>
        <w:numPr>
          <w:ilvl w:val="0"/>
          <w:numId w:val="1060"/>
        </w:numPr>
      </w:pPr>
      <w:r>
        <w:rPr>
          <w:rStyle w:val="VerbatimChar"/>
        </w:rPr>
        <w:t xml:space="preserve">PERMISSION_EXPIRED</w:t>
      </w:r>
    </w:p>
    <w:p>
      <w:pPr>
        <w:pStyle w:val="Compact"/>
        <w:numPr>
          <w:ilvl w:val="0"/>
          <w:numId w:val="1060"/>
        </w:numPr>
      </w:pPr>
      <w:r>
        <w:rPr>
          <w:rStyle w:val="VerbatimChar"/>
        </w:rPr>
        <w:t xml:space="preserve">THIRD_PARTY_COMPONENT_RIGHTS_UNKNOWN</w:t>
      </w:r>
    </w:p>
    <w:p>
      <w:pPr>
        <w:pStyle w:val="Compact"/>
        <w:numPr>
          <w:ilvl w:val="0"/>
          <w:numId w:val="1060"/>
        </w:numPr>
      </w:pPr>
      <w:r>
        <w:rPr>
          <w:rStyle w:val="VerbatimChar"/>
        </w:rPr>
        <w:t xml:space="preserve">SUBSTANTIAL_COMPILATION_RISK</w:t>
      </w:r>
    </w:p>
    <w:p>
      <w:pPr>
        <w:pStyle w:val="Compact"/>
        <w:numPr>
          <w:ilvl w:val="0"/>
          <w:numId w:val="1060"/>
        </w:numPr>
      </w:pPr>
      <w:r>
        <w:rPr>
          <w:rStyle w:val="VerbatimChar"/>
        </w:rPr>
        <w:t xml:space="preserve">DATABASE_RIGHT_RISK</w:t>
      </w:r>
    </w:p>
    <w:p>
      <w:pPr>
        <w:pStyle w:val="Compact"/>
        <w:numPr>
          <w:ilvl w:val="0"/>
          <w:numId w:val="1060"/>
        </w:numPr>
      </w:pPr>
      <w:r>
        <w:rPr>
          <w:rStyle w:val="VerbatimChar"/>
        </w:rPr>
        <w:t xml:space="preserve">PATENT_REVIEW_REQUIRED</w:t>
      </w:r>
    </w:p>
    <w:p>
      <w:pPr>
        <w:pStyle w:val="Compact"/>
        <w:numPr>
          <w:ilvl w:val="0"/>
          <w:numId w:val="1060"/>
        </w:numPr>
      </w:pPr>
      <w:r>
        <w:rPr>
          <w:rStyle w:val="VerbatimChar"/>
        </w:rPr>
        <w:t xml:space="preserve">TRADEMARK_OR_ENDORSEMENT_RISK</w:t>
      </w:r>
    </w:p>
    <w:p>
      <w:pPr>
        <w:pStyle w:val="Compact"/>
        <w:numPr>
          <w:ilvl w:val="0"/>
          <w:numId w:val="1060"/>
        </w:numPr>
      </w:pPr>
      <w:r>
        <w:rPr>
          <w:rStyle w:val="VerbatimChar"/>
        </w:rPr>
        <w:t xml:space="preserve">QUESTIONNAIRE_LICENSE_REQUIRED</w:t>
      </w:r>
    </w:p>
    <w:p>
      <w:pPr>
        <w:pStyle w:val="Compact"/>
        <w:numPr>
          <w:ilvl w:val="0"/>
          <w:numId w:val="1060"/>
        </w:numPr>
      </w:pPr>
      <w:r>
        <w:rPr>
          <w:rStyle w:val="VerbatimChar"/>
        </w:rPr>
        <w:t xml:space="preserve">CONFIDENTIAL_OR_DUA_RESTRICTED</w:t>
      </w:r>
    </w:p>
    <w:p>
      <w:pPr>
        <w:pStyle w:val="Compact"/>
        <w:numPr>
          <w:ilvl w:val="0"/>
          <w:numId w:val="1060"/>
        </w:numPr>
      </w:pPr>
      <w:r>
        <w:rPr>
          <w:rStyle w:val="VerbatimChar"/>
        </w:rPr>
        <w:t xml:space="preserve">AUTOMATED_RETRIEVAL_NOT_AUTHORIZED</w:t>
      </w:r>
    </w:p>
    <w:p>
      <w:pPr>
        <w:pStyle w:val="Compact"/>
        <w:numPr>
          <w:ilvl w:val="0"/>
          <w:numId w:val="1060"/>
        </w:numPr>
      </w:pPr>
      <w:r>
        <w:rPr>
          <w:rStyle w:val="VerbatimChar"/>
        </w:rPr>
        <w:t xml:space="preserve">MODEL_TRAINING_RIGHTS_UNCLEAR</w:t>
      </w:r>
    </w:p>
    <w:p>
      <w:pPr>
        <w:pStyle w:val="Compact"/>
        <w:numPr>
          <w:ilvl w:val="0"/>
          <w:numId w:val="1060"/>
        </w:numPr>
      </w:pPr>
      <w:r>
        <w:rPr>
          <w:rStyle w:val="VerbatimChar"/>
        </w:rPr>
        <w:t xml:space="preserve">FAIR_USE_COUNSEL_REVIEW_REQUIRED</w:t>
      </w:r>
    </w:p>
    <w:p>
      <w:pPr>
        <w:pStyle w:val="Compact"/>
        <w:numPr>
          <w:ilvl w:val="0"/>
          <w:numId w:val="1060"/>
        </w:numPr>
      </w:pPr>
      <w:r>
        <w:rPr>
          <w:rStyle w:val="VerbatimChar"/>
        </w:rPr>
        <w:t xml:space="preserve">NO_SHIPPABLE_SOURCE_PATH</w:t>
      </w:r>
    </w:p>
    <w:p>
      <w:pPr>
        <w:pStyle w:val="FirstParagraph"/>
      </w:pPr>
      <w:r>
        <w:t xml:space="preserve">A rights failure should record:</w:t>
      </w:r>
    </w:p>
    <w:p>
      <w:pPr>
        <w:pStyle w:val="Compact"/>
        <w:numPr>
          <w:ilvl w:val="0"/>
          <w:numId w:val="1061"/>
        </w:numPr>
      </w:pPr>
      <w:r>
        <w:t xml:space="preserve">affected source and component;</w:t>
      </w:r>
    </w:p>
    <w:p>
      <w:pPr>
        <w:pStyle w:val="Compact"/>
        <w:numPr>
          <w:ilvl w:val="0"/>
          <w:numId w:val="1061"/>
        </w:numPr>
      </w:pPr>
      <w:r>
        <w:t xml:space="preserve">intended use;</w:t>
      </w:r>
    </w:p>
    <w:p>
      <w:pPr>
        <w:pStyle w:val="Compact"/>
        <w:numPr>
          <w:ilvl w:val="0"/>
          <w:numId w:val="1061"/>
        </w:numPr>
      </w:pPr>
      <w:r>
        <w:t xml:space="preserve">source terms and locator;</w:t>
      </w:r>
    </w:p>
    <w:p>
      <w:pPr>
        <w:pStyle w:val="Compact"/>
        <w:numPr>
          <w:ilvl w:val="0"/>
          <w:numId w:val="1061"/>
        </w:numPr>
      </w:pPr>
      <w:r>
        <w:t xml:space="preserve">safe residual use;</w:t>
      </w:r>
    </w:p>
    <w:p>
      <w:pPr>
        <w:pStyle w:val="Compact"/>
        <w:numPr>
          <w:ilvl w:val="0"/>
          <w:numId w:val="1061"/>
        </w:numPr>
      </w:pPr>
      <w:r>
        <w:t xml:space="preserve">product impact;</w:t>
      </w:r>
    </w:p>
    <w:p>
      <w:pPr>
        <w:pStyle w:val="Compact"/>
        <w:numPr>
          <w:ilvl w:val="0"/>
          <w:numId w:val="1061"/>
        </w:numPr>
      </w:pPr>
      <w:r>
        <w:t xml:space="preserve">alternative sources;</w:t>
      </w:r>
    </w:p>
    <w:p>
      <w:pPr>
        <w:pStyle w:val="Compact"/>
        <w:numPr>
          <w:ilvl w:val="0"/>
          <w:numId w:val="1061"/>
        </w:numPr>
      </w:pPr>
      <w:r>
        <w:t xml:space="preserve">permission strategy;</w:t>
      </w:r>
    </w:p>
    <w:p>
      <w:pPr>
        <w:pStyle w:val="Compact"/>
        <w:numPr>
          <w:ilvl w:val="0"/>
          <w:numId w:val="1061"/>
        </w:numPr>
      </w:pPr>
      <w:r>
        <w:t xml:space="preserve">owner;</w:t>
      </w:r>
    </w:p>
    <w:p>
      <w:pPr>
        <w:pStyle w:val="Compact"/>
        <w:numPr>
          <w:ilvl w:val="0"/>
          <w:numId w:val="1061"/>
        </w:numPr>
      </w:pPr>
      <w:r>
        <w:t xml:space="preserve">retry trigger;</w:t>
      </w:r>
    </w:p>
    <w:p>
      <w:pPr>
        <w:pStyle w:val="Compact"/>
        <w:numPr>
          <w:ilvl w:val="0"/>
          <w:numId w:val="1061"/>
        </w:numPr>
      </w:pPr>
      <w:r>
        <w:t xml:space="preserve">release block status.</w:t>
      </w:r>
    </w:p>
    <w:p>
      <w:r>
        <w:pict>
          <v:rect style="width:0;height:1.5pt" o:hralign="center" o:hrstd="t" o:hr="t"/>
        </w:pict>
      </w:r>
    </w:p>
    <w:bookmarkEnd w:id="109"/>
    <w:bookmarkStart w:id="114" w:name="Xe399ad0c1393a9dc69b6d93dab0961972130dbc"/>
    <w:p>
      <w:pPr>
        <w:pStyle w:val="Heading2"/>
        <w:keepNext/>
        <w:keepLines/>
      </w:pPr>
      <w:r>
        <w:t xml:space="preserve">20. Release governance</w:t>
      </w:r>
    </w:p>
    <w:bookmarkStart w:id="110" w:name="Xbe78344a3cb437d839b046ced30d31a2124f232"/>
    <w:p>
      <w:pPr>
        <w:pStyle w:val="Heading3"/>
        <w:keepNext/>
        <w:keepLines/>
      </w:pPr>
      <w:r>
        <w:t xml:space="preserve">20.1 Required release manifest</w:t>
      </w:r>
    </w:p>
    <w:p>
      <w:pPr>
        <w:pStyle w:val="FirstParagraph"/>
      </w:pPr>
      <w:r>
        <w:t xml:space="preserve">Every commercial knowledge release must include a rights-clearance manifest listing:</w:t>
      </w:r>
    </w:p>
    <w:p>
      <w:pPr>
        <w:pStyle w:val="Compact"/>
        <w:numPr>
          <w:ilvl w:val="0"/>
          <w:numId w:val="1062"/>
        </w:numPr>
      </w:pPr>
      <w:r>
        <w:t xml:space="preserve">release ID and product version;</w:t>
      </w:r>
    </w:p>
    <w:p>
      <w:pPr>
        <w:pStyle w:val="Compact"/>
        <w:numPr>
          <w:ilvl w:val="0"/>
          <w:numId w:val="1062"/>
        </w:numPr>
      </w:pPr>
      <w:r>
        <w:t xml:space="preserve">all source IDs;</w:t>
      </w:r>
    </w:p>
    <w:p>
      <w:pPr>
        <w:pStyle w:val="Compact"/>
        <w:numPr>
          <w:ilvl w:val="0"/>
          <w:numId w:val="1062"/>
        </w:numPr>
      </w:pPr>
      <w:r>
        <w:t xml:space="preserve">rights-record IDs;</w:t>
      </w:r>
    </w:p>
    <w:p>
      <w:pPr>
        <w:pStyle w:val="Compact"/>
        <w:numPr>
          <w:ilvl w:val="0"/>
          <w:numId w:val="1062"/>
        </w:numPr>
      </w:pPr>
      <w:r>
        <w:t xml:space="preserve">reuse-assessment IDs;</w:t>
      </w:r>
    </w:p>
    <w:p>
      <w:pPr>
        <w:pStyle w:val="Compact"/>
        <w:numPr>
          <w:ilvl w:val="0"/>
          <w:numId w:val="1062"/>
        </w:numPr>
      </w:pPr>
      <w:r>
        <w:t xml:space="preserve">permission-record IDs;</w:t>
      </w:r>
    </w:p>
    <w:p>
      <w:pPr>
        <w:pStyle w:val="Compact"/>
        <w:numPr>
          <w:ilvl w:val="0"/>
          <w:numId w:val="1062"/>
        </w:numPr>
      </w:pPr>
      <w:r>
        <w:t xml:space="preserve">license notices;</w:t>
      </w:r>
    </w:p>
    <w:p>
      <w:pPr>
        <w:pStyle w:val="Compact"/>
        <w:numPr>
          <w:ilvl w:val="0"/>
          <w:numId w:val="1062"/>
        </w:numPr>
      </w:pPr>
      <w:r>
        <w:t xml:space="preserve">attribution output;</w:t>
      </w:r>
    </w:p>
    <w:p>
      <w:pPr>
        <w:pStyle w:val="Compact"/>
        <w:numPr>
          <w:ilvl w:val="0"/>
          <w:numId w:val="1062"/>
        </w:numPr>
      </w:pPr>
      <w:r>
        <w:t xml:space="preserve">open and resolved rights failures;</w:t>
      </w:r>
    </w:p>
    <w:p>
      <w:pPr>
        <w:pStyle w:val="Compact"/>
        <w:numPr>
          <w:ilvl w:val="0"/>
          <w:numId w:val="1062"/>
        </w:numPr>
      </w:pPr>
      <w:r>
        <w:t xml:space="preserve">counsel decisions;</w:t>
      </w:r>
    </w:p>
    <w:p>
      <w:pPr>
        <w:pStyle w:val="Compact"/>
        <w:numPr>
          <w:ilvl w:val="0"/>
          <w:numId w:val="1062"/>
        </w:numPr>
      </w:pPr>
      <w:r>
        <w:t xml:space="preserve">expiration dates;</w:t>
      </w:r>
    </w:p>
    <w:p>
      <w:pPr>
        <w:pStyle w:val="Compact"/>
        <w:numPr>
          <w:ilvl w:val="0"/>
          <w:numId w:val="1062"/>
        </w:numPr>
      </w:pPr>
      <w:r>
        <w:t xml:space="preserve">source and terms snapshots;</w:t>
      </w:r>
    </w:p>
    <w:p>
      <w:pPr>
        <w:pStyle w:val="Compact"/>
        <w:numPr>
          <w:ilvl w:val="0"/>
          <w:numId w:val="1062"/>
        </w:numPr>
      </w:pPr>
      <w:r>
        <w:t xml:space="preserve">automated validation results.</w:t>
      </w:r>
    </w:p>
    <w:bookmarkEnd w:id="110"/>
    <w:bookmarkStart w:id="111" w:name="Xa7acf22a3b7d2382531c5cdd5f4926add018f56"/>
    <w:p>
      <w:pPr>
        <w:pStyle w:val="Heading3"/>
        <w:keepNext/>
        <w:keepLines/>
      </w:pPr>
      <w:r>
        <w:t xml:space="preserve">20.2 Automated release gates</w:t>
      </w:r>
    </w:p>
    <w:p>
      <w:pPr>
        <w:pStyle w:val="FirstParagraph"/>
      </w:pPr>
      <w:r>
        <w:t xml:space="preserve">The build must fail when:</w:t>
      </w:r>
    </w:p>
    <w:p>
      <w:pPr>
        <w:pStyle w:val="Compact"/>
        <w:numPr>
          <w:ilvl w:val="0"/>
          <w:numId w:val="1063"/>
        </w:numPr>
      </w:pPr>
      <w:r>
        <w:t xml:space="preserve">a shipped atom or rule lacks a rights assessment;</w:t>
      </w:r>
    </w:p>
    <w:p>
      <w:pPr>
        <w:pStyle w:val="Compact"/>
        <w:numPr>
          <w:ilvl w:val="0"/>
          <w:numId w:val="1063"/>
        </w:numPr>
      </w:pPr>
      <w:r>
        <w:t xml:space="preserve">clearance is</w:t>
      </w:r>
      <w:r>
        <w:t xml:space="preserve"> </w:t>
      </w:r>
      <w:r>
        <w:rPr>
          <w:rStyle w:val="VerbatimChar"/>
        </w:rPr>
        <w:t xml:space="preserve">UNKNOWN</w:t>
      </w:r>
      <w:r>
        <w:t xml:space="preserve">,</w:t>
      </w:r>
      <w:r>
        <w:t xml:space="preserve"> </w:t>
      </w:r>
      <w:r>
        <w:rPr>
          <w:rStyle w:val="VerbatimChar"/>
        </w:rPr>
        <w:t xml:space="preserve">INTERNAL_ONLY</w:t>
      </w:r>
      <w:r>
        <w:t xml:space="preserve">,</w:t>
      </w:r>
      <w:r>
        <w:t xml:space="preserve"> </w:t>
      </w:r>
      <w:r>
        <w:rPr>
          <w:rStyle w:val="VerbatimChar"/>
        </w:rPr>
        <w:t xml:space="preserve">CONTRACT_RESTRICTED</w:t>
      </w:r>
      <w:r>
        <w:t xml:space="preserve">,</w:t>
      </w:r>
      <w:r>
        <w:t xml:space="preserve"> </w:t>
      </w:r>
      <w:r>
        <w:rPr>
          <w:rStyle w:val="VerbatimChar"/>
        </w:rPr>
        <w:t xml:space="preserve">PERMISSION_REQUIRED</w:t>
      </w:r>
      <w:r>
        <w:t xml:space="preserve">, or</w:t>
      </w:r>
      <w:r>
        <w:t xml:space="preserve"> </w:t>
      </w:r>
      <w:r>
        <w:rPr>
          <w:rStyle w:val="VerbatimChar"/>
        </w:rPr>
        <w:t xml:space="preserve">PROHIBITED</w:t>
      </w:r>
      <w:r>
        <w:t xml:space="preserve">;</w:t>
      </w:r>
    </w:p>
    <w:p>
      <w:pPr>
        <w:pStyle w:val="Compact"/>
        <w:numPr>
          <w:ilvl w:val="0"/>
          <w:numId w:val="1063"/>
        </w:numPr>
      </w:pPr>
      <w:r>
        <w:t xml:space="preserve">a required permission has expired;</w:t>
      </w:r>
    </w:p>
    <w:p>
      <w:pPr>
        <w:pStyle w:val="Compact"/>
        <w:numPr>
          <w:ilvl w:val="0"/>
          <w:numId w:val="1063"/>
        </w:numPr>
      </w:pPr>
      <w:r>
        <w:t xml:space="preserve">an open critical rights failure exists;</w:t>
      </w:r>
    </w:p>
    <w:p>
      <w:pPr>
        <w:pStyle w:val="Compact"/>
        <w:numPr>
          <w:ilvl w:val="0"/>
          <w:numId w:val="1063"/>
        </w:numPr>
      </w:pPr>
      <w:r>
        <w:t xml:space="preserve">a required notice or attribution is missing;</w:t>
      </w:r>
    </w:p>
    <w:p>
      <w:pPr>
        <w:pStyle w:val="Compact"/>
        <w:numPr>
          <w:ilvl w:val="0"/>
          <w:numId w:val="1063"/>
        </w:numPr>
      </w:pPr>
      <w:r>
        <w:t xml:space="preserve">an output contains a prohibited source excerpt, image, table, or brand asset;</w:t>
      </w:r>
    </w:p>
    <w:p>
      <w:pPr>
        <w:pStyle w:val="Compact"/>
        <w:numPr>
          <w:ilvl w:val="0"/>
          <w:numId w:val="1063"/>
        </w:numPr>
      </w:pPr>
      <w:r>
        <w:t xml:space="preserve">the product use exceeds the recorded license scope;</w:t>
      </w:r>
    </w:p>
    <w:p>
      <w:pPr>
        <w:pStyle w:val="Compact"/>
        <w:numPr>
          <w:ilvl w:val="0"/>
          <w:numId w:val="1063"/>
        </w:numPr>
      </w:pPr>
      <w:r>
        <w:t xml:space="preserve">the product territory or channel is not covered.</w:t>
      </w:r>
    </w:p>
    <w:bookmarkEnd w:id="111"/>
    <w:bookmarkStart w:id="112" w:name="X5c9905503ca5dd02dd12eeaf964a2a9d94aeee8"/>
    <w:p>
      <w:pPr>
        <w:pStyle w:val="Heading3"/>
        <w:keepNext/>
        <w:keepLines/>
      </w:pPr>
      <w:r>
        <w:t xml:space="preserve">20.3 Human signoff</w:t>
      </w:r>
    </w:p>
    <w:p>
      <w:pPr>
        <w:pStyle w:val="FirstParagraph"/>
      </w:pPr>
      <w:r>
        <w:t xml:space="preserve">At minimum:</w:t>
      </w:r>
    </w:p>
    <w:p>
      <w:pPr>
        <w:pStyle w:val="Compact"/>
        <w:numPr>
          <w:ilvl w:val="0"/>
          <w:numId w:val="1064"/>
        </w:numPr>
      </w:pPr>
      <w:r>
        <w:t xml:space="preserve">evidence owner approves scientific provenance;</w:t>
      </w:r>
    </w:p>
    <w:p>
      <w:pPr>
        <w:pStyle w:val="Compact"/>
        <w:numPr>
          <w:ilvl w:val="0"/>
          <w:numId w:val="1064"/>
        </w:numPr>
      </w:pPr>
      <w:r>
        <w:t xml:space="preserve">clinical owner approves interpretation and safety;</w:t>
      </w:r>
    </w:p>
    <w:p>
      <w:pPr>
        <w:pStyle w:val="Compact"/>
        <w:numPr>
          <w:ilvl w:val="0"/>
          <w:numId w:val="1064"/>
        </w:numPr>
      </w:pPr>
      <w:r>
        <w:t xml:space="preserve">rights owner approves the reuse assessment;</w:t>
      </w:r>
    </w:p>
    <w:p>
      <w:pPr>
        <w:pStyle w:val="Compact"/>
        <w:numPr>
          <w:ilvl w:val="0"/>
          <w:numId w:val="1064"/>
        </w:numPr>
      </w:pPr>
      <w:r>
        <w:t xml:space="preserve">counsel approves escalated legal issues;</w:t>
      </w:r>
    </w:p>
    <w:p>
      <w:pPr>
        <w:pStyle w:val="Compact"/>
        <w:numPr>
          <w:ilvl w:val="0"/>
          <w:numId w:val="1064"/>
        </w:numPr>
      </w:pPr>
      <w:r>
        <w:t xml:space="preserve">release manager confirms the manifest and notices.</w:t>
      </w:r>
    </w:p>
    <w:bookmarkEnd w:id="112"/>
    <w:bookmarkStart w:id="113" w:name="X20ca7ee5fea88385556525e767995e52a555572"/>
    <w:p>
      <w:pPr>
        <w:pStyle w:val="Heading3"/>
        <w:keepNext/>
        <w:keepLines/>
      </w:pPr>
      <w:r>
        <w:t xml:space="preserve">20.4 Surveillance</w:t>
      </w:r>
    </w:p>
    <w:p>
      <w:pPr>
        <w:pStyle w:val="FirstParagraph"/>
      </w:pPr>
      <w:r>
        <w:t xml:space="preserve">Monitor:</w:t>
      </w:r>
    </w:p>
    <w:p>
      <w:pPr>
        <w:pStyle w:val="Compact"/>
        <w:numPr>
          <w:ilvl w:val="0"/>
          <w:numId w:val="1065"/>
        </w:numPr>
      </w:pPr>
      <w:r>
        <w:t xml:space="preserve">source corrections and retractions;</w:t>
      </w:r>
    </w:p>
    <w:p>
      <w:pPr>
        <w:pStyle w:val="Compact"/>
        <w:numPr>
          <w:ilvl w:val="0"/>
          <w:numId w:val="1065"/>
        </w:numPr>
      </w:pPr>
      <w:r>
        <w:t xml:space="preserve">guideline supersession;</w:t>
      </w:r>
    </w:p>
    <w:p>
      <w:pPr>
        <w:pStyle w:val="Compact"/>
        <w:numPr>
          <w:ilvl w:val="0"/>
          <w:numId w:val="1065"/>
        </w:numPr>
      </w:pPr>
      <w:r>
        <w:t xml:space="preserve">terms-of-use changes;</w:t>
      </w:r>
    </w:p>
    <w:p>
      <w:pPr>
        <w:pStyle w:val="Compact"/>
        <w:numPr>
          <w:ilvl w:val="0"/>
          <w:numId w:val="1065"/>
        </w:numPr>
      </w:pPr>
      <w:r>
        <w:t xml:space="preserve">license changes;</w:t>
      </w:r>
    </w:p>
    <w:p>
      <w:pPr>
        <w:pStyle w:val="Compact"/>
        <w:numPr>
          <w:ilvl w:val="0"/>
          <w:numId w:val="1065"/>
        </w:numPr>
      </w:pPr>
      <w:r>
        <w:t xml:space="preserve">permission renewal;</w:t>
      </w:r>
    </w:p>
    <w:p>
      <w:pPr>
        <w:pStyle w:val="Compact"/>
        <w:numPr>
          <w:ilvl w:val="0"/>
          <w:numId w:val="1065"/>
        </w:numPr>
      </w:pPr>
      <w:r>
        <w:t xml:space="preserve">partner or DUA termination;</w:t>
      </w:r>
    </w:p>
    <w:p>
      <w:pPr>
        <w:pStyle w:val="Compact"/>
        <w:numPr>
          <w:ilvl w:val="0"/>
          <w:numId w:val="1065"/>
        </w:numPr>
      </w:pPr>
      <w:r>
        <w:t xml:space="preserve">patent status where relevant;</w:t>
      </w:r>
    </w:p>
    <w:p>
      <w:pPr>
        <w:pStyle w:val="Compact"/>
        <w:numPr>
          <w:ilvl w:val="0"/>
          <w:numId w:val="1065"/>
        </w:numPr>
      </w:pPr>
      <w:r>
        <w:t xml:space="preserve">new jurisdictions;</w:t>
      </w:r>
    </w:p>
    <w:p>
      <w:pPr>
        <w:pStyle w:val="Compact"/>
        <w:numPr>
          <w:ilvl w:val="0"/>
          <w:numId w:val="1065"/>
        </w:numPr>
      </w:pPr>
      <w:r>
        <w:t xml:space="preserve">product commercialization changes;</w:t>
      </w:r>
    </w:p>
    <w:p>
      <w:pPr>
        <w:pStyle w:val="Compact"/>
        <w:numPr>
          <w:ilvl w:val="0"/>
          <w:numId w:val="1065"/>
        </w:numPr>
      </w:pPr>
      <w:r>
        <w:t xml:space="preserve">new patient-facing uses.</w:t>
      </w:r>
    </w:p>
    <w:p>
      <w:r>
        <w:pict>
          <v:rect style="width:0;height:1.5pt" o:hralign="center" o:hrstd="t" o:hr="t"/>
        </w:pict>
      </w:r>
    </w:p>
    <w:bookmarkEnd w:id="113"/>
    <w:bookmarkEnd w:id="114"/>
    <w:bookmarkStart w:id="119" w:name="X679e5620b6c942e30d60a2b108fb833e08dc099"/>
    <w:p>
      <w:pPr>
        <w:pStyle w:val="Heading2"/>
        <w:keepNext/>
        <w:keepLines/>
      </w:pPr>
      <w:r>
        <w:t xml:space="preserve">21. Recommended product and sourcing strategy</w:t>
      </w:r>
    </w:p>
    <w:bookmarkStart w:id="115" w:name="X7493ae032fad4700bae3fd688d20d107b6e8c07"/>
    <w:p>
      <w:pPr>
        <w:pStyle w:val="Heading3"/>
        <w:keepNext/>
        <w:keepLines/>
      </w:pPr>
      <w:r>
        <w:t xml:space="preserve">21.1 Build independent clinical intellectual property</w:t>
      </w:r>
    </w:p>
    <w:p>
      <w:pPr>
        <w:pStyle w:val="FirstParagraph"/>
      </w:pPr>
      <w:r>
        <w:t xml:space="preserve">The strongest long-term strategy is not to copy proprietary knowledge products. It is to create a defensible evidence-to-executable system that:</w:t>
      </w:r>
    </w:p>
    <w:p>
      <w:pPr>
        <w:pStyle w:val="Compact"/>
        <w:numPr>
          <w:ilvl w:val="0"/>
          <w:numId w:val="1066"/>
        </w:numPr>
      </w:pPr>
      <w:r>
        <w:t xml:space="preserve">synthesizes primary evidence;</w:t>
      </w:r>
    </w:p>
    <w:p>
      <w:pPr>
        <w:pStyle w:val="Compact"/>
        <w:numPr>
          <w:ilvl w:val="0"/>
          <w:numId w:val="1066"/>
        </w:numPr>
      </w:pPr>
      <w:r>
        <w:t xml:space="preserve">records conflicts and uncertainty;</w:t>
      </w:r>
    </w:p>
    <w:p>
      <w:pPr>
        <w:pStyle w:val="Compact"/>
        <w:numPr>
          <w:ilvl w:val="0"/>
          <w:numId w:val="1066"/>
        </w:numPr>
      </w:pPr>
      <w:r>
        <w:t xml:space="preserve">produces independently authored rules;</w:t>
      </w:r>
    </w:p>
    <w:p>
      <w:pPr>
        <w:pStyle w:val="Compact"/>
        <w:numPr>
          <w:ilvl w:val="0"/>
          <w:numId w:val="1066"/>
        </w:numPr>
      </w:pPr>
      <w:r>
        <w:t xml:space="preserve">validates local ranges and implementation behavior;</w:t>
      </w:r>
    </w:p>
    <w:p>
      <w:pPr>
        <w:pStyle w:val="Compact"/>
        <w:numPr>
          <w:ilvl w:val="0"/>
          <w:numId w:val="1066"/>
        </w:numPr>
      </w:pPr>
      <w:r>
        <w:t xml:space="preserve">generates original longitudinal and workflow logic;</w:t>
      </w:r>
    </w:p>
    <w:p>
      <w:pPr>
        <w:pStyle w:val="Compact"/>
        <w:numPr>
          <w:ilvl w:val="0"/>
          <w:numId w:val="1066"/>
        </w:numPr>
      </w:pPr>
      <w:r>
        <w:t xml:space="preserve">maintains auditable provenance and rights clearance;</w:t>
      </w:r>
    </w:p>
    <w:p>
      <w:pPr>
        <w:pStyle w:val="Compact"/>
        <w:numPr>
          <w:ilvl w:val="0"/>
          <w:numId w:val="1066"/>
        </w:numPr>
      </w:pPr>
      <w:r>
        <w:t xml:space="preserve">creates original clinical-validation datasets and publications.</w:t>
      </w:r>
    </w:p>
    <w:bookmarkEnd w:id="115"/>
    <w:bookmarkStart w:id="116" w:name="Xe772473e5b1bacb4886fc91f4fcf6a6c9687f56"/>
    <w:p>
      <w:pPr>
        <w:pStyle w:val="Heading3"/>
        <w:keepNext/>
        <w:keepLines/>
      </w:pPr>
      <w:r>
        <w:t xml:space="preserve">21.2 License selectively</w:t>
      </w:r>
    </w:p>
    <w:p>
      <w:pPr>
        <w:pStyle w:val="FirstParagraph"/>
      </w:pPr>
      <w:r>
        <w:t xml:space="preserve">Licensing is appropriate when:</w:t>
      </w:r>
    </w:p>
    <w:p>
      <w:pPr>
        <w:pStyle w:val="Compact"/>
        <w:numPr>
          <w:ilvl w:val="0"/>
          <w:numId w:val="1067"/>
        </w:numPr>
      </w:pPr>
      <w:r>
        <w:t xml:space="preserve">a society’s complete table or algorithm is clinically decisive;</w:t>
      </w:r>
    </w:p>
    <w:p>
      <w:pPr>
        <w:pStyle w:val="Compact"/>
        <w:numPr>
          <w:ilvl w:val="0"/>
          <w:numId w:val="1067"/>
        </w:numPr>
      </w:pPr>
      <w:r>
        <w:t xml:space="preserve">exact fidelity to an authoritative implementation is safer than independent reconstruction;</w:t>
      </w:r>
    </w:p>
    <w:p>
      <w:pPr>
        <w:pStyle w:val="Compact"/>
        <w:numPr>
          <w:ilvl w:val="0"/>
          <w:numId w:val="1067"/>
        </w:numPr>
      </w:pPr>
      <w:r>
        <w:t xml:space="preserve">patient handouts or questionnaires are required;</w:t>
      </w:r>
    </w:p>
    <w:p>
      <w:pPr>
        <w:pStyle w:val="Compact"/>
        <w:numPr>
          <w:ilvl w:val="0"/>
          <w:numId w:val="1067"/>
        </w:numPr>
      </w:pPr>
      <w:r>
        <w:t xml:space="preserve">brand association materially increases trust or procurement value;</w:t>
      </w:r>
    </w:p>
    <w:p>
      <w:pPr>
        <w:pStyle w:val="Compact"/>
        <w:numPr>
          <w:ilvl w:val="0"/>
          <w:numId w:val="1067"/>
        </w:numPr>
      </w:pPr>
      <w:r>
        <w:t xml:space="preserve">licensing costs less than independent evidence synthesis and validation;</w:t>
      </w:r>
    </w:p>
    <w:p>
      <w:pPr>
        <w:pStyle w:val="Compact"/>
        <w:numPr>
          <w:ilvl w:val="0"/>
          <w:numId w:val="1067"/>
        </w:numPr>
      </w:pPr>
      <w:r>
        <w:t xml:space="preserve">the rights holder offers ongoing updates, warranties, or integration support.</w:t>
      </w:r>
    </w:p>
    <w:bookmarkEnd w:id="116"/>
    <w:bookmarkStart w:id="117" w:name="X12b1e367392d01cf7ae2d0925d0513ce8ed43b2"/>
    <w:p>
      <w:pPr>
        <w:pStyle w:val="Heading3"/>
        <w:keepNext/>
        <w:keepLines/>
      </w:pPr>
      <w:r>
        <w:t xml:space="preserve">21.3 Prefer source substitutability</w:t>
      </w:r>
    </w:p>
    <w:p>
      <w:pPr>
        <w:pStyle w:val="FirstParagraph"/>
      </w:pPr>
      <w:r>
        <w:t xml:space="preserve">For every key rule, track whether an alternative evidence basis exists. Avoid a product architecture where one proprietary source can revoke the core knowledge base.</w:t>
      </w:r>
    </w:p>
    <w:bookmarkEnd w:id="117"/>
    <w:bookmarkStart w:id="118" w:name="X0353414c80269e4c18f81012534c7e4aa5afdf2"/>
    <w:p>
      <w:pPr>
        <w:pStyle w:val="Heading3"/>
        <w:keepNext/>
        <w:keepLines/>
      </w:pPr>
      <w:r>
        <w:t xml:space="preserve">21.4 Original research as a rights and moat strategy</w:t>
      </w:r>
    </w:p>
    <w:p>
      <w:pPr>
        <w:pStyle w:val="FirstParagraph"/>
      </w:pPr>
      <w:r>
        <w:t xml:space="preserve">Where evidence or rights are weak, conduct independent retrospective and prospective validation. Original data and independently authored clinical logic can improve:</w:t>
      </w:r>
    </w:p>
    <w:p>
      <w:pPr>
        <w:pStyle w:val="Compact"/>
        <w:numPr>
          <w:ilvl w:val="0"/>
          <w:numId w:val="1068"/>
        </w:numPr>
      </w:pPr>
      <w:r>
        <w:t xml:space="preserve">clinical validity;</w:t>
      </w:r>
    </w:p>
    <w:p>
      <w:pPr>
        <w:pStyle w:val="Compact"/>
        <w:numPr>
          <w:ilvl w:val="0"/>
          <w:numId w:val="1068"/>
        </w:numPr>
      </w:pPr>
      <w:r>
        <w:t xml:space="preserve">portability;</w:t>
      </w:r>
    </w:p>
    <w:p>
      <w:pPr>
        <w:pStyle w:val="Compact"/>
        <w:numPr>
          <w:ilvl w:val="0"/>
          <w:numId w:val="1068"/>
        </w:numPr>
      </w:pPr>
      <w:r>
        <w:t xml:space="preserve">product differentiation;</w:t>
      </w:r>
    </w:p>
    <w:p>
      <w:pPr>
        <w:pStyle w:val="Compact"/>
        <w:numPr>
          <w:ilvl w:val="0"/>
          <w:numId w:val="1068"/>
        </w:numPr>
      </w:pPr>
      <w:r>
        <w:t xml:space="preserve">acquisition value;</w:t>
      </w:r>
    </w:p>
    <w:p>
      <w:pPr>
        <w:pStyle w:val="Compact"/>
        <w:numPr>
          <w:ilvl w:val="0"/>
          <w:numId w:val="1068"/>
        </w:numPr>
      </w:pPr>
      <w:r>
        <w:t xml:space="preserve">freedom to operate;</w:t>
      </w:r>
    </w:p>
    <w:p>
      <w:pPr>
        <w:pStyle w:val="Compact"/>
        <w:numPr>
          <w:ilvl w:val="0"/>
          <w:numId w:val="1068"/>
        </w:numPr>
      </w:pPr>
      <w:r>
        <w:t xml:space="preserve">defensibility against simple content replication.</w:t>
      </w:r>
    </w:p>
    <w:p>
      <w:r>
        <w:pict>
          <v:rect style="width:0;height:1.5pt" o:hralign="center" o:hrstd="t" o:hr="t"/>
        </w:pict>
      </w:r>
    </w:p>
    <w:bookmarkEnd w:id="118"/>
    <w:bookmarkEnd w:id="119"/>
    <w:bookmarkStart w:id="120" w:name="Xbe1236ae09c3d8c042efccd9ab5d5f0baae2755"/>
    <w:p>
      <w:pPr>
        <w:pStyle w:val="Heading2"/>
        <w:keepNext/>
        <w:keepLines/>
      </w:pPr>
      <w:r>
        <w:t xml:space="preserve">22. Minimum agent checklist</w:t>
      </w:r>
    </w:p>
    <w:p>
      <w:pPr>
        <w:pStyle w:val="FirstParagraph"/>
      </w:pPr>
      <w:r>
        <w:t xml:space="preserve">Before using any source-derived content, answer:</w:t>
      </w:r>
    </w:p>
    <w:p>
      <w:pPr>
        <w:pStyle w:val="Compact"/>
        <w:numPr>
          <w:ilvl w:val="0"/>
          <w:numId w:val="1069"/>
        </w:numPr>
      </w:pPr>
      <w:r>
        <w:t xml:space="preserve">What is the exact source and version?</w:t>
      </w:r>
    </w:p>
    <w:p>
      <w:pPr>
        <w:pStyle w:val="Compact"/>
        <w:numPr>
          <w:ilvl w:val="0"/>
          <w:numId w:val="1069"/>
        </w:numPr>
      </w:pPr>
      <w:r>
        <w:t xml:space="preserve">How was it accessed?</w:t>
      </w:r>
    </w:p>
    <w:p>
      <w:pPr>
        <w:pStyle w:val="Compact"/>
        <w:numPr>
          <w:ilvl w:val="0"/>
          <w:numId w:val="1069"/>
        </w:numPr>
      </w:pPr>
      <w:r>
        <w:t xml:space="preserve">What license and contract apply?</w:t>
      </w:r>
    </w:p>
    <w:p>
      <w:pPr>
        <w:pStyle w:val="Compact"/>
        <w:numPr>
          <w:ilvl w:val="0"/>
          <w:numId w:val="1069"/>
        </w:numPr>
      </w:pPr>
      <w:r>
        <w:t xml:space="preserve">What exact component is being used?</w:t>
      </w:r>
    </w:p>
    <w:p>
      <w:pPr>
        <w:pStyle w:val="Compact"/>
        <w:numPr>
          <w:ilvl w:val="0"/>
          <w:numId w:val="1069"/>
        </w:numPr>
      </w:pPr>
      <w:r>
        <w:t xml:space="preserve">Is it fact, method, expression, compilation, instrument, code, data, image, or brand?</w:t>
      </w:r>
    </w:p>
    <w:p>
      <w:pPr>
        <w:pStyle w:val="Compact"/>
        <w:numPr>
          <w:ilvl w:val="0"/>
          <w:numId w:val="1069"/>
        </w:numPr>
      </w:pPr>
      <w:r>
        <w:t xml:space="preserve">What is the intended internal or external use?</w:t>
      </w:r>
    </w:p>
    <w:p>
      <w:pPr>
        <w:pStyle w:val="Compact"/>
        <w:numPr>
          <w:ilvl w:val="0"/>
          <w:numId w:val="1069"/>
        </w:numPr>
      </w:pPr>
      <w:r>
        <w:t xml:space="preserve">Is the product commercial?</w:t>
      </w:r>
    </w:p>
    <w:p>
      <w:pPr>
        <w:pStyle w:val="Compact"/>
        <w:numPr>
          <w:ilvl w:val="0"/>
          <w:numId w:val="1069"/>
        </w:numPr>
      </w:pPr>
      <w:r>
        <w:t xml:space="preserve">Is the output independently authored?</w:t>
      </w:r>
    </w:p>
    <w:p>
      <w:pPr>
        <w:pStyle w:val="Compact"/>
        <w:numPr>
          <w:ilvl w:val="0"/>
          <w:numId w:val="1069"/>
        </w:numPr>
      </w:pPr>
      <w:r>
        <w:t xml:space="preserve">Does it reproduce the source’s selection, labels, sequence, or arrangement?</w:t>
      </w:r>
    </w:p>
    <w:p>
      <w:pPr>
        <w:pStyle w:val="Compact"/>
        <w:numPr>
          <w:ilvl w:val="0"/>
          <w:numId w:val="1069"/>
        </w:numPr>
      </w:pPr>
      <w:r>
        <w:t xml:space="preserve">Does the use substitute for the source product?</w:t>
      </w:r>
    </w:p>
    <w:p>
      <w:pPr>
        <w:pStyle w:val="Compact"/>
        <w:numPr>
          <w:ilvl w:val="0"/>
          <w:numId w:val="1069"/>
        </w:numPr>
      </w:pPr>
      <w:r>
        <w:t xml:space="preserve">Are patents, trademarks, database rights, privacy, or confidentiality relevant?</w:t>
      </w:r>
    </w:p>
    <w:p>
      <w:pPr>
        <w:pStyle w:val="Compact"/>
        <w:numPr>
          <w:ilvl w:val="0"/>
          <w:numId w:val="1069"/>
        </w:numPr>
      </w:pPr>
      <w:r>
        <w:t xml:space="preserve">Is article-level commercial reuse explicitly allowed?</w:t>
      </w:r>
    </w:p>
    <w:p>
      <w:pPr>
        <w:pStyle w:val="Compact"/>
        <w:numPr>
          <w:ilvl w:val="0"/>
          <w:numId w:val="1069"/>
        </w:numPr>
      </w:pPr>
      <w:r>
        <w:t xml:space="preserve">Are attribution, notice, and change-marking obligations satisfied?</w:t>
      </w:r>
    </w:p>
    <w:p>
      <w:pPr>
        <w:pStyle w:val="Compact"/>
        <w:numPr>
          <w:ilvl w:val="0"/>
          <w:numId w:val="1069"/>
        </w:numPr>
      </w:pPr>
      <w:r>
        <w:t xml:space="preserve">Is a permission record required and active?</w:t>
      </w:r>
    </w:p>
    <w:p>
      <w:pPr>
        <w:pStyle w:val="Compact"/>
        <w:numPr>
          <w:ilvl w:val="0"/>
          <w:numId w:val="1069"/>
        </w:numPr>
      </w:pPr>
      <w:r>
        <w:t xml:space="preserve">Is the rights status green for this specific release?</w:t>
      </w:r>
    </w:p>
    <w:p>
      <w:pPr>
        <w:pStyle w:val="FirstParagraph"/>
      </w:pPr>
      <w:r>
        <w:t xml:space="preserve">If any answer is unknown, the external release is blocked.</w:t>
      </w:r>
    </w:p>
    <w:p>
      <w:r>
        <w:pict>
          <v:rect style="width:0;height:1.5pt" o:hralign="center" o:hrstd="t" o:hr="t"/>
        </w:pict>
      </w:r>
    </w:p>
    <w:bookmarkEnd w:id="120"/>
    <w:bookmarkStart w:id="126" w:name="X27e2e74aed3d8878caa2e89574abab4d6436383"/>
    <w:p>
      <w:pPr>
        <w:pStyle w:val="Heading2"/>
        <w:keepNext/>
        <w:keepLines/>
      </w:pPr>
      <w:r>
        <w:t xml:space="preserve">23. Implementation roadmap</w:t>
      </w:r>
    </w:p>
    <w:bookmarkStart w:id="121" w:name="phase-1--schema-and-policy-integration"/>
    <w:p>
      <w:pPr>
        <w:pStyle w:val="Heading3"/>
        <w:keepNext/>
        <w:keepLines/>
      </w:pPr>
      <w:r>
        <w:t xml:space="preserve">Phase 1 — Schema and policy integration</w:t>
      </w:r>
    </w:p>
    <w:p>
      <w:pPr>
        <w:pStyle w:val="Compact"/>
        <w:numPr>
          <w:ilvl w:val="0"/>
          <w:numId w:val="1070"/>
        </w:numPr>
      </w:pPr>
      <w:r>
        <w:t xml:space="preserve">Add</w:t>
      </w:r>
      <w:r>
        <w:t xml:space="preserve"> </w:t>
      </w:r>
      <w:r>
        <w:rPr>
          <w:rStyle w:val="VerbatimChar"/>
        </w:rPr>
        <w:t xml:space="preserve">rights_record</w:t>
      </w:r>
      <w:r>
        <w:t xml:space="preserve">,</w:t>
      </w:r>
      <w:r>
        <w:t xml:space="preserve"> </w:t>
      </w:r>
      <w:r>
        <w:rPr>
          <w:rStyle w:val="VerbatimChar"/>
        </w:rPr>
        <w:t xml:space="preserve">content_reuse_assessment</w:t>
      </w:r>
      <w:r>
        <w:t xml:space="preserve">, and</w:t>
      </w:r>
      <w:r>
        <w:t xml:space="preserve"> </w:t>
      </w:r>
      <w:r>
        <w:rPr>
          <w:rStyle w:val="VerbatimChar"/>
        </w:rPr>
        <w:t xml:space="preserve">permission_record</w:t>
      </w:r>
      <w:r>
        <w:t xml:space="preserve"> </w:t>
      </w:r>
      <w:r>
        <w:t xml:space="preserve">schemas.</w:t>
      </w:r>
    </w:p>
    <w:p>
      <w:pPr>
        <w:pStyle w:val="Compact"/>
        <w:numPr>
          <w:ilvl w:val="0"/>
          <w:numId w:val="1070"/>
        </w:numPr>
      </w:pPr>
      <w:r>
        <w:t xml:space="preserve">Add</w:t>
      </w:r>
      <w:r>
        <w:t xml:space="preserve"> </w:t>
      </w:r>
      <w:r>
        <w:rPr>
          <w:rStyle w:val="VerbatimChar"/>
        </w:rPr>
        <w:t xml:space="preserve">extensions.rights</w:t>
      </w:r>
      <w:r>
        <w:t xml:space="preserve"> </w:t>
      </w:r>
      <w:r>
        <w:t xml:space="preserve">to source, evidence-atom, and candidate-rule records.</w:t>
      </w:r>
    </w:p>
    <w:p>
      <w:pPr>
        <w:pStyle w:val="Compact"/>
        <w:numPr>
          <w:ilvl w:val="0"/>
          <w:numId w:val="1070"/>
        </w:numPr>
      </w:pPr>
      <w:r>
        <w:t xml:space="preserve">Add rights failure codes.</w:t>
      </w:r>
    </w:p>
    <w:p>
      <w:pPr>
        <w:pStyle w:val="Compact"/>
        <w:numPr>
          <w:ilvl w:val="0"/>
          <w:numId w:val="1070"/>
        </w:numPr>
      </w:pPr>
      <w:r>
        <w:t xml:space="preserve">Establish controlled source zones.</w:t>
      </w:r>
    </w:p>
    <w:p>
      <w:pPr>
        <w:pStyle w:val="Compact"/>
        <w:numPr>
          <w:ilvl w:val="0"/>
          <w:numId w:val="1070"/>
        </w:numPr>
      </w:pPr>
      <w:r>
        <w:t xml:space="preserve">Create automated release validation.</w:t>
      </w:r>
    </w:p>
    <w:bookmarkEnd w:id="121"/>
    <w:bookmarkStart w:id="122" w:name="phase-2--backfill"/>
    <w:p>
      <w:pPr>
        <w:pStyle w:val="Heading3"/>
        <w:keepNext/>
        <w:keepLines/>
      </w:pPr>
      <w:r>
        <w:t xml:space="preserve">Phase 2 — Backfill</w:t>
      </w:r>
    </w:p>
    <w:p>
      <w:pPr>
        <w:pStyle w:val="Compact"/>
        <w:numPr>
          <w:ilvl w:val="0"/>
          <w:numId w:val="1071"/>
        </w:numPr>
      </w:pPr>
      <w:r>
        <w:t xml:space="preserve">Inventory all existing anemia sources.</w:t>
      </w:r>
    </w:p>
    <w:p>
      <w:pPr>
        <w:pStyle w:val="Compact"/>
        <w:numPr>
          <w:ilvl w:val="0"/>
          <w:numId w:val="1071"/>
        </w:numPr>
      </w:pPr>
      <w:r>
        <w:t xml:space="preserve">Verify article-level licenses and access paths.</w:t>
      </w:r>
    </w:p>
    <w:p>
      <w:pPr>
        <w:pStyle w:val="Compact"/>
        <w:numPr>
          <w:ilvl w:val="0"/>
          <w:numId w:val="1071"/>
        </w:numPr>
      </w:pPr>
      <w:r>
        <w:t xml:space="preserve">classify source components used by current rules.</w:t>
      </w:r>
    </w:p>
    <w:p>
      <w:pPr>
        <w:pStyle w:val="Compact"/>
        <w:numPr>
          <w:ilvl w:val="0"/>
          <w:numId w:val="1071"/>
        </w:numPr>
      </w:pPr>
      <w:r>
        <w:t xml:space="preserve">Create facts-only, open-license, permission-required, and blocked cohorts.</w:t>
      </w:r>
    </w:p>
    <w:p>
      <w:pPr>
        <w:pStyle w:val="Compact"/>
        <w:numPr>
          <w:ilvl w:val="0"/>
          <w:numId w:val="1071"/>
        </w:numPr>
      </w:pPr>
      <w:r>
        <w:t xml:space="preserve">Remove or quarantine copied or uncertain content.</w:t>
      </w:r>
    </w:p>
    <w:p>
      <w:pPr>
        <w:pStyle w:val="Compact"/>
        <w:numPr>
          <w:ilvl w:val="0"/>
          <w:numId w:val="1071"/>
        </w:numPr>
      </w:pPr>
      <w:r>
        <w:t xml:space="preserve">Identify AAP-dependent rule families.</w:t>
      </w:r>
    </w:p>
    <w:bookmarkEnd w:id="122"/>
    <w:bookmarkStart w:id="123" w:name="X6fac0e3befb15d857cf148dbda8e7a7e0f7ab05"/>
    <w:p>
      <w:pPr>
        <w:pStyle w:val="Heading3"/>
        <w:keepNext/>
        <w:keepLines/>
      </w:pPr>
      <w:r>
        <w:t xml:space="preserve">Phase 3 — Rights-aware research automation</w:t>
      </w:r>
    </w:p>
    <w:p>
      <w:pPr>
        <w:pStyle w:val="Compact"/>
        <w:numPr>
          <w:ilvl w:val="0"/>
          <w:numId w:val="1072"/>
        </w:numPr>
      </w:pPr>
      <w:r>
        <w:t xml:space="preserve">Add license discovery and terms snapshotting.</w:t>
      </w:r>
    </w:p>
    <w:p>
      <w:pPr>
        <w:pStyle w:val="Compact"/>
        <w:numPr>
          <w:ilvl w:val="0"/>
          <w:numId w:val="1072"/>
        </w:numPr>
      </w:pPr>
      <w:r>
        <w:t xml:space="preserve">Add content-component classification.</w:t>
      </w:r>
    </w:p>
    <w:p>
      <w:pPr>
        <w:pStyle w:val="Compact"/>
        <w:numPr>
          <w:ilvl w:val="0"/>
          <w:numId w:val="1072"/>
        </w:numPr>
      </w:pPr>
      <w:r>
        <w:t xml:space="preserve">Add permission and expiry monitoring.</w:t>
      </w:r>
    </w:p>
    <w:p>
      <w:pPr>
        <w:pStyle w:val="Compact"/>
        <w:numPr>
          <w:ilvl w:val="0"/>
          <w:numId w:val="1072"/>
        </w:numPr>
      </w:pPr>
      <w:r>
        <w:t xml:space="preserve">Add alternative-source discovery when a source is restricted.</w:t>
      </w:r>
    </w:p>
    <w:p>
      <w:pPr>
        <w:pStyle w:val="Compact"/>
        <w:numPr>
          <w:ilvl w:val="0"/>
          <w:numId w:val="1072"/>
        </w:numPr>
      </w:pPr>
      <w:r>
        <w:t xml:space="preserve">Prevent restricted content from entering prompts for user-facing generation.</w:t>
      </w:r>
    </w:p>
    <w:bookmarkEnd w:id="123"/>
    <w:bookmarkStart w:id="124" w:name="phase-4--counsel-and-licensing-program"/>
    <w:p>
      <w:pPr>
        <w:pStyle w:val="Heading3"/>
        <w:keepNext/>
        <w:keepLines/>
      </w:pPr>
      <w:r>
        <w:t xml:space="preserve">Phase 4 — Counsel and licensing program</w:t>
      </w:r>
    </w:p>
    <w:p>
      <w:pPr>
        <w:pStyle w:val="Compact"/>
        <w:numPr>
          <w:ilvl w:val="0"/>
          <w:numId w:val="1073"/>
        </w:numPr>
      </w:pPr>
      <w:r>
        <w:t xml:space="preserve">Develop a standard legal review packet.</w:t>
      </w:r>
    </w:p>
    <w:p>
      <w:pPr>
        <w:pStyle w:val="Compact"/>
        <w:numPr>
          <w:ilvl w:val="0"/>
          <w:numId w:val="1073"/>
        </w:numPr>
      </w:pPr>
      <w:r>
        <w:t xml:space="preserve">Prioritize licenses for high-value AAP, questionnaire, dataset, and patient-education content.</w:t>
      </w:r>
    </w:p>
    <w:p>
      <w:pPr>
        <w:pStyle w:val="Compact"/>
        <w:numPr>
          <w:ilvl w:val="0"/>
          <w:numId w:val="1073"/>
        </w:numPr>
      </w:pPr>
      <w:r>
        <w:t xml:space="preserve">Create standard rights-holder outreach templates.</w:t>
      </w:r>
    </w:p>
    <w:p>
      <w:pPr>
        <w:pStyle w:val="Compact"/>
        <w:numPr>
          <w:ilvl w:val="0"/>
          <w:numId w:val="1073"/>
        </w:numPr>
      </w:pPr>
      <w:r>
        <w:t xml:space="preserve">Negotiate update, API, EHR, and commercial redistribution rights where valuable.</w:t>
      </w:r>
    </w:p>
    <w:bookmarkEnd w:id="124"/>
    <w:bookmarkStart w:id="125" w:name="phase-5--continuous-governance"/>
    <w:p>
      <w:pPr>
        <w:pStyle w:val="Heading3"/>
        <w:keepNext/>
        <w:keepLines/>
      </w:pPr>
      <w:r>
        <w:t xml:space="preserve">Phase 5 — Continuous governance</w:t>
      </w:r>
    </w:p>
    <w:p>
      <w:pPr>
        <w:pStyle w:val="Compact"/>
        <w:numPr>
          <w:ilvl w:val="0"/>
          <w:numId w:val="1074"/>
        </w:numPr>
      </w:pPr>
      <w:r>
        <w:t xml:space="preserve">Monitor terms, licenses, permissions, and product-use changes.</w:t>
      </w:r>
    </w:p>
    <w:p>
      <w:pPr>
        <w:pStyle w:val="Compact"/>
        <w:numPr>
          <w:ilvl w:val="0"/>
          <w:numId w:val="1074"/>
        </w:numPr>
      </w:pPr>
      <w:r>
        <w:t xml:space="preserve">Include rights review in evidence surveillance and signed release.</w:t>
      </w:r>
    </w:p>
    <w:p>
      <w:pPr>
        <w:pStyle w:val="Compact"/>
        <w:numPr>
          <w:ilvl w:val="0"/>
          <w:numId w:val="1074"/>
        </w:numPr>
      </w:pPr>
      <w:r>
        <w:t xml:space="preserve">Audit a sample of released atoms and rules each quarter.</w:t>
      </w:r>
    </w:p>
    <w:p>
      <w:pPr>
        <w:pStyle w:val="Compact"/>
        <w:numPr>
          <w:ilvl w:val="0"/>
          <w:numId w:val="1074"/>
        </w:numPr>
      </w:pPr>
      <w:r>
        <w:t xml:space="preserve">Track rights debt as a product-risk metric.</w:t>
      </w:r>
    </w:p>
    <w:p>
      <w:r>
        <w:pict>
          <v:rect style="width:0;height:1.5pt" o:hralign="center" o:hrstd="t" o:hr="t"/>
        </w:pict>
      </w:r>
    </w:p>
    <w:bookmarkEnd w:id="125"/>
    <w:bookmarkEnd w:id="126"/>
    <w:bookmarkStart w:id="127" w:name="X21a0cedc18f7fcad3ae6c2f7211d605b9fddf72"/>
    <w:p>
      <w:pPr>
        <w:pStyle w:val="Heading2"/>
        <w:keepNext/>
        <w:keepLines/>
      </w:pPr>
      <w:r>
        <w:t xml:space="preserve">24. Acceptance criteria</w:t>
      </w:r>
    </w:p>
    <w:p>
      <w:pPr>
        <w:pStyle w:val="FirstParagraph"/>
      </w:pPr>
      <w:r>
        <w:t xml:space="preserve">This specification is implemented when:</w:t>
      </w:r>
    </w:p>
    <w:p>
      <w:pPr>
        <w:pStyle w:val="Compact"/>
        <w:numPr>
          <w:ilvl w:val="0"/>
          <w:numId w:val="1075"/>
        </w:numPr>
      </w:pPr>
      <w:r>
        <w:t xml:space="preserve">every source used by a candidate rule has a rights record;</w:t>
      </w:r>
    </w:p>
    <w:p>
      <w:pPr>
        <w:pStyle w:val="Compact"/>
        <w:numPr>
          <w:ilvl w:val="0"/>
          <w:numId w:val="1075"/>
        </w:numPr>
      </w:pPr>
      <w:r>
        <w:t xml:space="preserve">every externally shipped component has a use-specific reuse assessment;</w:t>
      </w:r>
    </w:p>
    <w:p>
      <w:pPr>
        <w:pStyle w:val="Compact"/>
        <w:numPr>
          <w:ilvl w:val="0"/>
          <w:numId w:val="1075"/>
        </w:numPr>
      </w:pPr>
      <w:r>
        <w:t xml:space="preserve">every affirmative permission is stored as a permission record;</w:t>
      </w:r>
    </w:p>
    <w:p>
      <w:pPr>
        <w:pStyle w:val="Compact"/>
        <w:numPr>
          <w:ilvl w:val="0"/>
          <w:numId w:val="1075"/>
        </w:numPr>
      </w:pPr>
      <w:r>
        <w:t xml:space="preserve">release builds block unresolved rights statuses;</w:t>
      </w:r>
    </w:p>
    <w:p>
      <w:pPr>
        <w:pStyle w:val="Compact"/>
        <w:numPr>
          <w:ilvl w:val="0"/>
          <w:numId w:val="1075"/>
        </w:numPr>
      </w:pPr>
      <w:r>
        <w:t xml:space="preserve">copied source content is technically prevented from reaching runtime packages;</w:t>
      </w:r>
    </w:p>
    <w:p>
      <w:pPr>
        <w:pStyle w:val="Compact"/>
        <w:numPr>
          <w:ilvl w:val="0"/>
          <w:numId w:val="1075"/>
        </w:numPr>
      </w:pPr>
      <w:r>
        <w:t xml:space="preserve">article-level licenses and access terms are snapshotted;</w:t>
      </w:r>
    </w:p>
    <w:p>
      <w:pPr>
        <w:pStyle w:val="Compact"/>
        <w:numPr>
          <w:ilvl w:val="0"/>
          <w:numId w:val="1075"/>
        </w:numPr>
      </w:pPr>
      <w:r>
        <w:t xml:space="preserve">agents follow authorized retrieval paths;</w:t>
      </w:r>
    </w:p>
    <w:p>
      <w:pPr>
        <w:pStyle w:val="Compact"/>
        <w:numPr>
          <w:ilvl w:val="0"/>
          <w:numId w:val="1075"/>
        </w:numPr>
      </w:pPr>
      <w:r>
        <w:t xml:space="preserve">rights failures are reportable and auditable;</w:t>
      </w:r>
    </w:p>
    <w:p>
      <w:pPr>
        <w:pStyle w:val="Compact"/>
        <w:numPr>
          <w:ilvl w:val="0"/>
          <w:numId w:val="1075"/>
        </w:numPr>
      </w:pPr>
      <w:r>
        <w:t xml:space="preserve">AAP and other proprietary-source dependencies are explicit;</w:t>
      </w:r>
    </w:p>
    <w:p>
      <w:pPr>
        <w:pStyle w:val="Compact"/>
        <w:numPr>
          <w:ilvl w:val="0"/>
          <w:numId w:val="1075"/>
        </w:numPr>
      </w:pPr>
      <w:r>
        <w:t xml:space="preserve">the product can generate a complete rights-clearance manifest for any release;</w:t>
      </w:r>
    </w:p>
    <w:p>
      <w:pPr>
        <w:pStyle w:val="Compact"/>
        <w:numPr>
          <w:ilvl w:val="0"/>
          <w:numId w:val="1075"/>
        </w:numPr>
      </w:pPr>
      <w:r>
        <w:t xml:space="preserve">clinical, evidence, rights, and regulatory approvals remain distinct.</w:t>
      </w:r>
    </w:p>
    <w:p>
      <w:r>
        <w:pict>
          <v:rect style="width:0;height:1.5pt" o:hralign="center" o:hrstd="t" o:hr="t"/>
        </w:pict>
      </w:r>
    </w:p>
    <w:bookmarkEnd w:id="127"/>
    <w:bookmarkStart w:id="128" w:name="X801b8ae8904f1ce34bbd07d3051aef98e3a989a"/>
    <w:p>
      <w:pPr>
        <w:pStyle w:val="Heading2"/>
        <w:keepNext/>
        <w:keepLines/>
      </w:pPr>
      <w:r>
        <w:t xml:space="preserve">Appendix A — Reference rights-record example for AAP subscription content</w:t>
      </w:r>
    </w:p>
    <w:p>
      <w:pPr>
        <w:pStyle w:val="SourceCode"/>
        <w:keepLines/>
        <w:shd w:fill="F4F6F8"/>
        <w:pBdr>
          <w:top w:val="single" w:sz="2" w:color="D7DEE5" w:space="3"/>
          <w:left w:val="single" w:sz="2" w:color="D7DEE5" w:space="3"/>
          <w:bottom w:val="single" w:sz="2" w:color="D7DEE5" w:space="3"/>
          <w:right w:val="single" w:sz="2" w:color="D7DEE5" w:space="3"/>
        </w:pBdr>
      </w:pP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"schema_version"</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"1.0.0"</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"rights_record_id"</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"RR-SRC-AAP-PCO-001"</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"source_id"</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"SRC-AAP-PCO-001"</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"record_scope"</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"source_and_access_context"</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"jurisdictions"</w:t>
      </w:r>
      <w:r>
        <w:rPr>
          <w:rStyle w:val="FunctionTok"/>
          <w:rFonts w:ascii="Liberation Mono" w:hAnsi="Liberation Mono"/>
          <w:sz w:val="14"/>
        </w:rPr>
        <w:t xml:space="preserve">:</w:t>
      </w:r>
      <w:r>
        <w:rPr>
          <w:rStyle w:val="NormalTok"/>
          <w:rFonts w:ascii="Liberation Mono" w:hAnsi="Liberation Mono"/>
          <w:sz w:val="14"/>
        </w:rPr>
        <w:t xml:space="preserve"> </w:t>
      </w:r>
      <w:r>
        <w:rPr>
          <w:rStyle w:val="OtherTok"/>
          <w:rFonts w:ascii="Liberation Mono" w:hAnsi="Liberation Mono"/>
          <w:sz w:val="14"/>
        </w:rPr>
        <w:t xml:space="preserve">[</w:t>
      </w:r>
      <w:r>
        <w:rPr>
          <w:rStyle w:val="StringTok"/>
          <w:rFonts w:ascii="Liberation Mono" w:hAnsi="Liberation Mono"/>
          <w:sz w:val="14"/>
        </w:rPr>
        <w:t xml:space="preserve">"US"</w:t>
      </w:r>
      <w:r>
        <w:rPr>
          <w:rStyle w:val="OtherTok"/>
          <w:rFonts w:ascii="Liberation Mono" w:hAnsi="Liberation Mono"/>
          <w:sz w:val="14"/>
        </w:rPr>
        <w:t xml:space="preserve">]</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"access"</w:t>
      </w:r>
      <w:r>
        <w:rPr>
          <w:rStyle w:val="FunctionTok"/>
          <w:rFonts w:ascii="Liberation Mono" w:hAnsi="Liberation Mono"/>
          <w:sz w:val="14"/>
        </w:rPr>
        <w:t xml:space="preserve">:</w:t>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"basis"</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"institutional_subscription"</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"platform"</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"AAP Pediatric Care Online"</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"terms_url"</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"https://publications.aap.org/pediatriccare/pages/terms"</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"terms_verified_at"</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"2026-07-21T12:00:00Z"</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"automated_retrieval_allowed"</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"unknown"</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"copyright"</w:t>
      </w:r>
      <w:r>
        <w:rPr>
          <w:rStyle w:val="FunctionTok"/>
          <w:rFonts w:ascii="Liberation Mono" w:hAnsi="Liberation Mono"/>
          <w:sz w:val="14"/>
        </w:rPr>
        <w:t xml:space="preserve">:</w:t>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"status"</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"copyrighted"</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"rights_holder"</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"American Academy of Pediatrics"</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"publication_license"</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"traditional_copyright"</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"contract"</w:t>
      </w:r>
      <w:r>
        <w:rPr>
          <w:rStyle w:val="FunctionTok"/>
          <w:rFonts w:ascii="Liberation Mono" w:hAnsi="Liberation Mono"/>
          <w:sz w:val="14"/>
        </w:rPr>
        <w:t xml:space="preserve">:</w:t>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"incorporation_into_other_products"</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"restricted_without_written_approval"</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"adaptation"</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"restricted_without_written_approval"</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"redistribution"</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"restricted"</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"commercial_use"</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"not_granted_by_subscription"</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"component_decisions"</w:t>
      </w:r>
      <w:r>
        <w:rPr>
          <w:rStyle w:val="FunctionTok"/>
          <w:rFonts w:ascii="Liberation Mono" w:hAnsi="Liberation Mono"/>
          <w:sz w:val="14"/>
        </w:rPr>
        <w:t xml:space="preserve">:</w:t>
      </w:r>
      <w:r>
        <w:rPr>
          <w:rStyle w:val="NormalTok"/>
          <w:rFonts w:ascii="Liberation Mono" w:hAnsi="Liberation Mono"/>
          <w:sz w:val="14"/>
        </w:rPr>
        <w:t xml:space="preserve"> </w:t>
      </w:r>
      <w:r>
        <w:rPr>
          <w:rStyle w:val="Other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"component_type"</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"bibliographic_metadata"</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"decision"</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"permitted"</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Style w:val="Other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"component_type"</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"atomic_facts_and_methods"</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"decision"</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"facts_only_subject_to_access_contract_and_legal_review"</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Style w:val="Other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"component_type"</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"prose"</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"decision"</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"permission_required"</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Style w:val="Other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"component_type"</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"tables_figures_algorithms"</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"decision"</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"permission_required"</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Style w:val="Other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"component_type"</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"trademarks_and_logos"</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"decision"</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"prohibited_without_authorization"</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OtherTok"/>
          <w:rFonts w:ascii="Liberation Mono" w:hAnsi="Liberation Mono"/>
          <w:sz w:val="14"/>
        </w:rPr>
        <w:t xml:space="preserve">]</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"overall_status"</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"CONTRACT_RESTRICTED"</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"safe_residual_uses"</w:t>
      </w:r>
      <w:r>
        <w:rPr>
          <w:rStyle w:val="FunctionTok"/>
          <w:rFonts w:ascii="Liberation Mono" w:hAnsi="Liberation Mono"/>
          <w:sz w:val="14"/>
        </w:rPr>
        <w:t xml:space="preserve">:</w:t>
      </w:r>
      <w:r>
        <w:rPr>
          <w:rStyle w:val="NormalTok"/>
          <w:rFonts w:ascii="Liberation Mono" w:hAnsi="Liberation Mono"/>
          <w:sz w:val="14"/>
        </w:rPr>
        <w:t xml:space="preserve"> </w:t>
      </w:r>
      <w:r>
        <w:rPr>
          <w:rStyle w:val="Other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StringTok"/>
          <w:rFonts w:ascii="Liberation Mono" w:hAnsi="Liberation Mono"/>
          <w:sz w:val="14"/>
        </w:rPr>
        <w:t xml:space="preserve">"internal_research"</w:t>
      </w:r>
      <w:r>
        <w:rPr>
          <w:rStyle w:val="Other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StringTok"/>
          <w:rFonts w:ascii="Liberation Mono" w:hAnsi="Liberation Mono"/>
          <w:sz w:val="14"/>
        </w:rPr>
        <w:t xml:space="preserve">"citation_metadata"</w:t>
      </w:r>
      <w:r>
        <w:rPr>
          <w:rStyle w:val="Other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StringTok"/>
          <w:rFonts w:ascii="Liberation Mono" w:hAnsi="Liberation Mono"/>
          <w:sz w:val="14"/>
        </w:rPr>
        <w:t xml:space="preserve">"alternative_primary_source_discovery"</w:t>
      </w:r>
      <w:r>
        <w:rPr>
          <w:rFonts w:ascii="Liberation Mono" w:hAnsi="Liberation Mono"/>
          <w:sz w:val="14"/>
        </w:rPr>
        <w:br/>
      </w:r>
      <w:r>
        <w:rPr>
          <w:rStyle w:val="NormalTok"/>
          <w:rFonts w:ascii="Liberation Mono" w:hAnsi="Liberation Mono"/>
          <w:sz w:val="14"/>
        </w:rPr>
        <w:t xml:space="preserve">  </w:t>
      </w:r>
      <w:r>
        <w:rPr>
          <w:rStyle w:val="OtherTok"/>
          <w:rFonts w:ascii="Liberation Mono" w:hAnsi="Liberation Mono"/>
          <w:sz w:val="14"/>
        </w:rPr>
        <w:t xml:space="preserve">]</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"recommended_action"</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"Use primary or openly licensed evidence for independently authored rules; request AAP EHR/CDS permission when AAP content itself must be incorporated."</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"review"</w:t>
      </w:r>
      <w:r>
        <w:rPr>
          <w:rStyle w:val="FunctionTok"/>
          <w:rFonts w:ascii="Liberation Mono" w:hAnsi="Liberation Mono"/>
          <w:sz w:val="14"/>
        </w:rPr>
        <w:t xml:space="preserve">:</w:t>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"reviewed_at"</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"2026-07-21T12:00:00Z"</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"review_status"</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"legal_review_required_before_commercial_use"</w:t>
      </w:r>
      <w:r>
        <w:rPr>
          <w:rFonts w:ascii="Liberation Mono" w:hAnsi="Liberation Mono"/>
          <w:sz w:val="14"/>
        </w:rPr>
        <w:br/>
      </w:r>
      <w:r>
        <w:rPr>
          <w:rStyle w:val="NormalTok"/>
          <w:rFonts w:ascii="Liberation Mono" w:hAnsi="Liberation Mono"/>
          <w:sz w:val="14"/>
        </w:rPr>
        <w:t xml:space="preserve">  </w:t>
      </w:r>
      <w:r>
        <w:rPr>
          <w:rStyle w:val="FunctionTok"/>
          <w:rFonts w:ascii="Liberation Mono" w:hAnsi="Liberation Mono"/>
          <w:sz w:val="14"/>
        </w:rPr>
        <w:t xml:space="preserve">}</w:t>
      </w:r>
      <w:r>
        <w:rPr>
          <w:rFonts w:ascii="Liberation Mono" w:hAnsi="Liberation Mono"/>
          <w:sz w:val="14"/>
        </w:rPr>
        <w:br/>
      </w:r>
      <w:r>
        <w:rPr>
          <w:rStyle w:val="FunctionTok"/>
          <w:rFonts w:ascii="Liberation Mono" w:hAnsi="Liberation Mono"/>
          <w:sz w:val="14"/>
        </w:rPr>
        <w:t xml:space="preserve">}</w:t>
      </w:r>
    </w:p>
    <w:p>
      <w:r>
        <w:pict>
          <v:rect style="width:0;height:1.5pt" o:hralign="center" o:hrstd="t" o:hr="t"/>
        </w:pict>
      </w:r>
    </w:p>
    <w:bookmarkEnd w:id="128"/>
    <w:bookmarkStart w:id="144" w:name="Xaf7a8101b55401b3141acf3397bb815c4ce8c40"/>
    <w:p>
      <w:pPr>
        <w:pStyle w:val="Heading2"/>
        <w:keepNext/>
        <w:keepLines/>
      </w:pPr>
      <w:r>
        <w:t xml:space="preserve">Appendix B — Authoritative source register</w:t>
      </w:r>
    </w:p>
    <w:p>
      <w:pPr>
        <w:pStyle w:val="FirstParagraph"/>
      </w:pPr>
      <w:r>
        <w:rPr>
          <w:b/>
          <w:bCs/>
        </w:rPr>
        <w:t xml:space="preserve">[S1]</w:t>
      </w:r>
      <w:r>
        <w:t xml:space="preserve"> </w:t>
      </w:r>
      <w:r>
        <w:t xml:space="preserve">U.S. Copyright Office,</w:t>
      </w:r>
      <w:r>
        <w:t xml:space="preserve"> </w:t>
      </w:r>
      <w:r>
        <w:rPr>
          <w:i/>
          <w:iCs/>
        </w:rPr>
        <w:t xml:space="preserve">Title 17, Chapter 1</w:t>
      </w:r>
      <w:r>
        <w:t xml:space="preserve">, §§ 102–103. Verified 2026-07-21.</w:t>
      </w:r>
      <w:r>
        <w:br/>
      </w:r>
      <w:hyperlink r:id="rId129">
        <w:r>
          <w:rPr>
            <w:rStyle w:val="Hyperlink"/>
          </w:rPr>
          <w:t xml:space="preserve">https://www.copyright.gov/title17/92chap1.html</w:t>
        </w:r>
      </w:hyperlink>
    </w:p>
    <w:p>
      <w:pPr>
        <w:pStyle w:val="BodyText"/>
      </w:pPr>
      <w:r>
        <w:rPr>
          <w:b/>
          <w:bCs/>
        </w:rPr>
        <w:t xml:space="preserve">[S2]</w:t>
      </w:r>
      <w:r>
        <w:t xml:space="preserve"> </w:t>
      </w:r>
      <w:r>
        <w:t xml:space="preserve">U.S. Copyright Office,</w:t>
      </w:r>
      <w:r>
        <w:t xml:space="preserve"> </w:t>
      </w:r>
      <w:r>
        <w:rPr>
          <w:i/>
          <w:iCs/>
        </w:rPr>
        <w:t xml:space="preserve">What Does Copyright Protect?</w:t>
      </w:r>
      <w:r>
        <w:t xml:space="preserve"> </w:t>
      </w:r>
      <w:r>
        <w:t xml:space="preserve">Verified 2026-07-21.</w:t>
      </w:r>
      <w:r>
        <w:br/>
      </w:r>
      <w:hyperlink r:id="rId130">
        <w:r>
          <w:rPr>
            <w:rStyle w:val="Hyperlink"/>
          </w:rPr>
          <w:t xml:space="preserve">https://www.copyright.gov/help/faq/faq-protect.html</w:t>
        </w:r>
      </w:hyperlink>
    </w:p>
    <w:p>
      <w:pPr>
        <w:pStyle w:val="BodyText"/>
      </w:pPr>
      <w:r>
        <w:rPr>
          <w:b/>
          <w:bCs/>
        </w:rPr>
        <w:t xml:space="preserve">[S3]</w:t>
      </w:r>
      <w:r>
        <w:t xml:space="preserve"> </w:t>
      </w:r>
      <w:r>
        <w:t xml:space="preserve">U.S. Copyright Office,</w:t>
      </w:r>
      <w:r>
        <w:t xml:space="preserve"> </w:t>
      </w:r>
      <w:r>
        <w:rPr>
          <w:i/>
          <w:iCs/>
        </w:rPr>
        <w:t xml:space="preserve">Automated Databases</w:t>
      </w:r>
      <w:r>
        <w:t xml:space="preserve">. Verified 2026-07-21.</w:t>
      </w:r>
      <w:r>
        <w:br/>
      </w:r>
      <w:hyperlink r:id="rId131">
        <w:r>
          <w:rPr>
            <w:rStyle w:val="Hyperlink"/>
          </w:rPr>
          <w:t xml:space="preserve">https://www.copyright.gov/register/tx-databases.html</w:t>
        </w:r>
      </w:hyperlink>
    </w:p>
    <w:p>
      <w:pPr>
        <w:pStyle w:val="BodyText"/>
      </w:pPr>
      <w:r>
        <w:rPr>
          <w:b/>
          <w:bCs/>
        </w:rPr>
        <w:t xml:space="preserve">[S4]</w:t>
      </w:r>
      <w:r>
        <w:t xml:space="preserve"> </w:t>
      </w:r>
      <w:r>
        <w:t xml:space="preserve">U.S. Copyright Office,</w:t>
      </w:r>
      <w:r>
        <w:t xml:space="preserve"> </w:t>
      </w:r>
      <w:r>
        <w:rPr>
          <w:i/>
          <w:iCs/>
        </w:rPr>
        <w:t xml:space="preserve">More Information on Fair Use</w:t>
      </w:r>
      <w:r>
        <w:t xml:space="preserve"> </w:t>
      </w:r>
      <w:r>
        <w:t xml:space="preserve">and 17 U.S.C. § 107. Verified 2026-07-21.</w:t>
      </w:r>
      <w:r>
        <w:br/>
      </w:r>
      <w:hyperlink r:id="rId132">
        <w:r>
          <w:rPr>
            <w:rStyle w:val="Hyperlink"/>
          </w:rPr>
          <w:t xml:space="preserve">https://www.copyright.gov/fair-use/more-info.html</w:t>
        </w:r>
      </w:hyperlink>
      <w:r>
        <w:br/>
      </w:r>
      <w:hyperlink r:id="rId129">
        <w:r>
          <w:rPr>
            <w:rStyle w:val="Hyperlink"/>
          </w:rPr>
          <w:t xml:space="preserve">https://www.copyright.gov/title17/92chap1.html</w:t>
        </w:r>
      </w:hyperlink>
    </w:p>
    <w:p>
      <w:pPr>
        <w:pStyle w:val="BodyText"/>
      </w:pPr>
      <w:r>
        <w:rPr>
          <w:b/>
          <w:bCs/>
        </w:rPr>
        <w:t xml:space="preserve">[S5]</w:t>
      </w:r>
      <w:r>
        <w:t xml:space="preserve"> </w:t>
      </w:r>
      <w:r>
        <w:t xml:space="preserve">American Academy of Pediatrics,</w:t>
      </w:r>
      <w:r>
        <w:t xml:space="preserve"> </w:t>
      </w:r>
      <w:r>
        <w:rPr>
          <w:i/>
          <w:iCs/>
        </w:rPr>
        <w:t xml:space="preserve">Pediatric Care Online Terms and Conditions</w:t>
      </w:r>
      <w:r>
        <w:t xml:space="preserve">. Verified 2026-07-21.</w:t>
      </w:r>
      <w:r>
        <w:br/>
      </w:r>
      <w:hyperlink r:id="rId133">
        <w:r>
          <w:rPr>
            <w:rStyle w:val="Hyperlink"/>
          </w:rPr>
          <w:t xml:space="preserve">https://publications.aap.org/pediatriccare/pages/terms</w:t>
        </w:r>
      </w:hyperlink>
    </w:p>
    <w:p>
      <w:pPr>
        <w:pStyle w:val="BodyText"/>
      </w:pPr>
      <w:r>
        <w:rPr>
          <w:b/>
          <w:bCs/>
        </w:rPr>
        <w:t xml:space="preserve">[S6]</w:t>
      </w:r>
      <w:r>
        <w:t xml:space="preserve"> </w:t>
      </w:r>
      <w:r>
        <w:t xml:space="preserve">American Academy of Pediatrics,</w:t>
      </w:r>
      <w:r>
        <w:t xml:space="preserve"> </w:t>
      </w:r>
      <w:r>
        <w:rPr>
          <w:i/>
          <w:iCs/>
        </w:rPr>
        <w:t xml:space="preserve">Licensing and Permissions</w:t>
      </w:r>
      <w:r>
        <w:t xml:space="preserve">. Verified 2026-07-21.</w:t>
      </w:r>
      <w:r>
        <w:br/>
      </w:r>
      <w:hyperlink r:id="rId134">
        <w:r>
          <w:rPr>
            <w:rStyle w:val="Hyperlink"/>
          </w:rPr>
          <w:t xml:space="preserve">https://publications.aap.org/pages/licensing-permissions</w:t>
        </w:r>
      </w:hyperlink>
    </w:p>
    <w:p>
      <w:pPr>
        <w:pStyle w:val="BodyText"/>
      </w:pPr>
      <w:r>
        <w:rPr>
          <w:b/>
          <w:bCs/>
        </w:rPr>
        <w:t xml:space="preserve">[S7]</w:t>
      </w:r>
      <w:r>
        <w:t xml:space="preserve"> </w:t>
      </w:r>
      <w:r>
        <w:t xml:space="preserve">American Academy of Pediatrics,</w:t>
      </w:r>
      <w:r>
        <w:t xml:space="preserve"> </w:t>
      </w:r>
      <w:r>
        <w:rPr>
          <w:i/>
          <w:iCs/>
        </w:rPr>
        <w:t xml:space="preserve">Pediatrics Author Instructions: Figures, Tables, and Supplementary Material</w:t>
      </w:r>
      <w:r>
        <w:t xml:space="preserve">. Verified 2026-07-21.</w:t>
      </w:r>
      <w:r>
        <w:br/>
      </w:r>
      <w:hyperlink r:id="rId135">
        <w:r>
          <w:rPr>
            <w:rStyle w:val="Hyperlink"/>
          </w:rPr>
          <w:t xml:space="preserve">https://publications.aap.org/pediatrics/pages/author-instructions</w:t>
        </w:r>
      </w:hyperlink>
    </w:p>
    <w:p>
      <w:pPr>
        <w:pStyle w:val="BodyText"/>
      </w:pPr>
      <w:r>
        <w:rPr>
          <w:b/>
          <w:bCs/>
        </w:rPr>
        <w:t xml:space="preserve">[S8]</w:t>
      </w:r>
      <w:r>
        <w:t xml:space="preserve"> </w:t>
      </w:r>
      <w:r>
        <w:t xml:space="preserve">Creative Commons,</w:t>
      </w:r>
      <w:r>
        <w:t xml:space="preserve"> </w:t>
      </w:r>
      <w:r>
        <w:rPr>
          <w:i/>
          <w:iCs/>
        </w:rPr>
        <w:t xml:space="preserve">Attribution 4.0 International</w:t>
      </w:r>
      <w:r>
        <w:t xml:space="preserve">. Verified 2026-07-21.</w:t>
      </w:r>
      <w:r>
        <w:br/>
      </w:r>
      <w:hyperlink r:id="rId136">
        <w:r>
          <w:rPr>
            <w:rStyle w:val="Hyperlink"/>
          </w:rPr>
          <w:t xml:space="preserve">https://creativecommons.org/licenses/by/4.0/</w:t>
        </w:r>
      </w:hyperlink>
    </w:p>
    <w:p>
      <w:pPr>
        <w:pStyle w:val="BodyText"/>
      </w:pPr>
      <w:r>
        <w:rPr>
          <w:b/>
          <w:bCs/>
        </w:rPr>
        <w:t xml:space="preserve">[S9]</w:t>
      </w:r>
      <w:r>
        <w:t xml:space="preserve"> </w:t>
      </w:r>
      <w:r>
        <w:t xml:space="preserve">Creative Commons,</w:t>
      </w:r>
      <w:r>
        <w:t xml:space="preserve"> </w:t>
      </w:r>
      <w:r>
        <w:rPr>
          <w:i/>
          <w:iCs/>
        </w:rPr>
        <w:t xml:space="preserve">Attribution-NonCommercial 4.0 International</w:t>
      </w:r>
      <w:r>
        <w:t xml:space="preserve">. Verified 2026-07-21.</w:t>
      </w:r>
      <w:r>
        <w:br/>
      </w:r>
      <w:hyperlink r:id="rId137">
        <w:r>
          <w:rPr>
            <w:rStyle w:val="Hyperlink"/>
          </w:rPr>
          <w:t xml:space="preserve">https://creativecommons.org/licenses/by-nc/4.0/</w:t>
        </w:r>
      </w:hyperlink>
    </w:p>
    <w:p>
      <w:pPr>
        <w:pStyle w:val="BodyText"/>
      </w:pPr>
      <w:r>
        <w:rPr>
          <w:b/>
          <w:bCs/>
        </w:rPr>
        <w:t xml:space="preserve">[S10]</w:t>
      </w:r>
      <w:r>
        <w:t xml:space="preserve"> </w:t>
      </w:r>
      <w:r>
        <w:t xml:space="preserve">National Library of Medicine,</w:t>
      </w:r>
      <w:r>
        <w:t xml:space="preserve"> </w:t>
      </w:r>
      <w:r>
        <w:rPr>
          <w:i/>
          <w:iCs/>
        </w:rPr>
        <w:t xml:space="preserve">PMC Copyright Notice</w:t>
      </w:r>
      <w:r>
        <w:t xml:space="preserve"> </w:t>
      </w:r>
      <w:r>
        <w:t xml:space="preserve">and</w:t>
      </w:r>
      <w:r>
        <w:t xml:space="preserve"> </w:t>
      </w:r>
      <w:r>
        <w:rPr>
          <w:i/>
          <w:iCs/>
        </w:rPr>
        <w:t xml:space="preserve">PMC Open Access Subset</w:t>
      </w:r>
      <w:r>
        <w:t xml:space="preserve">. Verified 2026-07-21.</w:t>
      </w:r>
      <w:r>
        <w:br/>
      </w:r>
      <w:hyperlink r:id="rId138">
        <w:r>
          <w:rPr>
            <w:rStyle w:val="Hyperlink"/>
          </w:rPr>
          <w:t xml:space="preserve">https://pmc.ncbi.nlm.nih.gov/about/copyright/</w:t>
        </w:r>
      </w:hyperlink>
      <w:r>
        <w:br/>
      </w:r>
      <w:hyperlink r:id="rId139">
        <w:r>
          <w:rPr>
            <w:rStyle w:val="Hyperlink"/>
          </w:rPr>
          <w:t xml:space="preserve">https://pmc.ncbi.nlm.nih.gov/tools/openftlist/</w:t>
        </w:r>
      </w:hyperlink>
    </w:p>
    <w:p>
      <w:pPr>
        <w:pStyle w:val="BodyText"/>
      </w:pPr>
      <w:r>
        <w:rPr>
          <w:b/>
          <w:bCs/>
        </w:rPr>
        <w:t xml:space="preserve">[S11]</w:t>
      </w:r>
      <w:r>
        <w:t xml:space="preserve"> </w:t>
      </w:r>
      <w:r>
        <w:t xml:space="preserve">U.S. Patent and Trademark Office,</w:t>
      </w:r>
      <w:r>
        <w:t xml:space="preserve"> </w:t>
      </w:r>
      <w:r>
        <w:rPr>
          <w:i/>
          <w:iCs/>
        </w:rPr>
        <w:t xml:space="preserve">Trademark Basics</w:t>
      </w:r>
      <w:r>
        <w:t xml:space="preserve">. Verified 2026-07-21.</w:t>
      </w:r>
      <w:r>
        <w:br/>
      </w:r>
      <w:hyperlink r:id="rId140">
        <w:r>
          <w:rPr>
            <w:rStyle w:val="Hyperlink"/>
          </w:rPr>
          <w:t xml:space="preserve">https://www.uspto.gov/trademarks/basics</w:t>
        </w:r>
      </w:hyperlink>
    </w:p>
    <w:p>
      <w:pPr>
        <w:pStyle w:val="BodyText"/>
      </w:pPr>
      <w:r>
        <w:rPr>
          <w:b/>
          <w:bCs/>
        </w:rPr>
        <w:t xml:space="preserve">[S12]</w:t>
      </w:r>
      <w:r>
        <w:t xml:space="preserve"> </w:t>
      </w:r>
      <w:r>
        <w:t xml:space="preserve">U.S. Patent and Trademark Office,</w:t>
      </w:r>
      <w:r>
        <w:t xml:space="preserve"> </w:t>
      </w:r>
      <w:r>
        <w:rPr>
          <w:i/>
          <w:iCs/>
        </w:rPr>
        <w:t xml:space="preserve">Patent Essentials</w:t>
      </w:r>
      <w:r>
        <w:t xml:space="preserve">. Verified 2026-07-21.</w:t>
      </w:r>
      <w:r>
        <w:br/>
      </w:r>
      <w:hyperlink r:id="rId141">
        <w:r>
          <w:rPr>
            <w:rStyle w:val="Hyperlink"/>
          </w:rPr>
          <w:t xml:space="preserve">https://www.uspto.gov/patents/basics/essentials</w:t>
        </w:r>
      </w:hyperlink>
    </w:p>
    <w:p>
      <w:pPr>
        <w:pStyle w:val="BodyText"/>
      </w:pPr>
      <w:r>
        <w:rPr>
          <w:b/>
          <w:bCs/>
        </w:rPr>
        <w:t xml:space="preserve">[S13]</w:t>
      </w:r>
      <w:r>
        <w:t xml:space="preserve"> </w:t>
      </w:r>
      <w:r>
        <w:t xml:space="preserve">EUR-Lex,</w:t>
      </w:r>
      <w:r>
        <w:t xml:space="preserve"> </w:t>
      </w:r>
      <w:r>
        <w:rPr>
          <w:i/>
          <w:iCs/>
        </w:rPr>
        <w:t xml:space="preserve">Directive 96/9/EC on the Legal Protection of Databases</w:t>
      </w:r>
      <w:r>
        <w:t xml:space="preserve">. Verified 2026-07-21.</w:t>
      </w:r>
      <w:r>
        <w:br/>
      </w:r>
      <w:hyperlink r:id="rId142">
        <w:r>
          <w:rPr>
            <w:rStyle w:val="Hyperlink"/>
          </w:rPr>
          <w:t xml:space="preserve">https://eur-lex.europa.eu/legal-content/en/LSU/?uri=CELEX:31996L0009</w:t>
        </w:r>
      </w:hyperlink>
    </w:p>
    <w:p>
      <w:pPr>
        <w:pStyle w:val="BodyText"/>
      </w:pPr>
      <w:r>
        <w:rPr>
          <w:b/>
          <w:bCs/>
        </w:rPr>
        <w:t xml:space="preserve">[S14]</w:t>
      </w:r>
      <w:r>
        <w:t xml:space="preserve"> </w:t>
      </w:r>
      <w:r>
        <w:t xml:space="preserve">U.S. Copyright Office, 17 U.S.C. § 105,</w:t>
      </w:r>
      <w:r>
        <w:t xml:space="preserve"> </w:t>
      </w:r>
      <w:r>
        <w:rPr>
          <w:i/>
          <w:iCs/>
        </w:rPr>
        <w:t xml:space="preserve">United States Government Works</w:t>
      </w:r>
      <w:r>
        <w:t xml:space="preserve">. Verified 2026-07-21.</w:t>
      </w:r>
      <w:r>
        <w:br/>
      </w:r>
      <w:hyperlink r:id="rId129">
        <w:r>
          <w:rPr>
            <w:rStyle w:val="Hyperlink"/>
          </w:rPr>
          <w:t xml:space="preserve">https://www.copyright.gov/title17/92chap1.html</w:t>
        </w:r>
      </w:hyperlink>
    </w:p>
    <w:p>
      <w:pPr>
        <w:pStyle w:val="BodyText"/>
      </w:pPr>
      <w:r>
        <w:rPr>
          <w:b/>
          <w:bCs/>
        </w:rPr>
        <w:t xml:space="preserve">[S15]</w:t>
      </w:r>
      <w:r>
        <w:t xml:space="preserve"> </w:t>
      </w:r>
      <w:r>
        <w:t xml:space="preserve">U.S. Food and Drug Administration,</w:t>
      </w:r>
      <w:r>
        <w:t xml:space="preserve"> </w:t>
      </w:r>
      <w:r>
        <w:rPr>
          <w:i/>
          <w:iCs/>
        </w:rPr>
        <w:t xml:space="preserve">Clinical Decision Support Software: Final Guidance</w:t>
      </w:r>
      <w:r>
        <w:t xml:space="preserve">, January 2026. Verified 2026-07-21.</w:t>
      </w:r>
      <w:r>
        <w:br/>
      </w:r>
      <w:hyperlink r:id="rId143">
        <w:r>
          <w:rPr>
            <w:rStyle w:val="Hyperlink"/>
          </w:rPr>
          <w:t xml:space="preserve">https://www.fda.gov/regulatory-information/search-fda-guidance-documents/clinical-decision-support-software</w:t>
        </w:r>
      </w:hyperlink>
    </w:p>
    <w:p>
      <w:r>
        <w:pict>
          <v:rect style="width:0;height:1.5pt" o:hralign="center" o:hrstd="t" o:hr="t"/>
        </w:pict>
      </w:r>
    </w:p>
    <w:bookmarkEnd w:id="144"/>
    <w:bookmarkStart w:id="145" w:name="appendix-c--interpretation-cautions"/>
    <w:p>
      <w:pPr>
        <w:pStyle w:val="Heading2"/>
        <w:keepNext/>
        <w:keepLines/>
      </w:pPr>
      <w:r>
        <w:t xml:space="preserve">Appendix C — Interpretation cautions</w:t>
      </w:r>
    </w:p>
    <w:p>
      <w:pPr>
        <w:pStyle w:val="Compact"/>
        <w:numPr>
          <w:ilvl w:val="0"/>
          <w:numId w:val="1076"/>
        </w:numPr>
      </w:pPr>
      <w:r>
        <w:t xml:space="preserve">This specification primarily reflects U.S. law and conservative product governance.</w:t>
      </w:r>
    </w:p>
    <w:p>
      <w:pPr>
        <w:pStyle w:val="Compact"/>
        <w:numPr>
          <w:ilvl w:val="0"/>
          <w:numId w:val="1076"/>
        </w:numPr>
      </w:pPr>
      <w:r>
        <w:t xml:space="preserve">Contract enforceability, fair use, patent scope, trademark use, and database rights are fact- and jurisdiction-specific.</w:t>
      </w:r>
    </w:p>
    <w:p>
      <w:pPr>
        <w:pStyle w:val="Compact"/>
        <w:numPr>
          <w:ilvl w:val="0"/>
          <w:numId w:val="1076"/>
        </w:numPr>
      </w:pPr>
      <w:r>
        <w:t xml:space="preserve">A source’s terms can change; the snapshot governing actual access matters.</w:t>
      </w:r>
    </w:p>
    <w:p>
      <w:pPr>
        <w:pStyle w:val="Compact"/>
        <w:numPr>
          <w:ilvl w:val="0"/>
          <w:numId w:val="1076"/>
        </w:numPr>
      </w:pPr>
      <w:r>
        <w:t xml:space="preserve">A license may exclude third-party figures, tables, supplements, datasets, or instruments.</w:t>
      </w:r>
    </w:p>
    <w:p>
      <w:pPr>
        <w:pStyle w:val="Compact"/>
        <w:numPr>
          <w:ilvl w:val="0"/>
          <w:numId w:val="1076"/>
        </w:numPr>
      </w:pPr>
      <w:r>
        <w:t xml:space="preserve">Medical knowledge reuse does not establish clinical validity or regulatory compliance.</w:t>
      </w:r>
    </w:p>
    <w:p>
      <w:pPr>
        <w:pStyle w:val="Compact"/>
        <w:numPr>
          <w:ilvl w:val="0"/>
          <w:numId w:val="1076"/>
        </w:numPr>
      </w:pPr>
      <w:r>
        <w:t xml:space="preserve">Legal clearance does not establish that a rule is clinically correct, safe, or appropriately validated.</w:t>
      </w:r>
    </w:p>
    <w:p>
      <w:pPr>
        <w:pStyle w:val="Compact"/>
        <w:numPr>
          <w:ilvl w:val="0"/>
          <w:numId w:val="1076"/>
        </w:numPr>
      </w:pPr>
      <w:r>
        <w:t xml:space="preserve">Clinical authority does not establish product reuse rights.</w:t>
      </w:r>
    </w:p>
    <w:bookmarkEnd w:id="145"/>
    <w:bookmarkEnd w:id="146"/>
    <w:sectPr w:rsidR="00FC693F" w:rsidRPr="0006063C" w:rsidSect="00034616">
      <w:headerReference w:type="default" r:id="rId9"/>
      <w:footerReference w:type="default" r:id="rId10"/>
      <w:pgSz w:h="15840" w:w="12240"/>
      <w:pgMar w:bottom="979" w:footer="432" w:gutter="0" w:header="403" w:left="1037" w:right="1037"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Liberation Sans" w:hAnsi="Liberation Sans"/>
        <w:color w:val="5A5F64"/>
        <w:sz w:val="15"/>
      </w:rPr>
      <w:t>Internal implementation specification  |  v1.0.0  |  Verified 2026-07-21</w:t>
    </w:r>
  </w:p>
  <w:p>
    <w:pPr>
      <w:jc w:val="right"/>
    </w:pPr>
    <w:r>
      <w:rPr>
        <w:rFonts w:ascii="Liberation Sans" w:hAnsi="Liberation Sans"/>
        <w:color w:val="5A5F64"/>
        <w:sz w:val="15"/>
      </w:rPr>
      <w:t xml:space="preserve">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7C5D3"/>
      </w:pBdr>
    </w:pPr>
    <w:r>
      <w:rPr>
        <w:rFonts w:ascii="Liberation Sans" w:hAnsi="Liberation Sans"/>
        <w:b/>
        <w:color w:val="525D69"/>
        <w:sz w:val="15"/>
      </w:rPr>
      <w:t>RESEARCH FOUNDRY  |  SOURCE REUSE &amp; RIGHTS GOVERNANCE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2" w:lineRule="auto"/>
    </w:pPr>
    <w:rPr>
      <w:rFonts w:ascii="Liberation Sans" w:hAnsi="Liberation Sans"/>
      <w:b w:val="0"/>
      <w:color w:val="20262D"/>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Liberation Sans" w:asciiTheme="majorHAnsi" w:cstheme="majorBidi" w:eastAsiaTheme="majorEastAsia" w:hAnsi="Liberation Sans" w:hAnsiTheme="majorHAnsi"/>
      <w:b/>
      <w:bCs/>
      <w:color w:val="123156"/>
      <w:sz w:val="32"/>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Liberation Sans" w:asciiTheme="majorHAnsi" w:cstheme="majorBidi" w:eastAsiaTheme="majorEastAsia" w:hAnsi="Liberation Sans" w:hAnsiTheme="majorHAnsi"/>
      <w:b/>
      <w:bCs/>
      <w:color w:val="204E79"/>
      <w:sz w:val="25"/>
      <w:szCs w:val="26"/>
    </w:rPr>
  </w:style>
  <w:style w:styleId="Heading3" w:type="paragraph">
    <w:name w:val="heading 3"/>
    <w:basedOn w:val="Normal"/>
    <w:next w:val="Normal"/>
    <w:link w:val="Heading3Char"/>
    <w:uiPriority w:val="9"/>
    <w:unhideWhenUsed/>
    <w:qFormat/>
    <w:rsid w:val="00FC693F"/>
    <w:pPr>
      <w:keepNext/>
      <w:keepLines/>
      <w:spacing w:after="60" w:before="140"/>
      <w:outlineLvl w:val="2"/>
    </w:pPr>
    <w:rPr>
      <w:rFonts w:ascii="Liberation Sans" w:asciiTheme="majorHAnsi" w:cstheme="majorBidi" w:eastAsiaTheme="majorEastAsia" w:hAnsi="Liberation Sans" w:hAnsiTheme="majorHAnsi"/>
      <w:b/>
      <w:bCs/>
      <w:color w:val="324B5F"/>
      <w:sz w:val="21"/>
    </w:rPr>
  </w:style>
  <w:style w:styleId="Heading4" w:type="paragraph">
    <w:name w:val="heading 4"/>
    <w:basedOn w:val="Normal"/>
    <w:next w:val="Normal"/>
    <w:link w:val="Heading4Char"/>
    <w:uiPriority w:val="9"/>
    <w:semiHidden/>
    <w:unhideWhenUsed/>
    <w:qFormat/>
    <w:rsid w:val="00FC693F"/>
    <w:pPr>
      <w:keepNext/>
      <w:keepLines/>
      <w:spacing w:after="40" w:before="120"/>
      <w:outlineLvl w:val="3"/>
    </w:pPr>
    <w:rPr>
      <w:rFonts w:ascii="Liberation Sans" w:asciiTheme="majorHAnsi" w:cstheme="majorBidi" w:eastAsiaTheme="majorEastAsia" w:hAnsi="Liberation Sans" w:hAnsiTheme="majorHAnsi"/>
      <w:b/>
      <w:bCs/>
      <w:i/>
      <w:iCs/>
      <w:color w:val="324B5F"/>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80" w:line="240" w:lineRule="auto"/>
      <w:contextualSpacing/>
    </w:pPr>
    <w:rPr>
      <w:rFonts w:ascii="Liberation Sans" w:asciiTheme="majorHAnsi" w:cstheme="majorBidi" w:eastAsiaTheme="majorEastAsia" w:hAnsi="Liberation Sans" w:hAnsiTheme="majorHAnsi"/>
      <w:b/>
      <w:color w:val="123156"/>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Liberation Sans" w:hAnsi="Liberation Sans"/>
      <w:b w:val="0"/>
      <w:bCs/>
      <w:color w:val="50555A"/>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7" Type="http://schemas.openxmlformats.org/officeDocument/2006/relationships/hyperlink" Target="https://creativecommons.org/licenses/by-nc/4.0/" TargetMode="External"/><Relationship Id="rId136" Type="http://schemas.openxmlformats.org/officeDocument/2006/relationships/hyperlink" Target="https://creativecommons.org/licenses/by/4.0/" TargetMode="External"/><Relationship Id="rId142" Type="http://schemas.openxmlformats.org/officeDocument/2006/relationships/hyperlink" Target="https://eur-lex.europa.eu/legal-content/en/LSU/?uri=CELEX:31996L0009" TargetMode="External"/><Relationship Id="rId138" Type="http://schemas.openxmlformats.org/officeDocument/2006/relationships/hyperlink" Target="https://pmc.ncbi.nlm.nih.gov/about/copyright/" TargetMode="External"/><Relationship Id="rId139" Type="http://schemas.openxmlformats.org/officeDocument/2006/relationships/hyperlink" Target="https://pmc.ncbi.nlm.nih.gov/tools/openftlist/" TargetMode="External"/><Relationship Id="rId134" Type="http://schemas.openxmlformats.org/officeDocument/2006/relationships/hyperlink" Target="https://publications.aap.org/pages/licensing-permissions" TargetMode="External"/><Relationship Id="rId133" Type="http://schemas.openxmlformats.org/officeDocument/2006/relationships/hyperlink" Target="https://publications.aap.org/pediatriccare/pages/terms" TargetMode="External"/><Relationship Id="rId135" Type="http://schemas.openxmlformats.org/officeDocument/2006/relationships/hyperlink" Target="https://publications.aap.org/pediatrics/pages/author-instructions" TargetMode="External"/><Relationship Id="rId132" Type="http://schemas.openxmlformats.org/officeDocument/2006/relationships/hyperlink" Target="https://www.copyright.gov/fair-use/more-info.html" TargetMode="External"/><Relationship Id="rId130" Type="http://schemas.openxmlformats.org/officeDocument/2006/relationships/hyperlink" Target="https://www.copyright.gov/help/faq/faq-protect.html" TargetMode="External"/><Relationship Id="rId131" Type="http://schemas.openxmlformats.org/officeDocument/2006/relationships/hyperlink" Target="https://www.copyright.gov/register/tx-databases.html" TargetMode="External"/><Relationship Id="rId129" Type="http://schemas.openxmlformats.org/officeDocument/2006/relationships/hyperlink" Target="https://www.copyright.gov/title17/92chap1.html" TargetMode="External"/><Relationship Id="rId143" Type="http://schemas.openxmlformats.org/officeDocument/2006/relationships/hyperlink" Target="https://www.fda.gov/regulatory-information/search-fda-guidance-documents/clinical-decision-support-software" TargetMode="External"/><Relationship Id="rId141" Type="http://schemas.openxmlformats.org/officeDocument/2006/relationships/hyperlink" Target="https://www.uspto.gov/patents/basics/essentials" TargetMode="External"/><Relationship Id="rId140" Type="http://schemas.openxmlformats.org/officeDocument/2006/relationships/hyperlink" Target="https://www.uspto.gov/trademarks/basic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37" Type="http://schemas.openxmlformats.org/officeDocument/2006/relationships/hyperlink" Target="https://creativecommons.org/licenses/by-nc/4.0/" TargetMode="External"/><Relationship Id="rId136" Type="http://schemas.openxmlformats.org/officeDocument/2006/relationships/hyperlink" Target="https://creativecommons.org/licenses/by/4.0/" TargetMode="External"/><Relationship Id="rId142" Type="http://schemas.openxmlformats.org/officeDocument/2006/relationships/hyperlink" Target="https://eur-lex.europa.eu/legal-content/en/LSU/?uri=CELEX:31996L0009" TargetMode="External"/><Relationship Id="rId138" Type="http://schemas.openxmlformats.org/officeDocument/2006/relationships/hyperlink" Target="https://pmc.ncbi.nlm.nih.gov/about/copyright/" TargetMode="External"/><Relationship Id="rId139" Type="http://schemas.openxmlformats.org/officeDocument/2006/relationships/hyperlink" Target="https://pmc.ncbi.nlm.nih.gov/tools/openftlist/" TargetMode="External"/><Relationship Id="rId134" Type="http://schemas.openxmlformats.org/officeDocument/2006/relationships/hyperlink" Target="https://publications.aap.org/pages/licensing-permissions" TargetMode="External"/><Relationship Id="rId133" Type="http://schemas.openxmlformats.org/officeDocument/2006/relationships/hyperlink" Target="https://publications.aap.org/pediatriccare/pages/terms" TargetMode="External"/><Relationship Id="rId135" Type="http://schemas.openxmlformats.org/officeDocument/2006/relationships/hyperlink" Target="https://publications.aap.org/pediatrics/pages/author-instructions" TargetMode="External"/><Relationship Id="rId132" Type="http://schemas.openxmlformats.org/officeDocument/2006/relationships/hyperlink" Target="https://www.copyright.gov/fair-use/more-info.html" TargetMode="External"/><Relationship Id="rId130" Type="http://schemas.openxmlformats.org/officeDocument/2006/relationships/hyperlink" Target="https://www.copyright.gov/help/faq/faq-protect.html" TargetMode="External"/><Relationship Id="rId131" Type="http://schemas.openxmlformats.org/officeDocument/2006/relationships/hyperlink" Target="https://www.copyright.gov/register/tx-databases.html" TargetMode="External"/><Relationship Id="rId129" Type="http://schemas.openxmlformats.org/officeDocument/2006/relationships/hyperlink" Target="https://www.copyright.gov/title17/92chap1.html" TargetMode="External"/><Relationship Id="rId143" Type="http://schemas.openxmlformats.org/officeDocument/2006/relationships/hyperlink" Target="https://www.fda.gov/regulatory-information/search-fda-guidance-documents/clinical-decision-support-software" TargetMode="External"/><Relationship Id="rId141" Type="http://schemas.openxmlformats.org/officeDocument/2006/relationships/hyperlink" Target="https://www.uspto.gov/patents/basics/essentials" TargetMode="External"/><Relationship Id="rId140" Type="http://schemas.openxmlformats.org/officeDocument/2006/relationships/hyperlink" Target="https://www.uspto.gov/trademarks/bas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Foundry and Evidence Foundry Source Reuse &amp; Rights Governance Specification</dc:title>
  <dc:creator>Research Foundry Project</dc:creator>
  <cp:keywords>Research Foundry, Evidence Foundry, source reuse, rights, licensing, clinical CDS</cp:keywords>
  <dcterms:created xsi:type="dcterms:W3CDTF">2026-07-21T13:57:22Z</dcterms:created>
  <dcterms:modified xsi:type="dcterms:W3CDTF">2026-07-21T13:57:22Z</dcterms:modified>
  <dc:subject>Source reuse, licensing, copyright, attribution, permissions, and agent governance</dc:subject>
</cp:coreProperties>
</file>

<file path=docProps/custom.xml><?xml version="1.0" encoding="utf-8"?>
<Properties xmlns="http://schemas.openxmlformats.org/officeDocument/2006/custom-properties" xmlns:vt="http://schemas.openxmlformats.org/officeDocument/2006/docPropsVTypes"/>
</file>