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Julian Faubert</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0613u048</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Samarinda, Kalimantan</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081234567890</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faubert@gmail.com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Cara tidak tidur ketika di bench</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10</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01011021010</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Julian Faubert</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0613u048</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Samarinda, Kalimantan</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081234567890</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faubert@gmail.com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Cara tidak tidur ketika di bench</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10</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01011021010</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