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00"/>
        <w:jc w:val="center"/>
      </w:pPr>
      <w:r>
        <w:rPr>
          <w:b/>
          <w:color w:val="1F4D78"/>
          <w:sz w:val="56"/>
        </w:rPr>
        <w:t>Gold Trading Strategy</w:t>
      </w:r>
    </w:p>
    <w:p>
      <w:pPr>
        <w:jc w:val="center"/>
      </w:pPr>
      <w:r>
        <w:rPr>
          <w:color w:val="2E74B5"/>
          <w:sz w:val="32"/>
        </w:rPr>
        <w:t>Chapter-by-Chapter Video Guide and Execution Process</w:t>
      </w:r>
    </w:p>
    <w:p>
      <w:pPr>
        <w:spacing w:before="240"/>
        <w:jc w:val="center"/>
      </w:pPr>
      <w:r>
        <w:rPr>
          <w:i/>
        </w:rPr>
        <w:t>Based on “Gold Trading Strategy Live Explained by @HOLDwithPriyank”</w:t>
        <w:br/>
        <w:t>Satish K Finances • Video duration 55:30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r>
              <w:rPr>
                <w:b/>
                <w:color w:val="1F4D78"/>
              </w:rPr>
              <w:t>Scope and accuracy note</w:t>
              <w:br/>
            </w:r>
            <w:r>
              <w:t>This guide follows the video’s published chapter sequence and preserves the strategy rules, timings, and examples in faithful paraphrase. It is a structured study guide, not a verbatim transcript.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8E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r>
              <w:rPr>
                <w:b/>
                <w:color w:val="1F4D78"/>
              </w:rPr>
              <w:t>Risk warning</w:t>
              <w:br/>
            </w:r>
            <w:r>
              <w:t>Educational material only—not financial or investment advice. Trading gold, futures, crypto-linked tokens, BTC, crude oil, or leveraged products can cause rapid and substantial losses. Verify instrument legality, regulation, fees, liquidity, and tax treatment for your jurisdiction; paper-trade before risking capital.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Quick Strategy 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4680"/>
            <w:shd w:fill="E8EEF5"/>
            <w:vAlign w:val="center"/>
          </w:tcPr>
          <w:p>
            <w:r>
              <w:t>Item</w:t>
            </w:r>
          </w:p>
        </w:tc>
        <w:tc>
          <w:tcPr>
            <w:tcW w:type="dxa" w:w="4680"/>
            <w:shd w:fill="E8EEF5"/>
            <w:vAlign w:val="center"/>
          </w:tcPr>
          <w:p>
            <w:r>
              <w:t>Rule presented in the video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b/>
              </w:rPr>
              <w:t>Chart preparation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t>Use the 15-minute chart to mark the reference session high/low; use the 5-minute chart for entry execution and finer confirmation.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b/>
              </w:rPr>
              <w:t>Asian reference range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t>Mark the Asian-session high and low at about 9:15–9:30 a.m. India time; do not trade inside that session range.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b/>
              </w:rPr>
              <w:t>London entry window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t>11:30 a.m.–2:30 p.m. India time.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b/>
              </w:rPr>
              <w:t>New York entry window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t>4:30 p.m.–7:30 p.m. India time, using the London-session range if it was sideways.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b/>
              </w:rPr>
              <w:t>Location filter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t>Trade only near the marked high or low; do not enter while price is in the middle of the range.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b/>
              </w:rPr>
              <w:t>Core event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t>Classify interaction with the level as a confirmed breakout or a fakeout; do not trust one candle alone.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t>Confirmed upside breakout → long. Rejection/fakeout above the high → short. Mirror the logic at the low.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b/>
              </w:rPr>
              <w:t>Stop-loss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t>Beyond the invalidation swing/high/low, with a small buffer to reduce the chance of a news wick stopping the trade.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b/>
              </w:rPr>
              <w:t>Targets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t>Minimum 1:2 risk-to-reward. Main structural target is the opposite session boundary; breakout projection may use the range height.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b/>
              </w:rPr>
              <w:t>Management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t>At 2R/first target, book at least 60% and move the stop on the remainder to break-even; beginners may book 70–100%.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b/>
              </w:rPr>
              <w:t>Time exit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t>Hold intraday trades up to about 9:30 p.m.; if still awake, at most about 10:00–10:30 p.m., then exit before the next quiet Asian phase.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t>Aim for one carefully selected trade; avoid watching and trading the market 24 hours.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t>Paper-trade 4–5 weeks and collect 20–25 trades before deciding whether the setup suits you.</w:t>
            </w:r>
          </w:p>
        </w:tc>
      </w:tr>
    </w:tbl>
    <w:p>
      <w:pPr>
        <w:pStyle w:val="Heading1"/>
      </w:pPr>
      <w:r>
        <w:t>Execution Process: Exact Sequence</w:t>
      </w:r>
    </w:p>
    <w:p>
      <w:pPr>
        <w:pStyle w:val="ListNumber"/>
      </w:pPr>
      <w:r>
        <w:t>Before the London window, open the 15-minute chart around 11:15 a.m. and mark the Asian-session high and low established by approximately 9:15–9:30 a.m.</w:t>
      </w:r>
    </w:p>
    <w:p>
      <w:pPr>
        <w:pStyle w:val="ListNumber"/>
      </w:pPr>
      <w:r>
        <w:t>Wait until 11:30 a.m. Do nothing while price remains in the middle of the marked range; attention begins only as price approaches or crosses a boundary.</w:t>
      </w:r>
    </w:p>
    <w:p>
      <w:pPr>
        <w:pStyle w:val="ListNumber"/>
      </w:pPr>
      <w:r>
        <w:t>Observe the level interaction. One candle is insufficient: use the following candle(s) to distinguish acceptance beyond the level from rejection back inside.</w:t>
      </w:r>
    </w:p>
    <w:p>
      <w:pPr>
        <w:pStyle w:val="ListNumber"/>
      </w:pPr>
      <w:r>
        <w:t>For a fakeout, switch to the 5-minute chart after confirmation and execute with the entry method you understand (price action, EMA, SMC/FVG/order block, VWAP, or candlestick logic).</w:t>
      </w:r>
    </w:p>
    <w:p>
      <w:pPr>
        <w:pStyle w:val="ListNumber"/>
      </w:pPr>
      <w:r>
        <w:t>Choose entry style: aggressive confirmation below/above the breakout candle’s extreme, or conservative confirmation through a nearby swing low/high (break of structure).</w:t>
      </w:r>
    </w:p>
    <w:p>
      <w:pPr>
        <w:pStyle w:val="ListNumber"/>
      </w:pPr>
      <w:r>
        <w:t>Place the stop beyond the invalidation swing, slightly buffered. Define risk before entering; do not widen the stop after entry.</w:t>
      </w:r>
    </w:p>
    <w:p>
      <w:pPr>
        <w:pStyle w:val="ListNumber"/>
      </w:pPr>
      <w:r>
        <w:t>Set the first target at 2R unless the opposite session boundary is closer; the opposite boundary is the main structural objective. For a breakout, the projected maximum target can equal the reference range height.</w:t>
      </w:r>
    </w:p>
    <w:p>
      <w:pPr>
        <w:pStyle w:val="ListNumber"/>
      </w:pPr>
      <w:r>
        <w:t>At the first target, book at least 60% and move the remaining stop to break-even. Let the remainder attempt the structural target.</w:t>
      </w:r>
    </w:p>
    <w:p>
      <w:pPr>
        <w:pStyle w:val="ListNumber"/>
      </w:pPr>
      <w:r>
        <w:t>If no Asian-range opportunity forms, mark the London high/low through 2:30 p.m. and repeat the same breakout/fakeout process in the 4:30–7:30 p.m. New York window.</w:t>
      </w:r>
    </w:p>
    <w:p>
      <w:pPr>
        <w:pStyle w:val="ListNumber"/>
      </w:pPr>
      <w:r>
        <w:t>Close remaining intraday exposure by about 9:30 p.m. (absolute late limit stated: roughly 10:00–10:30 p.m.). Record the trade and stop trading for the day.</w:t>
      </w:r>
    </w:p>
    <w:p>
      <w:pPr>
        <w:pStyle w:val="Heading1"/>
      </w:pPr>
      <w:r>
        <w:t>Decision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r>
              <w:rPr>
                <w:b/>
                <w:color w:val="1F4D78"/>
              </w:rPr>
              <w:t>Fakeout</w:t>
              <w:br/>
            </w:r>
            <w:r>
              <w:t>Price pierces a marked boundary but closes back inside it. The next candle provides confirmation; the video repeatedly warns against acting on the first candle alone.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r>
              <w:rPr>
                <w:b/>
                <w:color w:val="1F4D78"/>
              </w:rPr>
              <w:t>Confirmed breakout</w:t>
              <w:br/>
            </w:r>
            <w:r>
              <w:t>A candle closes beyond the level; the next candle remains accepted beyond it and trades above/below the breakout candle’s extreme. The next one or two candles should not close back through the level.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CE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r>
              <w:rPr>
                <w:b/>
                <w:color w:val="1F4D78"/>
              </w:rPr>
              <w:t>No trade</w:t>
              <w:br/>
            </w:r>
            <w:r>
              <w:t>Price is in the middle of the range, the entry window has passed, confirmation is unclear, the session has already made an unusually large move, or the trader cannot define a clean stop and 1:2 opportunity.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Chapter Guide</w:t>
      </w:r>
    </w:p>
    <w:p>
      <w:pPr>
        <w:pStyle w:val="Heading2"/>
      </w:pPr>
      <w:r>
        <w:t>1. Teaser</w:t>
      </w:r>
      <w:r>
        <w:rPr>
          <w:i/>
        </w:rPr>
        <w:t xml:space="preserve">  [00:00]</w:t>
      </w:r>
    </w:p>
    <w:p>
      <w:r>
        <w:t>The promise is a simple 1:2 framework, one trade a day, and chart examples intended to show the concept on real market days rather than only perfect historical selections.</w:t>
      </w:r>
    </w:p>
    <w:p>
      <w:pPr>
        <w:pStyle w:val="Heading2"/>
      </w:pPr>
      <w:r>
        <w:t>2. Introduction</w:t>
      </w:r>
      <w:r>
        <w:rPr>
          <w:i/>
        </w:rPr>
        <w:t xml:space="preserve">  [00:21]</w:t>
      </w:r>
    </w:p>
    <w:p>
      <w:r>
        <w:t>The session is framed for beginners: how to plan gold entries, exits, and trade management.</w:t>
      </w:r>
    </w:p>
    <w:p>
      <w:pPr>
        <w:pStyle w:val="Heading2"/>
      </w:pPr>
      <w:r>
        <w:t>3. Can We Trade Gold in Today’s Time?</w:t>
      </w:r>
      <w:r>
        <w:rPr>
          <w:i/>
        </w:rPr>
        <w:t xml:space="preserve">  [00:45]</w:t>
      </w:r>
    </w:p>
    <w:p>
      <w:r>
        <w:t>The speakers distinguish trading/buying gold from policy efforts to reduce physical imports. Instrument choice and regulatory context still matter.</w:t>
      </w:r>
    </w:p>
    <w:p>
      <w:pPr>
        <w:pStyle w:val="Heading2"/>
      </w:pPr>
      <w:r>
        <w:t>4. Government Bonds</w:t>
      </w:r>
      <w:r>
        <w:rPr>
          <w:i/>
        </w:rPr>
        <w:t xml:space="preserve">  [01:15]</w:t>
      </w:r>
    </w:p>
    <w:p>
      <w:r>
        <w:t>Government gold-linked bonds are discussed as an alternative to physical imports, with fixed-return and appreciation concepts mentioned. Availability and terms must be independently verified.</w:t>
      </w:r>
    </w:p>
    <w:p>
      <w:pPr>
        <w:pStyle w:val="Heading2"/>
      </w:pPr>
      <w:r>
        <w:t>5. Gold ETFs</w:t>
      </w:r>
      <w:r>
        <w:rPr>
          <w:i/>
        </w:rPr>
        <w:t xml:space="preserve">  [01:36]</w:t>
      </w:r>
    </w:p>
    <w:p>
      <w:r>
        <w:t>ETFs and a gold-linked token are discussed as access routes. The speaker warns that crypto tokens/exchanges may be legal to use yet unregulated, leaving counterparty and recovery risk.</w:t>
      </w:r>
    </w:p>
    <w:p>
      <w:pPr>
        <w:pStyle w:val="Heading2"/>
      </w:pPr>
      <w:r>
        <w:t>6. How Gold Became Volatile</w:t>
      </w:r>
      <w:r>
        <w:rPr>
          <w:i/>
        </w:rPr>
        <w:t xml:space="preserve">  [02:52]</w:t>
      </w:r>
    </w:p>
    <w:p>
      <w:r>
        <w:t>Geopolitical uncertainty and wars are presented as drivers of higher volatility since roughly 2022–2024.</w:t>
      </w:r>
    </w:p>
    <w:p>
      <w:pPr>
        <w:pStyle w:val="Heading2"/>
      </w:pPr>
      <w:r>
        <w:t>7. Is Gold a Safe Asset Right Now?</w:t>
      </w:r>
      <w:r>
        <w:rPr>
          <w:i/>
        </w:rPr>
        <w:t xml:space="preserve">  [04:04]</w:t>
      </w:r>
    </w:p>
    <w:p>
      <w:r>
        <w:t>Gold is described as a long-lived safe-haven asset, alongside land, while acknowledging that market conditions change.</w:t>
      </w:r>
    </w:p>
    <w:p>
      <w:pPr>
        <w:pStyle w:val="Heading2"/>
      </w:pPr>
      <w:r>
        <w:t>8. How to Start Trading Gold</w:t>
      </w:r>
      <w:r>
        <w:rPr>
          <w:i/>
        </w:rPr>
        <w:t xml:space="preserve">  [04:30]</w:t>
      </w:r>
    </w:p>
    <w:p>
      <w:r>
        <w:t>The beginner setup is price-action based. It requires understanding a few candles and, most importantly, following fixed session timings rather than memorizing many patterns.</w:t>
      </w:r>
    </w:p>
    <w:p>
      <w:pPr>
        <w:pStyle w:val="Heading2"/>
      </w:pPr>
      <w:r>
        <w:t>9. The Problem of Overtrading</w:t>
      </w:r>
      <w:r>
        <w:rPr>
          <w:i/>
        </w:rPr>
        <w:t xml:space="preserve">  [05:20]</w:t>
      </w:r>
    </w:p>
    <w:p>
      <w:r>
        <w:t>A 24-hour market tempts traders to stare at charts and trade repeatedly. Brokerage and poor decisions can turn a flat gross P&amp;L into a net loss.</w:t>
      </w:r>
    </w:p>
    <w:p>
      <w:pPr>
        <w:pStyle w:val="Heading2"/>
      </w:pPr>
      <w:r>
        <w:t>10. Important Things to Remember</w:t>
      </w:r>
      <w:r>
        <w:rPr>
          <w:i/>
        </w:rPr>
        <w:t xml:space="preserve">  [07:02]</w:t>
      </w:r>
    </w:p>
    <w:p>
      <w:r>
        <w:t>Work on India time, restrict participation to planned windows, and prioritize timing and discipline over constant activity.</w:t>
      </w:r>
    </w:p>
    <w:p>
      <w:pPr>
        <w:pStyle w:val="Heading2"/>
      </w:pPr>
      <w:r>
        <w:t>11. Understanding Different Trading Sessions</w:t>
      </w:r>
      <w:r>
        <w:rPr>
          <w:i/>
        </w:rPr>
        <w:t xml:space="preserve">  [07:54]</w:t>
      </w:r>
    </w:p>
    <w:p>
      <w:r>
        <w:t>Asian range ends around 9:30 a.m.; London focus is 11:30 a.m.–2:30 p.m.; New York focus is 4:30–7:30 p.m. The video claims these six hours contain much of the day’s volume and movement.</w:t>
      </w:r>
    </w:p>
    <w:p>
      <w:pPr>
        <w:pStyle w:val="Heading2"/>
      </w:pPr>
      <w:r>
        <w:t>12. Breakout vs Fakeout</w:t>
      </w:r>
      <w:r>
        <w:rPr>
          <w:i/>
        </w:rPr>
        <w:t xml:space="preserve">  [10:34]</w:t>
      </w:r>
    </w:p>
    <w:p>
      <w:r>
        <w:t>A breakout accepts price beyond a key level. A fakeout briefly breaches it and returns inside, trapping traders who entered immediately.</w:t>
      </w:r>
    </w:p>
    <w:p>
      <w:pPr>
        <w:pStyle w:val="Heading2"/>
      </w:pPr>
      <w:r>
        <w:t>13. Where to Draw Key Levels</w:t>
      </w:r>
      <w:r>
        <w:rPr>
          <w:i/>
        </w:rPr>
        <w:t xml:space="preserve">  [16:18]</w:t>
      </w:r>
    </w:p>
    <w:p>
      <w:r>
        <w:t>Use objective session highs and lows instead of subjective support/resistance. These levels become the day’s decision points.</w:t>
      </w:r>
    </w:p>
    <w:p>
      <w:pPr>
        <w:pStyle w:val="Heading2"/>
      </w:pPr>
      <w:r>
        <w:t>14. When to Mark Highs and Lows?</w:t>
      </w:r>
      <w:r>
        <w:rPr>
          <w:i/>
        </w:rPr>
        <w:t xml:space="preserve">  [19:01]</w:t>
      </w:r>
    </w:p>
    <w:p>
      <w:r>
        <w:t>On the 15-minute chart, mark the Asian high/low around the 9:15–9:30 a.m. cutoff, then wait until 11:30 a.m. before seeking a London-window entry.</w:t>
      </w:r>
    </w:p>
    <w:p>
      <w:pPr>
        <w:pStyle w:val="Heading2"/>
      </w:pPr>
      <w:r>
        <w:t>15. Which Strategy Should You Use?</w:t>
      </w:r>
      <w:r>
        <w:rPr>
          <w:i/>
        </w:rPr>
        <w:t xml:space="preserve">  [21:03]</w:t>
      </w:r>
    </w:p>
    <w:p>
      <w:r>
        <w:t>The session framework is an overlay, not a compulsory indicator system. Entry confirmation may come from EMA, SMC/FVG/order blocks, VWAP, candlesticks, or another method the trader already understands.</w:t>
      </w:r>
    </w:p>
    <w:p>
      <w:pPr>
        <w:pStyle w:val="Heading2"/>
      </w:pPr>
      <w:r>
        <w:t>16. Live Trading Session</w:t>
      </w:r>
      <w:r>
        <w:rPr>
          <w:i/>
        </w:rPr>
        <w:t xml:space="preserve">  [21:34]</w:t>
      </w:r>
    </w:p>
    <w:p>
      <w:r>
        <w:t>The example waits as price reaches the Asian high. A valid breakout can be traded long; a fakeout can be traded short. The opposite range edge is the main target, with at least 1:2 risk-to-reward.</w:t>
      </w:r>
    </w:p>
    <w:p>
      <w:pPr>
        <w:pStyle w:val="Heading2"/>
      </w:pPr>
      <w:r>
        <w:t>17. Different Entry Techniques</w:t>
      </w:r>
      <w:r>
        <w:rPr>
          <w:i/>
        </w:rPr>
        <w:t xml:space="preserve">  [24:50]</w:t>
      </w:r>
    </w:p>
    <w:p>
      <w:r>
        <w:t>Two styles are separated: aggressive entry after a quicker candle confirmation and conservative entry after a swing break/break of structure.</w:t>
      </w:r>
    </w:p>
    <w:p>
      <w:pPr>
        <w:pStyle w:val="Heading2"/>
      </w:pPr>
      <w:r>
        <w:t>18. Aggressive Trade Entry</w:t>
      </w:r>
      <w:r>
        <w:rPr>
          <w:i/>
        </w:rPr>
        <w:t xml:space="preserve">  [25:24]</w:t>
      </w:r>
    </w:p>
    <w:p>
      <w:r>
        <w:t>For a bearish fakeout above a level, mark the low of the breakout candle and enter only after another candle closes below it. Do not enter merely because price wicked through the level. Mirror for bullish setups.</w:t>
      </w:r>
    </w:p>
    <w:p>
      <w:pPr>
        <w:pStyle w:val="Heading2"/>
      </w:pPr>
      <w:r>
        <w:t>19. Conservative Trade Entry</w:t>
      </w:r>
      <w:r>
        <w:rPr>
          <w:i/>
        </w:rPr>
        <w:t xml:space="preserve">  [26:25]</w:t>
      </w:r>
    </w:p>
    <w:p>
      <w:r>
        <w:t>Wait for a nearby swing low to break in a bearish setup (or swing high in a bullish setup). Enter on/after the confirming close; place the stop beyond the invalidation high/low with a small buffer.</w:t>
      </w:r>
    </w:p>
    <w:p>
      <w:pPr>
        <w:pStyle w:val="Heading2"/>
      </w:pPr>
      <w:r>
        <w:t>20. How to Manage a Trade?</w:t>
      </w:r>
      <w:r>
        <w:rPr>
          <w:i/>
        </w:rPr>
        <w:t xml:space="preserve">  [28:29]</w:t>
      </w:r>
    </w:p>
    <w:p>
      <w:r>
        <w:t>At 2R/first target, book a minimum 60%. Beginners may book 70%, 80%, or all. Move the remaining stop to break-even and let the balance try for the opposite session boundary.</w:t>
      </w:r>
    </w:p>
    <w:p>
      <w:pPr>
        <w:pStyle w:val="Heading2"/>
      </w:pPr>
      <w:r>
        <w:t>21. Should You Close Trades After the London Session?</w:t>
      </w:r>
      <w:r>
        <w:rPr>
          <w:i/>
        </w:rPr>
        <w:t xml:space="preserve">  [30:00]</w:t>
      </w:r>
    </w:p>
    <w:p>
      <w:r>
        <w:t>A London-window trade may be held while London/New York liquidity remains active. The stated intraday exit is about 9:30 p.m.; a late maximum of about 10:00–10:30 p.m. is mentioned.</w:t>
      </w:r>
    </w:p>
    <w:p>
      <w:pPr>
        <w:pStyle w:val="Heading2"/>
      </w:pPr>
      <w:r>
        <w:t>22. Liquidity Concept Explained</w:t>
      </w:r>
      <w:r>
        <w:rPr>
          <w:i/>
        </w:rPr>
        <w:t xml:space="preserve">  [35:41]</w:t>
      </w:r>
    </w:p>
    <w:p>
      <w:r>
        <w:t>Liquidity is described as resting orders and stop-losses around obvious highs/lows. Price may sweep those pools before reversing; fakeouts exploit this behavior rather than treating every breach as continuation.</w:t>
      </w:r>
    </w:p>
    <w:p>
      <w:pPr>
        <w:pStyle w:val="Heading2"/>
      </w:pPr>
      <w:r>
        <w:t>23. What Do Different Trading Sessions Do?</w:t>
      </w:r>
      <w:r>
        <w:rPr>
          <w:i/>
        </w:rPr>
        <w:t xml:space="preserve">  [38:30]</w:t>
      </w:r>
    </w:p>
    <w:p>
      <w:r>
        <w:t>Asian trade is presented as quieter and range-forming; London often expands or raids that range; New York may continue, reverse, or react to the London range. Session behavior provides context, not certainty.</w:t>
      </w:r>
    </w:p>
    <w:p>
      <w:pPr>
        <w:pStyle w:val="Heading2"/>
      </w:pPr>
      <w:r>
        <w:t>24. Which Trading Session Is Best?</w:t>
      </w:r>
      <w:r>
        <w:rPr>
          <w:i/>
        </w:rPr>
        <w:t xml:space="preserve">  [44:53]</w:t>
      </w:r>
    </w:p>
    <w:p>
      <w:r>
        <w:t>The focus is London first, then New York if needed. Avoid weekend gold-token trading when volume is poor. Do not carry the previous day’s marked levels into a new daily process.</w:t>
      </w:r>
    </w:p>
    <w:p>
      <w:pPr>
        <w:pStyle w:val="Heading2"/>
      </w:pPr>
      <w:r>
        <w:t>25. Conclusion</w:t>
      </w:r>
      <w:r>
        <w:rPr>
          <w:i/>
        </w:rPr>
        <w:t xml:space="preserve">  [51:03]</w:t>
      </w:r>
    </w:p>
    <w:p>
      <w:r>
        <w:t>Paper-trade for 4–5 weeks, gathering 20–25 observations. With fixed 1:2 risk/reward, the video illustrates that even a 50–60% win rate can remain positive before/after estimated fees; use your actual fees and slippage.</w:t>
      </w:r>
    </w:p>
    <w:p>
      <w:r>
        <w:br w:type="page"/>
      </w:r>
    </w:p>
    <w:p>
      <w:pPr>
        <w:pStyle w:val="Heading1"/>
      </w:pPr>
      <w:r>
        <w:t>Entry and Management Playbook</w:t>
      </w:r>
    </w:p>
    <w:p>
      <w:pPr>
        <w:pStyle w:val="Heading2"/>
      </w:pPr>
      <w:r>
        <w:t>A. Bearish fakeout above a session high</w:t>
      </w:r>
    </w:p>
    <w:p>
      <w:pPr>
        <w:pStyle w:val="ListBullet"/>
      </w:pPr>
      <w:r>
        <w:t>Price trades above the marked high.</w:t>
      </w:r>
    </w:p>
    <w:p>
      <w:pPr>
        <w:pStyle w:val="ListBullet"/>
      </w:pPr>
      <w:r>
        <w:t>The candle closes back inside/below the range, and the following candle confirms rejection.</w:t>
      </w:r>
    </w:p>
    <w:p>
      <w:pPr>
        <w:pStyle w:val="ListBullet"/>
      </w:pPr>
      <w:r>
        <w:t>Aggressive: enter after a candle closes below the breakout candle’s low. Conservative: wait for a nearby swing low to break.</w:t>
      </w:r>
    </w:p>
    <w:p>
      <w:pPr>
        <w:pStyle w:val="ListBullet"/>
      </w:pPr>
      <w:r>
        <w:t>Stop above the rejection/swing high with a small buffer.</w:t>
      </w:r>
    </w:p>
    <w:p>
      <w:pPr>
        <w:pStyle w:val="ListBullet"/>
      </w:pPr>
      <w:r>
        <w:t>First target: 2R or the nearer structural objective. Main target: opposite session low.</w:t>
      </w:r>
    </w:p>
    <w:p>
      <w:pPr>
        <w:pStyle w:val="ListBullet"/>
      </w:pPr>
      <w:r>
        <w:t>At first target, book ≥60%; move the remainder to break-even.</w:t>
      </w:r>
    </w:p>
    <w:p>
      <w:pPr>
        <w:pStyle w:val="Heading2"/>
      </w:pPr>
      <w:r>
        <w:t>B. Bullish fakeout below a session low</w:t>
      </w:r>
    </w:p>
    <w:p>
      <w:pPr>
        <w:pStyle w:val="ListBullet"/>
      </w:pPr>
      <w:r>
        <w:t>Mirror the bearish rules: sweep below the low, close back inside, confirm, then enter after the breakout candle high or a swing high breaks.</w:t>
      </w:r>
    </w:p>
    <w:p>
      <w:pPr>
        <w:pStyle w:val="ListBullet"/>
      </w:pPr>
      <w:r>
        <w:t>Stop below the rejection/swing low with a buffer.</w:t>
      </w:r>
    </w:p>
    <w:p>
      <w:pPr>
        <w:pStyle w:val="ListBullet"/>
      </w:pPr>
      <w:r>
        <w:t>Target 2R and/or the opposite session high; manage partials identically.</w:t>
      </w:r>
    </w:p>
    <w:p>
      <w:pPr>
        <w:pStyle w:val="Heading2"/>
      </w:pPr>
      <w:r>
        <w:t>C. Confirmed breakout</w:t>
      </w:r>
    </w:p>
    <w:p>
      <w:pPr>
        <w:pStyle w:val="ListBullet"/>
      </w:pPr>
      <w:r>
        <w:t>First candle closes beyond the key level.</w:t>
      </w:r>
    </w:p>
    <w:p>
      <w:pPr>
        <w:pStyle w:val="ListBullet"/>
      </w:pPr>
      <w:r>
        <w:t>The next candle trades through the first candle’s extreme and remains accepted beyond the level; the next one or two candles should not close back through it.</w:t>
      </w:r>
    </w:p>
    <w:p>
      <w:pPr>
        <w:pStyle w:val="ListBullet"/>
      </w:pPr>
      <w:r>
        <w:t>Prefer a retest/known entry method rather than chasing.</w:t>
      </w:r>
    </w:p>
    <w:p>
      <w:pPr>
        <w:pStyle w:val="ListBullet"/>
      </w:pPr>
      <w:r>
        <w:t>Stop on the invalid side of the breakout structure.</w:t>
      </w:r>
    </w:p>
    <w:p>
      <w:pPr>
        <w:pStyle w:val="ListBullet"/>
      </w:pPr>
      <w:r>
        <w:t>Maximum projection discussed: one reference-range height from the breakout; still require acceptable risk-to-reward.</w:t>
      </w:r>
    </w:p>
    <w:p>
      <w:pPr>
        <w:pStyle w:val="Heading1"/>
      </w:pPr>
      <w:r>
        <w:t>Four-Week Validation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296"/>
        <w:gridCol w:w="1656"/>
        <w:gridCol w:w="1656"/>
        <w:gridCol w:w="1584"/>
        <w:gridCol w:w="2016"/>
      </w:tblGrid>
      <w:tr>
        <w:trPr>
          <w:tblHeader w:val="true"/>
        </w:trPr>
        <w:tc>
          <w:tcPr>
            <w:tcW w:type="dxa" w:w="15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15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15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Setup</w:t>
            </w:r>
          </w:p>
        </w:tc>
        <w:tc>
          <w:tcPr>
            <w:tcW w:type="dxa" w:w="15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Entry style</w:t>
            </w:r>
          </w:p>
        </w:tc>
        <w:tc>
          <w:tcPr>
            <w:tcW w:type="dxa" w:w="15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Result (R)</w:t>
            </w:r>
          </w:p>
        </w:tc>
        <w:tc>
          <w:tcPr>
            <w:tcW w:type="dxa" w:w="15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152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29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584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201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</w:tr>
      <w:tr>
        <w:tc>
          <w:tcPr>
            <w:tcW w:type="dxa" w:w="1152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29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584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201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</w:tr>
      <w:tr>
        <w:tc>
          <w:tcPr>
            <w:tcW w:type="dxa" w:w="1152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29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584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201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</w:tr>
      <w:tr>
        <w:tc>
          <w:tcPr>
            <w:tcW w:type="dxa" w:w="1152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29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584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201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</w:tr>
      <w:tr>
        <w:tc>
          <w:tcPr>
            <w:tcW w:type="dxa" w:w="1152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29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584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201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</w:tr>
      <w:tr>
        <w:tc>
          <w:tcPr>
            <w:tcW w:type="dxa" w:w="1152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29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584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201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</w:tr>
      <w:tr>
        <w:tc>
          <w:tcPr>
            <w:tcW w:type="dxa" w:w="1152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29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584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201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</w:tr>
      <w:tr>
        <w:tc>
          <w:tcPr>
            <w:tcW w:type="dxa" w:w="1152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29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584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201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</w:tr>
      <w:tr>
        <w:tc>
          <w:tcPr>
            <w:tcW w:type="dxa" w:w="1152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29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584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201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</w:tr>
      <w:tr>
        <w:tc>
          <w:tcPr>
            <w:tcW w:type="dxa" w:w="1152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29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584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201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</w:tr>
      <w:tr>
        <w:tc>
          <w:tcPr>
            <w:tcW w:type="dxa" w:w="1152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29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584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201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</w:tr>
      <w:tr>
        <w:tc>
          <w:tcPr>
            <w:tcW w:type="dxa" w:w="1152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29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584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201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</w:tr>
      <w:tr>
        <w:tc>
          <w:tcPr>
            <w:tcW w:type="dxa" w:w="1152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29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584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201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</w:tr>
      <w:tr>
        <w:tc>
          <w:tcPr>
            <w:tcW w:type="dxa" w:w="1152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29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584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201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</w:tr>
      <w:tr>
        <w:tc>
          <w:tcPr>
            <w:tcW w:type="dxa" w:w="1152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29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584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201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</w:tr>
      <w:tr>
        <w:tc>
          <w:tcPr>
            <w:tcW w:type="dxa" w:w="1152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29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584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201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</w:tr>
      <w:tr>
        <w:tc>
          <w:tcPr>
            <w:tcW w:type="dxa" w:w="1152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29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584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201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</w:tr>
      <w:tr>
        <w:tc>
          <w:tcPr>
            <w:tcW w:type="dxa" w:w="1152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29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584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201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</w:tr>
      <w:tr>
        <w:tc>
          <w:tcPr>
            <w:tcW w:type="dxa" w:w="1152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29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584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201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</w:tr>
      <w:tr>
        <w:tc>
          <w:tcPr>
            <w:tcW w:type="dxa" w:w="1152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29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65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1584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  <w:tc>
          <w:tcPr>
            <w:tcW w:type="dxa" w:w="2016"/>
            <w:tcMar>
              <w:top w:w="120" w:type="dxa"/>
              <w:left w:w="100" w:type="dxa"/>
              <w:bottom w:w="120" w:type="dxa"/>
              <w:right w:w="100" w:type="dxa"/>
            </w:tcMar>
          </w:tcPr>
          <w:p/>
        </w:tc>
      </w:tr>
    </w:tbl>
    <w:p>
      <w:pPr>
        <w:pStyle w:val="Heading1"/>
      </w:pPr>
      <w:r>
        <w:t>Performance Math Used in the Video</w:t>
      </w:r>
    </w:p>
    <w:p>
      <w:r>
        <w:t>Illustration only: 20 trades, fixed ₹100 risk per trade, ₹200 target (1:2), and a rough fee estimate based on total turnover of wins and losses.</w:t>
      </w:r>
    </w:p>
    <w:p>
      <w:pPr>
        <w:pStyle w:val="ListBullet"/>
      </w:pPr>
      <w:r>
        <w:t>60% win rate: 12 wins = ₹2,400 gross profit; 8 losses = ₹800 gross loss; ₹1,600 before fees. The video subtracts an illustrative ₹320 fee estimate, leaving ₹1,280.</w:t>
      </w:r>
    </w:p>
    <w:p>
      <w:pPr>
        <w:pStyle w:val="ListBullet"/>
      </w:pPr>
      <w:r>
        <w:t>50% win rate: 10 wins = ₹2,000; 10 losses = ₹1,000; ₹1,000 before the same illustrative fee estimate.</w:t>
      </w:r>
    </w:p>
    <w:p>
      <w:pPr>
        <w:pStyle w:val="ListBullet"/>
      </w:pPr>
      <w:r>
        <w:t>Use actual brokerage, spread, slippage, funding, taxes, and instrument costs. A backtest or paper-trade result does not guarantee live performance.</w:t>
      </w:r>
    </w:p>
    <w:p>
      <w:pPr>
        <w:pStyle w:val="Heading1"/>
      </w:pPr>
      <w:r>
        <w:t>Final Pre-Trade Checklist</w:t>
      </w:r>
    </w:p>
    <w:p>
      <w:pPr>
        <w:pStyle w:val="ListBullet"/>
      </w:pPr>
      <w:r>
        <w:t>☐ Today is a liquid weekday; no major scheduled news is being ignored.</w:t>
      </w:r>
    </w:p>
    <w:p>
      <w:pPr>
        <w:pStyle w:val="ListBullet"/>
      </w:pPr>
      <w:r>
        <w:t>☐ Asian or London high/low is marked from the correct session and day.</w:t>
      </w:r>
    </w:p>
    <w:p>
      <w:pPr>
        <w:pStyle w:val="ListBullet"/>
      </w:pPr>
      <w:r>
        <w:t>☐ Current time is inside 11:30–2:30 or 4:30–7:30 India time.</w:t>
      </w:r>
    </w:p>
    <w:p>
      <w:pPr>
        <w:pStyle w:val="ListBullet"/>
      </w:pPr>
      <w:r>
        <w:t>☐ Price is at a boundary—not in the middle of the range.</w:t>
      </w:r>
    </w:p>
    <w:p>
      <w:pPr>
        <w:pStyle w:val="ListBullet"/>
      </w:pPr>
      <w:r>
        <w:t>☐ Breakout/fakeout confirmation uses more than one candle.</w:t>
      </w:r>
    </w:p>
    <w:p>
      <w:pPr>
        <w:pStyle w:val="ListBullet"/>
      </w:pPr>
      <w:r>
        <w:t>☐ Entry method and invalidation point are clear.</w:t>
      </w:r>
    </w:p>
    <w:p>
      <w:pPr>
        <w:pStyle w:val="ListBullet"/>
      </w:pPr>
      <w:r>
        <w:t>☐ Stop and position size keep risk within the personal limit.</w:t>
      </w:r>
    </w:p>
    <w:p>
      <w:pPr>
        <w:pStyle w:val="ListBullet"/>
      </w:pPr>
      <w:r>
        <w:t>☐ At least 1:2 is available, or the structural target is closer and the trade is skipped/adjusted.</w:t>
      </w:r>
    </w:p>
    <w:p>
      <w:pPr>
        <w:pStyle w:val="ListBullet"/>
      </w:pPr>
      <w:r>
        <w:t>☐ Partial-profit and break-even rules are entered before the trade.</w:t>
      </w:r>
    </w:p>
    <w:p>
      <w:pPr>
        <w:pStyle w:val="ListBullet"/>
      </w:pPr>
      <w:r>
        <w:t>☐ No second impulsive trade after the planned opportunity.</w:t>
      </w:r>
    </w:p>
    <w:p>
      <w:pPr>
        <w:pStyle w:val="Heading1"/>
      </w:pPr>
      <w:r>
        <w:t>Source</w:t>
      </w:r>
    </w:p>
    <w:p>
      <w:r>
        <w:rPr>
          <w:b/>
        </w:rPr>
        <w:t xml:space="preserve">Video: </w:t>
      </w:r>
      <w:r>
        <w:t>https://www.youtube.com/watch?v=qB8uKV5qkX4&amp;t=1494s</w:t>
      </w:r>
    </w:p>
    <w:p>
      <w:r>
        <w:t>Chapter timestamps are taken from the video description/transcript as displayed on YouTube. Strategy descriptions are paraphrased for study and operational clarity.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1F4D78"/>
        <w:sz w:val="18"/>
      </w:rPr>
      <w:t>GOLD TRADING STRATEGY  |  VIDEO REFERENCE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 Trading Strategy — Video Guide</dc:title>
  <dc:subject>Chaptered study guide based on the referenced YouTube video</dc:subject>
  <dc:creator>Prepared for the user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