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left"/>
      </w:pPr>
    </w:p>
    <w:p>
      <w:pPr>
        <w:spacing w:before="0" w:after="20"/>
        <w:jc w:val="center"/>
      </w:pPr>
      <w:r>
        <w:rPr>
          <w:rFonts w:ascii="Raleway" w:cs="Raleway" w:eastAsia="Raleway" w:hAnsi="Raleway"/>
          <w:b/>
          <w:bCs/>
          <w:i w:val="false"/>
          <w:iCs w:val="false"/>
          <w:color w:val="4A1D5A"/>
          <w:sz w:val="36"/>
          <w:szCs w:val="36"/>
        </w:rPr>
        <w:t xml:space="preserve">CARE SYNDICATE</w:t>
      </w:r>
    </w:p>
    <w:p>
      <w:pPr>
        <w:spacing w:before="0" w:after="20"/>
        <w:jc w:val="center"/>
      </w:pPr>
      <w:r>
        <w:rPr>
          <w:rFonts w:ascii="Raleway" w:cs="Raleway" w:eastAsia="Raleway" w:hAnsi="Raleway"/>
          <w:b w:val="false"/>
          <w:bCs w:val="false"/>
          <w:i w:val="false"/>
          <w:iCs w:val="false"/>
          <w:color w:val="7B3F8E"/>
          <w:sz w:val="30"/>
          <w:szCs w:val="30"/>
        </w:rPr>
        <w:t xml:space="preserve">Agency vs Care Syndicate</w:t>
      </w:r>
    </w:p>
    <w:p>
      <w:pPr>
        <w:spacing w:before="0" w:after="60"/>
        <w:jc w:val="center"/>
      </w:pPr>
      <w:r>
        <w:rPr>
          <w:rFonts w:ascii="Raleway" w:cs="Raleway" w:eastAsia="Raleway" w:hAnsi="Raleway"/>
          <w:b w:val="false"/>
          <w:bCs w:val="false"/>
          <w:i/>
          <w:iCs/>
          <w:color w:val="7B3F8E"/>
          <w:sz w:val="22"/>
          <w:szCs w:val="22"/>
        </w:rPr>
        <w:t xml:space="preserve">Side-by-Side Comparison</w:t>
      </w:r>
    </w:p>
    <w:p>
      <w:pPr>
        <w:spacing w:before="0"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The question isn't "can we save money?" — it's "are we protected?"</w:t>
            </w:r>
          </w:p>
          <w:p>
            <w:pPr>
              <w:spacing w:before="0" w:after="100"/>
              <w:jc w:val="center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9A2CF"/>
                <w:sz w:val="19"/>
                <w:szCs w:val="19"/>
              </w:rPr>
              <w:t xml:space="preserve">Cost savings follow naturally when the model is built around compliance, transparency, and risk elimination.</w:t>
            </w:r>
          </w:p>
        </w:tc>
      </w:tr>
    </w:tbl>
    <w:p>
      <w:pPr>
        <w:spacing w:before="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Traditional Agency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Care Syndicate</w:t>
            </w:r>
          </w:p>
        </w:tc>
      </w:tr>
      <w:tr>
        <w:tc>
          <w:tcPr>
            <w:tcW w:type="dxa" w:w="9360"/>
            <w:gridSpan w:val="3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7B3F8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 &amp; RISK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Employment status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Blanket classification common. Rarely assessed per engagement. HMRC exposure if challenged.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Every engagement assessed individually using HMRC's CEST tool. Results stored permanently in audit trail.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Provider → Agency → Umbrella → Worker. Opaque, multi-layered, hard to audit.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Provider → Care Syndicate (introducer) → Worker. Direct, transparent, fully auditable.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Umbrella company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Frequently used. Creates JSL exposure from April 2026. Provider may inherit tax liability.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Never. No umbrella in the chain. JSL rules cannot apply. Zero exposure.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PAYE compliance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If umbrella defaults on PAYE, liability passes through the chain under new JSL rules.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Workers who fail SE tests are auto-routed to PAYE via independent payroll bureau. Full statutory compliance.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HMRC audit evidence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Provider must request evidence from agency. Often incomplete, delayed, or unavailable.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CRM generates full audit pack on demand: CEST, payslips, credentials, payments — permanently stored.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CQC readiness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Limited visibility into workforce compliance. Evidence scattered across agencies.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Real-time compliance dashboard. CQC Inspection-Ready reports generated in minutes.</w:t>
            </w:r>
          </w:p>
        </w:tc>
      </w:tr>
      <w:tr>
        <w:tc>
          <w:tcPr>
            <w:tcW w:type="dxa" w:w="9360"/>
            <w:gridSpan w:val="3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7B3F8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TRANSPARENCY &amp; COST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Pricing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Blended rate £22–25/hr. No breakdown of worker pay, margins, umbrella fees, or hidden costs.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Worker rate, platform fee, and VAT shown separately on every invoice. Complete cost transparency.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Worker earnings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Workers often receive £14–16/hr after umbrella deductions. Provider pays £22–25/hr. Gap is invisible.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Workers receive their full agreed rate (SE) or proper PAYE with payslip. No hidden deductions.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VAT treatment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20% VAT on full charge. Irrecoverable for VAT-exempt providers. No alternative offered.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Model A: Standard VAT (reclaimable). Model B: No VAT on worker earnings (concession). Provider chooses.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Invoicing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Multiple agencies = multiple invoices. Reconciliation difficult. Costs often estimated.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One invoice per period. Every worker, every hour, every rate itemised. One payment.</w:t>
            </w:r>
          </w:p>
        </w:tc>
      </w:tr>
      <w:tr>
        <w:tc>
          <w:tcPr>
            <w:tcW w:type="dxa" w:w="9360"/>
            <w:gridSpan w:val="3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7B3F8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WORKER QUALITY &amp; PROTECTION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Worker insurance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May rely on agency cover. Individual worker insurance often not verified or required.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Every SE worker holds verified £6m PL + £2m PI insurance. CRM monitors renewals. Expired workers blocked.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DBS management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Agency may hold DBS records but verification depth varies. Updates not always tracked.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Enhanced DBS on Update Service required. CRM tracks status in real-time. Non-compliant workers cannot work.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Worker satisfaction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Low take-home pay. Opaque deductions. No transparency on what provider pays vs worker receives.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Higher take-home (no umbrella fees). Full transparency. Workers see their earnings clearly.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2E0E38"/>
                <w:sz w:val="18"/>
                <w:szCs w:val="18"/>
              </w:rPr>
              <w:t xml:space="preserve">Substitution rights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Variable. Some agencies restrict. Substitution may not be tracked or evidenced.</w:t>
            </w:r>
          </w:p>
        </w:tc>
        <w:tc>
          <w:tcPr>
            <w:tcW w:type="dxa" w:w="36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CRM substitution workflow. Workers/recruiters propose substitutes. All logged as SE evidence.</w:t>
            </w:r>
          </w:p>
        </w:tc>
      </w:tr>
    </w:tbl>
    <w:p>
      <w:pPr>
        <w:spacing w:before="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THE BOTTOM LINE</w:t>
            </w:r>
          </w:p>
          <w:p>
            <w:pPr>
              <w:spacing w:before="0" w:after="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9A2CF"/>
                <w:sz w:val="20"/>
                <w:szCs w:val="20"/>
              </w:rPr>
              <w:t xml:space="preserve">Agencies sell you staff at a blended rate and ask you to trust them. Care Syndicate gives you a compliance engine, full transparency, risk elimination, and workers who are paid properly — with the evidence to prove it.</w:t>
            </w:r>
          </w:p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Lower cost is a consequence of a better model, not the reason for it.</w:t>
            </w:r>
          </w:p>
        </w:tc>
      </w:tr>
    </w:tbl>
    <w:p>
      <w:pPr>
        <w:spacing w:before="0" w:after="100"/>
        <w:jc w:val="left"/>
      </w:pPr>
    </w:p>
    <w:p>
      <w:pPr>
        <w:spacing w:before="0" w:after="100"/>
        <w:jc w:val="center"/>
      </w:pPr>
      <w:r>
        <w:rPr>
          <w:rFonts w:ascii="Raleway" w:cs="Raleway" w:eastAsia="Raleway" w:hAnsi="Raleway"/>
          <w:b w:val="false"/>
          <w:bCs w:val="false"/>
          <w:i w:val="false"/>
          <w:iCs w:val="false"/>
          <w:color w:val="666666"/>
          <w:sz w:val="16"/>
          <w:szCs w:val="16"/>
        </w:rPr>
        <w:t xml:space="preserve">© 2026 Care Syndicate Ltd. All rights reserved.  |  hello@caresyndicate.co.uk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aleway" w:cs="Raleway" w:eastAsia="Raleway" w:hAnsi="Raleway"/>
        <w:color w:val="2E0E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2026-02-21T21:55:56.437Z</dcterms:created>
  <dcterms:modified xsi:type="dcterms:W3CDTF">2026-02-21T21:55:56.437Z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