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jc w:val="left"/>
      </w:pPr>
    </w:p>
    <w:p>
      <w:pPr>
        <w:spacing w:before="0" w:after="40"/>
        <w:jc w:val="center"/>
      </w:pPr>
      <w:r>
        <w:rPr>
          <w:rFonts w:ascii="Raleway" w:cs="Raleway" w:eastAsia="Raleway" w:hAnsi="Raleway"/>
          <w:b/>
          <w:bCs/>
          <w:i w:val="false"/>
          <w:iCs w:val="false"/>
          <w:color w:val="4A1D5A"/>
          <w:sz w:val="44"/>
          <w:szCs w:val="44"/>
        </w:rPr>
        <w:t xml:space="preserve">CARE SYNDICATE</w:t>
      </w:r>
    </w:p>
    <w:p>
      <w:pPr>
        <w:spacing w:before="0" w:after="40"/>
        <w:jc w:val="center"/>
      </w:pPr>
      <w:r>
        <w:rPr>
          <w:rFonts w:ascii="Raleway" w:cs="Raleway" w:eastAsia="Raleway" w:hAnsi="Raleway"/>
          <w:b w:val="false"/>
          <w:bCs w:val="false"/>
          <w:i w:val="false"/>
          <w:iCs w:val="false"/>
          <w:color w:val="7B3F8E"/>
          <w:sz w:val="32"/>
          <w:szCs w:val="32"/>
        </w:rPr>
        <w:t xml:space="preserve">April 2026 Briefing</w:t>
      </w:r>
    </w:p>
    <w:p>
      <w:pPr>
        <w:spacing w:before="0" w:after="60"/>
        <w:jc w:val="center"/>
      </w:pPr>
      <w:r>
        <w:rPr>
          <w:rFonts w:ascii="Raleway" w:cs="Raleway" w:eastAsia="Raleway" w:hAnsi="Raleway"/>
          <w:b w:val="false"/>
          <w:bCs w:val="false"/>
          <w:i/>
          <w:iCs/>
          <w:color w:val="7B3F8E"/>
          <w:sz w:val="22"/>
          <w:szCs w:val="22"/>
        </w:rPr>
        <w:t xml:space="preserve">Joint &amp; Several Liability — What It Means for Care Providers</w:t>
      </w:r>
    </w:p>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62828" w:sz="4"/>
              <w:left w:val="single" w:color="C62828" w:sz="4"/>
              <w:bottom w:val="single" w:color="C62828" w:sz="4"/>
              <w:right w:val="single" w:color="C62828" w:sz="4"/>
            </w:tcBorders>
            <w:shd w:fill="FFEBEE" w:val="clear"/>
            <w:tcMar>
              <w:top w:type="dxa" w:w="200"/>
              <w:left w:type="dxa" w:w="300"/>
              <w:bottom w:type="dxa" w:w="200"/>
              <w:right w:type="dxa" w:w="300"/>
            </w:tcMar>
          </w:tcPr>
          <w:p>
            <w:pPr>
              <w:spacing w:before="0" w:after="60"/>
              <w:jc w:val="center"/>
            </w:pPr>
            <w:r>
              <w:rPr>
                <w:rFonts w:ascii="Raleway" w:cs="Raleway" w:eastAsia="Raleway" w:hAnsi="Raleway"/>
                <w:b/>
                <w:bCs/>
                <w:i w:val="false"/>
                <w:iCs w:val="false"/>
                <w:color w:val="C62828"/>
                <w:sz w:val="24"/>
                <w:szCs w:val="24"/>
              </w:rPr>
              <w:t xml:space="preserve">EFFECTIVE DATE:  6 APRIL 2026</w:t>
            </w:r>
          </w:p>
          <w:p>
            <w:pPr>
              <w:spacing w:before="0" w:after="100"/>
              <w:jc w:val="center"/>
            </w:pPr>
            <w:r>
              <w:rPr>
                <w:rFonts w:ascii="Raleway" w:cs="Raleway" w:eastAsia="Raleway" w:hAnsi="Raleway"/>
                <w:b/>
                <w:bCs/>
                <w:i w:val="false"/>
                <w:iCs w:val="false"/>
                <w:color w:val="C62828"/>
                <w:sz w:val="20"/>
                <w:szCs w:val="20"/>
              </w:rPr>
              <w:t xml:space="preserve">No grandfather clause. No statutory defence. Existing arrangements affected from day one.</w:t>
            </w:r>
          </w:p>
        </w:tc>
      </w:tr>
    </w:tbl>
    <w:p>
      <w:pPr>
        <w:spacing w:before="0" w:after="200"/>
        <w:jc w:val="left"/>
      </w:pPr>
    </w:p>
    <w:p>
      <w:pPr>
        <w:spacing w:before="0" w:after="100"/>
        <w:jc w:val="center"/>
      </w:pPr>
      <w:r>
        <w:rPr>
          <w:rFonts w:ascii="Raleway" w:cs="Raleway" w:eastAsia="Raleway" w:hAnsi="Raleway"/>
          <w:b w:val="false"/>
          <w:bCs w:val="false"/>
          <w:i/>
          <w:iCs/>
          <w:color w:val="666666"/>
          <w:sz w:val="18"/>
          <w:szCs w:val="18"/>
        </w:rPr>
        <w:t xml:space="preserve">February 2026  |  Confidential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1. WHAT IS JOINT &amp; SEVERAL LIABILITY?</w:t>
            </w:r>
          </w:p>
        </w:tc>
      </w:tr>
    </w:tbl>
    <w:p>
      <w:pPr>
        <w:spacing w:before="0" w:after="80"/>
        <w:jc w:val="left"/>
      </w:pPr>
    </w:p>
    <w:p>
      <w:pPr>
        <w:spacing w:before="0" w:after="100"/>
        <w:jc w:val="left"/>
      </w:pPr>
      <w:r>
        <w:rPr>
          <w:rFonts w:ascii="Raleway" w:cs="Raleway" w:eastAsia="Raleway" w:hAnsi="Raleway"/>
          <w:b w:val="false"/>
          <w:bCs w:val="false"/>
          <w:i w:val="false"/>
          <w:iCs w:val="false"/>
          <w:color w:val="333333"/>
          <w:sz w:val="20"/>
          <w:szCs w:val="20"/>
        </w:rPr>
        <w:t xml:space="preserve">Joint and Several Liability (JSL) is a provision in the Finance Act 2025 that allows HMRC to recover unpaid PAYE income tax and National Insurance contributions from parties other than the party that was responsible for paying them.</w:t>
      </w:r>
    </w:p>
    <w:p>
      <w:pPr>
        <w:spacing w:before="0" w:after="100"/>
        <w:jc w:val="left"/>
      </w:pPr>
      <w:r>
        <w:rPr>
          <w:rFonts w:ascii="Raleway" w:cs="Raleway" w:eastAsia="Raleway" w:hAnsi="Raleway"/>
          <w:b w:val="false"/>
          <w:bCs w:val="false"/>
          <w:i w:val="false"/>
          <w:iCs w:val="false"/>
          <w:color w:val="333333"/>
          <w:sz w:val="20"/>
          <w:szCs w:val="20"/>
        </w:rPr>
        <w:t xml:space="preserve">In the care sector, this means: if an umbrella company in your supply chain fails to remit PAYE to HMRC, HMRC can pursue the agency and, ultimately, you — the care provider — for the unpaid tax.</w:t>
      </w:r>
    </w:p>
    <w:p>
      <w:pPr>
        <w:spacing w:before="0" w:after="80"/>
        <w:jc w:val="left"/>
      </w:pPr>
      <w:r>
        <w:rPr>
          <w:rFonts w:ascii="Raleway" w:cs="Raleway" w:eastAsia="Raleway" w:hAnsi="Raleway"/>
          <w:b/>
          <w:bCs/>
          <w:i w:val="false"/>
          <w:iCs w:val="false"/>
          <w:color w:val="4A1D5A"/>
          <w:sz w:val="22"/>
          <w:szCs w:val="22"/>
        </w:rPr>
        <w:t xml:space="preserve">HOW THE LIABILITY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Step</w:t>
            </w:r>
          </w:p>
        </w:tc>
        <w:tc>
          <w:tcPr>
            <w:tcW w:type="dxa" w:w="816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What Happens</w:t>
            </w:r>
          </w:p>
        </w:tc>
      </w:tr>
      <w:tr>
        <w:tc>
          <w:tcPr>
            <w:tcW w:type="dxa" w:w="1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1</w:t>
            </w:r>
          </w:p>
        </w:tc>
        <w:tc>
          <w:tcPr>
            <w:tcW w:type="dxa" w:w="81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Umbrella company deducts PAYE and NI from worker earnings but fails to remit to HMRC.</w:t>
            </w:r>
          </w:p>
        </w:tc>
      </w:tr>
      <w:tr>
        <w:tc>
          <w:tcPr>
            <w:tcW w:type="dxa" w:w="1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2</w:t>
            </w:r>
          </w:p>
        </w:tc>
        <w:tc>
          <w:tcPr>
            <w:tcW w:type="dxa" w:w="81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HMRC identifies the shortfall and pursues the umbrella company.</w:t>
            </w:r>
          </w:p>
        </w:tc>
      </w:tr>
      <w:tr>
        <w:tc>
          <w:tcPr>
            <w:tcW w:type="dxa" w:w="1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3</w:t>
            </w:r>
          </w:p>
        </w:tc>
        <w:tc>
          <w:tcPr>
            <w:tcW w:type="dxa" w:w="81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If umbrella cannot pay (or is connected to the non-compliant entity), HMRC issues a JSL notice to the employment agency in the chain.</w:t>
            </w:r>
          </w:p>
        </w:tc>
      </w:tr>
      <w:tr>
        <w:tc>
          <w:tcPr>
            <w:tcW w:type="dxa" w:w="1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4</w:t>
            </w:r>
          </w:p>
        </w:tc>
        <w:tc>
          <w:tcPr>
            <w:tcW w:type="dxa" w:w="81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If the agency cannot pay, or is itself connected to the umbrella, HMRC can pursue the end client — the care provider.</w:t>
            </w:r>
          </w:p>
        </w:tc>
      </w:tr>
      <w:tr>
        <w:tc>
          <w:tcPr>
            <w:tcW w:type="dxa" w:w="1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5</w:t>
            </w:r>
          </w:p>
        </w:tc>
        <w:tc>
          <w:tcPr>
            <w:tcW w:type="dxa" w:w="81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The care provider is liable for the unpaid tax and NI. This is strict liability — there is no statutory defence, even if the provider conducted due diligence on the agency.</w:t>
            </w:r>
          </w:p>
        </w:tc>
      </w:tr>
    </w:tbl>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62828" w:sz="1"/>
              <w:left w:val="single" w:color="C62828" w:sz="8"/>
              <w:bottom w:val="single" w:color="C62828" w:sz="1"/>
              <w:right w:val="single" w:color="C62828" w:sz="1"/>
            </w:tcBorders>
            <w:shd w:fill="FFEBEE" w:val="clear"/>
            <w:tcMar>
              <w:top w:type="dxa" w:w="120"/>
              <w:left w:type="dxa" w:w="200"/>
              <w:bottom w:type="dxa" w:w="120"/>
              <w:right w:type="dxa" w:w="200"/>
            </w:tcMar>
          </w:tcPr>
          <w:p>
            <w:pPr>
              <w:spacing w:before="0" w:after="100"/>
              <w:jc w:val="left"/>
            </w:pPr>
            <w:r>
              <w:rPr>
                <w:rFonts w:ascii="Raleway" w:cs="Raleway" w:eastAsia="Raleway" w:hAnsi="Raleway"/>
                <w:b w:val="false"/>
                <w:bCs w:val="false"/>
                <w:i w:val="false"/>
                <w:iCs w:val="false"/>
                <w:color w:val="333333"/>
                <w:sz w:val="19"/>
                <w:szCs w:val="19"/>
              </w:rPr>
              <w:t xml:space="preserve">STRICT LIABILITY means it does not matter whether you knew about the umbrella company's failure, whether you chose the agency in good faith, or whether you asked for compliance assurances. If the tax was not paid, and you are in the chain, you can be pursued for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2. WHO IS EXPOSED?</w:t>
            </w:r>
          </w:p>
        </w:tc>
      </w:tr>
    </w:tbl>
    <w:p>
      <w:pPr>
        <w:spacing w:before="0" w:after="80"/>
        <w:jc w:val="left"/>
      </w:pPr>
    </w:p>
    <w:p>
      <w:pPr>
        <w:spacing w:before="0" w:after="100"/>
        <w:jc w:val="left"/>
      </w:pPr>
      <w:r>
        <w:rPr>
          <w:rFonts w:ascii="Raleway" w:cs="Raleway" w:eastAsia="Raleway" w:hAnsi="Raleway"/>
          <w:b w:val="false"/>
          <w:bCs w:val="false"/>
          <w:i w:val="false"/>
          <w:iCs w:val="false"/>
          <w:color w:val="333333"/>
          <w:sz w:val="20"/>
          <w:szCs w:val="20"/>
        </w:rPr>
        <w:t xml:space="preserve">Any care provider that uses an agency which, in turn, uses an umbrella company to employ and pay workers is potentially exposed. This is the standard model for most agency-supplied care staff in the 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Supply Chain Model</w:t>
            </w:r>
          </w:p>
        </w:tc>
        <w:tc>
          <w:tcPr>
            <w:tcW w:type="dxa" w:w="46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JSL Exposure</w:t>
            </w:r>
          </w:p>
        </w:tc>
      </w:tr>
      <w:tr>
        <w:tc>
          <w:tcPr>
            <w:tcW w:type="dxa" w:w="46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Provider → Agency → Umbrella → Worker</w:t>
            </w:r>
          </w:p>
        </w:tc>
        <w:tc>
          <w:tcPr>
            <w:tcW w:type="dxa" w:w="46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C62828"/>
                <w:sz w:val="18"/>
                <w:szCs w:val="18"/>
              </w:rPr>
              <w:t xml:space="preserve">EXPOSED. If umbrella defaults, liability flows to agency then to provider.</w:t>
            </w:r>
          </w:p>
        </w:tc>
      </w:tr>
      <w:tr>
        <w:tc>
          <w:tcPr>
            <w:tcW w:type="dxa" w:w="46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Provider → Agency → PAYE (agency payroll) → Worker</w:t>
            </w:r>
          </w:p>
        </w:tc>
        <w:tc>
          <w:tcPr>
            <w:tcW w:type="dxa" w:w="46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E65100"/>
                <w:sz w:val="18"/>
                <w:szCs w:val="18"/>
              </w:rPr>
              <w:t xml:space="preserve">LOWER RISK. Agency operates PAYE directly. But agency financial stability is still a factor.</w:t>
            </w:r>
          </w:p>
        </w:tc>
      </w:tr>
      <w:tr>
        <w:tc>
          <w:tcPr>
            <w:tcW w:type="dxa" w:w="46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Provider → Care Syndicate (introducer) → Worker (SE/Ltd/PAYE bureau)</w:t>
            </w:r>
          </w:p>
        </w:tc>
        <w:tc>
          <w:tcPr>
            <w:tcW w:type="dxa" w:w="46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2E7D32"/>
                <w:sz w:val="18"/>
                <w:szCs w:val="18"/>
              </w:rPr>
              <w:t xml:space="preserve">NOT EXPOSED. No umbrella. No employment business. JSL conditions cannot be triggered.</w:t>
            </w:r>
          </w:p>
        </w:tc>
      </w:tr>
    </w:tbl>
    <w:p>
      <w:pPr>
        <w:spacing w:before="0" w:after="100"/>
        <w:jc w:val="left"/>
      </w:pPr>
    </w:p>
    <w:p>
      <w:pPr>
        <w:spacing w:before="0" w:after="80"/>
        <w:jc w:val="left"/>
      </w:pPr>
      <w:r>
        <w:rPr>
          <w:rFonts w:ascii="Raleway" w:cs="Raleway" w:eastAsia="Raleway" w:hAnsi="Raleway"/>
          <w:b/>
          <w:bCs/>
          <w:i w:val="false"/>
          <w:iCs w:val="false"/>
          <w:color w:val="4A1D5A"/>
          <w:sz w:val="22"/>
          <w:szCs w:val="22"/>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
            </w:r>
          </w:p>
        </w:tc>
        <w:tc>
          <w:tcPr>
            <w:tcW w:type="dxa" w:w="636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Detail</w:t>
            </w:r>
          </w:p>
        </w:tc>
      </w:tr>
      <w:tr>
        <w:tc>
          <w:tcPr>
            <w:tcW w:type="dxa" w:w="3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Effective date</w:t>
            </w:r>
          </w:p>
        </w:tc>
        <w:tc>
          <w:tcPr>
            <w:tcW w:type="dxa" w:w="6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6 April 2026 — less than 6 weeks away</w:t>
            </w:r>
          </w:p>
        </w:tc>
      </w:tr>
      <w:tr>
        <w:tc>
          <w:tcPr>
            <w:tcW w:type="dxa" w:w="30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Grandfather clause</w:t>
            </w:r>
          </w:p>
        </w:tc>
        <w:tc>
          <w:tcPr>
            <w:tcW w:type="dxa" w:w="63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None. All existing arrangements affected immediately.</w:t>
            </w:r>
          </w:p>
        </w:tc>
      </w:tr>
      <w:tr>
        <w:tc>
          <w:tcPr>
            <w:tcW w:type="dxa" w:w="3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Statutory defence</w:t>
            </w:r>
          </w:p>
        </w:tc>
        <w:tc>
          <w:tcPr>
            <w:tcW w:type="dxa" w:w="6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None. Strict liability applies regardless of due diligence.</w:t>
            </w:r>
          </w:p>
        </w:tc>
      </w:tr>
      <w:tr>
        <w:tc>
          <w:tcPr>
            <w:tcW w:type="dxa" w:w="30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Scope</w:t>
            </w:r>
          </w:p>
        </w:tc>
        <w:tc>
          <w:tcPr>
            <w:tcW w:type="dxa" w:w="63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All umbrella-agency-client supply chains where PAYE is operated</w:t>
            </w:r>
          </w:p>
        </w:tc>
      </w:tr>
      <w:tr>
        <w:tc>
          <w:tcPr>
            <w:tcW w:type="dxa" w:w="3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HMRC enforcement</w:t>
            </w:r>
          </w:p>
        </w:tc>
        <w:tc>
          <w:tcPr>
            <w:tcW w:type="dxa" w:w="6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HMRC can issue Real Time Information (RTI) notices and pursue collection through normal debt recovery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3. HOW CARE SYNDICATE ELIMINATES JSL RISK</w:t>
            </w:r>
          </w:p>
        </w:tc>
      </w:tr>
    </w:tbl>
    <w:p>
      <w:pPr>
        <w:spacing w:before="0" w:after="80"/>
        <w:jc w:val="left"/>
      </w:pPr>
    </w:p>
    <w:p>
      <w:pPr>
        <w:spacing w:before="0" w:after="100"/>
        <w:jc w:val="left"/>
      </w:pPr>
      <w:r>
        <w:rPr>
          <w:rFonts w:ascii="Raleway" w:cs="Raleway" w:eastAsia="Raleway" w:hAnsi="Raleway"/>
          <w:b w:val="false"/>
          <w:bCs w:val="false"/>
          <w:i w:val="false"/>
          <w:iCs w:val="false"/>
          <w:color w:val="333333"/>
          <w:sz w:val="20"/>
          <w:szCs w:val="20"/>
        </w:rPr>
        <w:t xml:space="preserve">The JSL provisions require four conditions to trigger liability. None exist in Care Syndicate's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JSL Trigger Condition</w:t>
            </w:r>
          </w:p>
        </w:tc>
        <w:tc>
          <w:tcPr>
            <w:tcW w:type="dxa" w:w="12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Required?</w:t>
            </w:r>
          </w:p>
        </w:tc>
        <w:tc>
          <w:tcPr>
            <w:tcW w:type="dxa" w:w="496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Care Syndicate Position</w:t>
            </w:r>
          </w:p>
        </w:tc>
      </w:tr>
      <w:tr>
        <w:tc>
          <w:tcPr>
            <w:tcW w:type="dxa" w:w="3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employed by umbrella company</w:t>
            </w:r>
          </w:p>
        </w:tc>
        <w:tc>
          <w:tcPr>
            <w:tcW w:type="dxa" w:w="1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Yes</w:t>
            </w:r>
          </w:p>
        </w:tc>
        <w:tc>
          <w:tcPr>
            <w:tcW w:type="dxa" w:w="49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2E7D32"/>
                <w:sz w:val="18"/>
                <w:szCs w:val="18"/>
              </w:rPr>
              <w:t xml:space="preserve">✅ ELIMINATED — Workers are genuinely self-employed (CEST verified) or on PAYE via independent payroll bureau. No umbrella employs anyone.</w:t>
            </w:r>
          </w:p>
        </w:tc>
      </w:tr>
      <w:tr>
        <w:tc>
          <w:tcPr>
            <w:tcW w:type="dxa" w:w="3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PAYE operated on earnings by umbrella</w:t>
            </w:r>
          </w:p>
        </w:tc>
        <w:tc>
          <w:tcPr>
            <w:tcW w:type="dxa" w:w="1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Yes</w:t>
            </w:r>
          </w:p>
        </w:tc>
        <w:tc>
          <w:tcPr>
            <w:tcW w:type="dxa" w:w="49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2E7D32"/>
                <w:sz w:val="18"/>
                <w:szCs w:val="18"/>
              </w:rPr>
              <w:t xml:space="preserve">✅ ELIMINATED — No umbrella operates PAYE. SE workers file self-assessment. PAYE workers processed by independent bureau.</w:t>
            </w:r>
          </w:p>
        </w:tc>
      </w:tr>
      <w:tr>
        <w:tc>
          <w:tcPr>
            <w:tcW w:type="dxa" w:w="3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Umbrella company in supply chain</w:t>
            </w:r>
          </w:p>
        </w:tc>
        <w:tc>
          <w:tcPr>
            <w:tcW w:type="dxa" w:w="1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Yes</w:t>
            </w:r>
          </w:p>
        </w:tc>
        <w:tc>
          <w:tcPr>
            <w:tcW w:type="dxa" w:w="49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2E7D32"/>
                <w:sz w:val="18"/>
                <w:szCs w:val="18"/>
              </w:rPr>
              <w:t xml:space="preserve">✅ ELIMINATED — No umbrella exists. Care Syndicate is a technology introducer, not an umbrella.</w:t>
            </w:r>
          </w:p>
        </w:tc>
      </w:tr>
      <w:tr>
        <w:tc>
          <w:tcPr>
            <w:tcW w:type="dxa" w:w="3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Employment business supplies worker</w:t>
            </w:r>
          </w:p>
        </w:tc>
        <w:tc>
          <w:tcPr>
            <w:tcW w:type="dxa" w:w="1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Yes</w:t>
            </w:r>
          </w:p>
        </w:tc>
        <w:tc>
          <w:tcPr>
            <w:tcW w:type="dxa" w:w="49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2E7D32"/>
                <w:sz w:val="18"/>
                <w:szCs w:val="18"/>
              </w:rPr>
              <w:t xml:space="preserve">✅ ELIMINATED — Care Syndicate is not an employment business. We introduce care professionals; we do not supply them.</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D32" w:sz="1"/>
              <w:left w:val="single" w:color="2E7D32" w:sz="8"/>
              <w:bottom w:val="single" w:color="2E7D32" w:sz="1"/>
              <w:right w:val="single" w:color="2E7D32" w:sz="1"/>
            </w:tcBorders>
            <w:shd w:fill="E8F5E9" w:val="clear"/>
            <w:tcMar>
              <w:top w:type="dxa" w:w="120"/>
              <w:left w:type="dxa" w:w="200"/>
              <w:bottom w:type="dxa" w:w="120"/>
              <w:right w:type="dxa" w:w="200"/>
            </w:tcMar>
          </w:tcPr>
          <w:p>
            <w:pPr>
              <w:spacing w:before="0" w:after="100"/>
              <w:jc w:val="left"/>
            </w:pPr>
            <w:r>
              <w:rPr>
                <w:rFonts w:ascii="Raleway" w:cs="Raleway" w:eastAsia="Raleway" w:hAnsi="Raleway"/>
                <w:b w:val="false"/>
                <w:bCs w:val="false"/>
                <w:i w:val="false"/>
                <w:iCs w:val="false"/>
                <w:color w:val="333333"/>
                <w:sz w:val="19"/>
                <w:szCs w:val="19"/>
              </w:rPr>
              <w:t xml:space="preserve">ALL FOUR CONDITIONS ELIMINATED. There is no entity in the Care Syndicate supply chain that can trigger JSL. The liability cannot attach because the structural prerequisites do not exist.</w:t>
            </w:r>
          </w:p>
        </w:tc>
      </w:tr>
    </w:tbl>
    <w:p>
      <w:pPr>
        <w:spacing w:before="0" w:after="2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4. WHAT YOU SHOULD DO NOW</w:t>
            </w:r>
          </w:p>
        </w:tc>
      </w:tr>
    </w:tbl>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Action</w:t>
            </w:r>
          </w:p>
        </w:tc>
        <w:tc>
          <w:tcPr>
            <w:tcW w:type="dxa" w:w="16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Timeline</w:t>
            </w:r>
          </w:p>
        </w:tc>
        <w:tc>
          <w:tcPr>
            <w:tcW w:type="dxa" w:w="536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Detail</w:t>
            </w:r>
          </w:p>
        </w:tc>
      </w:tr>
      <w:tr>
        <w:tc>
          <w:tcPr>
            <w:tcW w:type="dxa" w:w="24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4A1D5A"/>
                <w:sz w:val="18"/>
                <w:szCs w:val="18"/>
              </w:rPr>
              <w:t xml:space="preserve">1. Assess your current exposure</w:t>
            </w:r>
          </w:p>
        </w:tc>
        <w:tc>
          <w:tcPr>
            <w:tcW w:type="dxa" w:w="16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Immediately</w:t>
            </w:r>
          </w:p>
        </w:tc>
        <w:tc>
          <w:tcPr>
            <w:tcW w:type="dxa" w:w="5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Identify which of your agency arrangements involve umbrella companies. Ask your agency directly: 'Do any of our workers go through an umbrella company?' If yes, you are exposed from 6 April.</w:t>
            </w:r>
          </w:p>
        </w:tc>
      </w:tr>
      <w:tr>
        <w:tc>
          <w:tcPr>
            <w:tcW w:type="dxa" w:w="24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4A1D5A"/>
                <w:sz w:val="18"/>
                <w:szCs w:val="18"/>
              </w:rPr>
              <w:t xml:space="preserve">2. Engage with Care Syndicate</w:t>
            </w:r>
          </w:p>
        </w:tc>
        <w:tc>
          <w:tcPr>
            <w:tcW w:type="dxa" w:w="16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This week</w:t>
            </w:r>
          </w:p>
        </w:tc>
        <w:tc>
          <w:tcPr>
            <w:tcW w:type="dxa" w:w="53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Request an introductory call to understand the model, review compliance documentation, and scope a pilot transition.</w:t>
            </w:r>
          </w:p>
        </w:tc>
      </w:tr>
      <w:tr>
        <w:tc>
          <w:tcPr>
            <w:tcW w:type="dxa" w:w="24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4A1D5A"/>
                <w:sz w:val="18"/>
                <w:szCs w:val="18"/>
              </w:rPr>
              <w:t xml:space="preserve">3. Share with your legal team</w:t>
            </w:r>
          </w:p>
        </w:tc>
        <w:tc>
          <w:tcPr>
            <w:tcW w:type="dxa" w:w="16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Week 1</w:t>
            </w:r>
          </w:p>
        </w:tc>
        <w:tc>
          <w:tcPr>
            <w:tcW w:type="dxa" w:w="5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Provide your solicitors or in-house legal team with our Legal Distinction Guide, Indemnity Policy, and HMRC Position Paper for due diligence.</w:t>
            </w:r>
          </w:p>
        </w:tc>
      </w:tr>
      <w:tr>
        <w:tc>
          <w:tcPr>
            <w:tcW w:type="dxa" w:w="24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4A1D5A"/>
                <w:sz w:val="18"/>
                <w:szCs w:val="18"/>
              </w:rPr>
              <w:t xml:space="preserve">4. Begin pilot transition</w:t>
            </w:r>
          </w:p>
        </w:tc>
        <w:tc>
          <w:tcPr>
            <w:tcW w:type="dxa" w:w="16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Weeks 2–4</w:t>
            </w:r>
          </w:p>
        </w:tc>
        <w:tc>
          <w:tcPr>
            <w:tcW w:type="dxa" w:w="53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Start with 5–10 workers on the Care Syndicate platform. Run alongside existing agency arrangements during the pilot.</w:t>
            </w:r>
          </w:p>
        </w:tc>
      </w:tr>
      <w:tr>
        <w:tc>
          <w:tcPr>
            <w:tcW w:type="dxa" w:w="24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4A1D5A"/>
                <w:sz w:val="18"/>
                <w:szCs w:val="18"/>
              </w:rPr>
              <w:t xml:space="preserve">5. Scale before April deadline</w:t>
            </w:r>
          </w:p>
        </w:tc>
        <w:tc>
          <w:tcPr>
            <w:tcW w:type="dxa" w:w="16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Before 6 April</w:t>
            </w:r>
          </w:p>
        </w:tc>
        <w:tc>
          <w:tcPr>
            <w:tcW w:type="dxa" w:w="5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Expand to full workforce coverage. Ensure no umbrella company remains in any part of your supply chain by the effective date.</w:t>
            </w:r>
          </w:p>
        </w:tc>
      </w:tr>
    </w:tbl>
    <w:p>
      <w:pPr>
        <w:spacing w:before="0" w:after="15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80"/>
              <w:jc w:val="left"/>
            </w:pPr>
            <w:r>
              <w:rPr>
                <w:rFonts w:ascii="Raleway" w:cs="Raleway" w:eastAsia="Raleway" w:hAnsi="Raleway"/>
                <w:b/>
                <w:bCs/>
                <w:i w:val="false"/>
                <w:iCs w:val="false"/>
                <w:color w:val="FFFFFF"/>
                <w:sz w:val="24"/>
                <w:szCs w:val="24"/>
              </w:rPr>
              <w:t xml:space="preserve">THE BOTTOM LINE</w:t>
            </w:r>
          </w:p>
          <w:p>
            <w:pPr>
              <w:spacing w:before="0" w:after="80"/>
              <w:jc w:val="left"/>
            </w:pPr>
            <w:r>
              <w:rPr>
                <w:rFonts w:ascii="Raleway" w:cs="Raleway" w:eastAsia="Raleway" w:hAnsi="Raleway"/>
                <w:b w:val="false"/>
                <w:bCs w:val="false"/>
                <w:i w:val="false"/>
                <w:iCs w:val="false"/>
                <w:color w:val="C9A2CF"/>
                <w:sz w:val="20"/>
                <w:szCs w:val="20"/>
              </w:rPr>
              <w:t xml:space="preserve">JSL is one risk among several — but it is the most time-sensitive. From 6 April 2026, any care provider with an umbrella company in their supply chain carries strict, no-defence liability for unpaid tax.</w:t>
            </w:r>
          </w:p>
          <w:p>
            <w:pPr>
              <w:spacing w:before="0" w:after="80"/>
              <w:jc w:val="left"/>
            </w:pPr>
            <w:r>
              <w:rPr>
                <w:rFonts w:ascii="Raleway" w:cs="Raleway" w:eastAsia="Raleway" w:hAnsi="Raleway"/>
                <w:b/>
                <w:bCs/>
                <w:i w:val="false"/>
                <w:iCs w:val="false"/>
                <w:color w:val="FFFFFF"/>
                <w:sz w:val="22"/>
                <w:szCs w:val="22"/>
              </w:rPr>
              <w:t xml:space="preserve">Care Syndicate removes the umbrella. No umbrella means no JSL. It is that simple.</w:t>
            </w:r>
          </w:p>
          <w:p>
            <w:pPr>
              <w:spacing w:before="0" w:after="100"/>
              <w:jc w:val="left"/>
            </w:pPr>
            <w:r>
              <w:rPr>
                <w:rFonts w:ascii="Raleway" w:cs="Raleway" w:eastAsia="Raleway" w:hAnsi="Raleway"/>
                <w:b w:val="false"/>
                <w:bCs w:val="false"/>
                <w:i w:val="false"/>
                <w:iCs w:val="false"/>
                <w:color w:val="C9A2CF"/>
                <w:sz w:val="20"/>
                <w:szCs w:val="20"/>
              </w:rPr>
              <w:t xml:space="preserve">Contact: hello@caresyndicate.co.uk</w:t>
            </w:r>
          </w:p>
        </w:tc>
      </w:tr>
    </w:tbl>
    <w:p>
      <w:pPr>
        <w:spacing w:before="0" w:after="100"/>
        <w:jc w:val="left"/>
      </w:pPr>
    </w:p>
    <w:p>
      <w:pPr>
        <w:spacing w:before="0" w:after="100"/>
        <w:jc w:val="center"/>
      </w:pPr>
      <w:r>
        <w:rPr>
          <w:rFonts w:ascii="Raleway" w:cs="Raleway" w:eastAsia="Raleway" w:hAnsi="Raleway"/>
          <w:b w:val="false"/>
          <w:bCs w:val="false"/>
          <w:i w:val="false"/>
          <w:iCs w:val="false"/>
          <w:color w:val="666666"/>
          <w:sz w:val="16"/>
          <w:szCs w:val="16"/>
        </w:rPr>
        <w:t xml:space="preserve">© 2026 Care Syndicate Ltd.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color w:val="4A1D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2026-02-21T22:36:44.865Z</dcterms:created>
  <dcterms:modified xsi:type="dcterms:W3CDTF">2026-02-21T22:36:44.866Z</dcterms:modified>
</cp:coreProperties>
</file>

<file path=docProps/custom.xml><?xml version="1.0" encoding="utf-8"?>
<Properties xmlns="http://schemas.openxmlformats.org/officeDocument/2006/custom-properties" xmlns:vt="http://schemas.openxmlformats.org/officeDocument/2006/docPropsVTypes"/>
</file>