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88CF" w14:textId="77777777" w:rsidR="00B25AA9" w:rsidRDefault="00000000">
      <w:pPr>
        <w:spacing w:after="40"/>
      </w:pPr>
      <w:r>
        <w:rPr>
          <w:b/>
          <w:color w:val="4A1D5A"/>
          <w:sz w:val="48"/>
        </w:rPr>
        <w:t>CARE SYNDICATE</w:t>
      </w:r>
    </w:p>
    <w:p w14:paraId="6DC23919" w14:textId="77777777" w:rsidR="00B25AA9" w:rsidRDefault="00000000">
      <w:r>
        <w:rPr>
          <w:color w:val="7B3F8E"/>
          <w:sz w:val="32"/>
        </w:rPr>
        <w:t>Document Suite — Master List</w:t>
      </w:r>
    </w:p>
    <w:p w14:paraId="4F15745C" w14:textId="77777777" w:rsidR="00B25AA9" w:rsidRDefault="00000000">
      <w:pPr>
        <w:spacing w:after="40"/>
      </w:pPr>
      <w:r>
        <w:rPr>
          <w:color w:val="7B3F8E"/>
          <w:sz w:val="18"/>
        </w:rPr>
        <w:t>Last Updated: 21 February 2026</w:t>
      </w:r>
    </w:p>
    <w:p w14:paraId="051DC611" w14:textId="77777777" w:rsidR="00B25AA9" w:rsidRDefault="00B25AA9">
      <w:pPr>
        <w:pBdr>
          <w:bottom w:val="single" w:sz="6" w:space="1" w:color="4A1D5A"/>
        </w:pBdr>
        <w:spacing w:before="80" w:after="240"/>
      </w:pPr>
    </w:p>
    <w:p w14:paraId="62442914" w14:textId="77777777" w:rsidR="00B25AA9" w:rsidRDefault="00000000">
      <w:pPr>
        <w:shd w:val="clear" w:color="auto" w:fill="E8D5EC"/>
        <w:spacing w:before="120" w:after="40"/>
      </w:pPr>
      <w:r>
        <w:rPr>
          <w:b/>
          <w:color w:val="4A1D5A"/>
          <w:sz w:val="22"/>
        </w:rPr>
        <w:t>SUMMARY</w:t>
      </w:r>
    </w:p>
    <w:p w14:paraId="6BE8D93A" w14:textId="77777777" w:rsidR="00B25AA9" w:rsidRDefault="00000000">
      <w:pPr>
        <w:shd w:val="clear" w:color="auto" w:fill="E8D5EC"/>
        <w:spacing w:after="160"/>
      </w:pPr>
      <w:r>
        <w:rPr>
          <w:color w:val="2E0E38"/>
        </w:rPr>
        <w:t>Completed Documents:  18    |    Categories:  7    |    Status:  All Complete</w:t>
      </w:r>
    </w:p>
    <w:p w14:paraId="5EE274AA" w14:textId="77777777" w:rsidR="00B25AA9" w:rsidRDefault="00000000">
      <w:pPr>
        <w:shd w:val="clear" w:color="auto" w:fill="F3ECF6"/>
        <w:spacing w:before="200" w:after="40"/>
      </w:pPr>
      <w:r>
        <w:rPr>
          <w:b/>
          <w:color w:val="4A1D5A"/>
        </w:rPr>
        <w:t>KEY NOTES</w:t>
      </w:r>
    </w:p>
    <w:p w14:paraId="30A27B7F" w14:textId="77777777" w:rsidR="00B25AA9" w:rsidRDefault="00000000">
      <w:pPr>
        <w:shd w:val="clear" w:color="auto" w:fill="F3ECF6"/>
        <w:spacing w:after="20"/>
      </w:pPr>
      <w:r>
        <w:rPr>
          <w:sz w:val="18"/>
        </w:rPr>
        <w:t>Brand System: Raleway font  |  Purple palette (#4A1D5A, #2E0E38, #7B3F8E, #C9A2CF, #E8D5EC, #F3ECF6)</w:t>
      </w:r>
    </w:p>
    <w:p w14:paraId="64687387" w14:textId="77777777" w:rsidR="00B25AA9" w:rsidRDefault="00000000">
      <w:pPr>
        <w:shd w:val="clear" w:color="auto" w:fill="F3ECF6"/>
        <w:spacing w:after="20"/>
      </w:pPr>
      <w:r>
        <w:rPr>
          <w:sz w:val="18"/>
        </w:rPr>
        <w:t>Model A: Standard VAT Staff Supply — client pays + reclaims VAT on full charge</w:t>
      </w:r>
    </w:p>
    <w:p w14:paraId="1624EB52" w14:textId="77777777" w:rsidR="00B25AA9" w:rsidRDefault="00000000">
      <w:pPr>
        <w:shd w:val="clear" w:color="auto" w:fill="F3ECF6"/>
        <w:spacing w:after="20"/>
      </w:pPr>
      <w:r>
        <w:rPr>
          <w:sz w:val="18"/>
        </w:rPr>
        <w:t>Model B: VAT-Aligned Care Supply — no VAT on worker earnings, VAT only on platform fee</w:t>
      </w:r>
    </w:p>
    <w:p w14:paraId="21646422" w14:textId="77777777" w:rsidR="00B25AA9" w:rsidRDefault="00000000">
      <w:pPr>
        <w:shd w:val="clear" w:color="auto" w:fill="F3ECF6"/>
        <w:spacing w:after="20"/>
      </w:pPr>
      <w:r>
        <w:rPr>
          <w:sz w:val="18"/>
        </w:rPr>
        <w:t>Route 1: Self-Employed (UTR)  |  Route 2: Limited Company  |  Route 3: PAYE via Payroll Bureau</w:t>
      </w:r>
    </w:p>
    <w:p w14:paraId="236240CC" w14:textId="77777777" w:rsidR="00B25AA9" w:rsidRDefault="00000000">
      <w:pPr>
        <w:shd w:val="clear" w:color="auto" w:fill="F3ECF6"/>
        <w:spacing w:after="20"/>
      </w:pPr>
      <w:r>
        <w:rPr>
          <w:sz w:val="18"/>
        </w:rPr>
        <w:t>Lead Message: Compliance, protection, risk elimination, transparency. Cost savings mentioned but never the headline.</w:t>
      </w:r>
    </w:p>
    <w:p w14:paraId="0B5CA0CA" w14:textId="77777777" w:rsidR="00B25AA9" w:rsidRDefault="00B25AA9">
      <w:pPr>
        <w:spacing w:after="120"/>
      </w:pPr>
    </w:p>
    <w:p w14:paraId="7B910E37" w14:textId="77777777" w:rsidR="00B25AA9" w:rsidRDefault="00000000">
      <w:pPr>
        <w:pBdr>
          <w:bottom w:val="single" w:sz="4" w:space="1" w:color="C9A2CF"/>
        </w:pBdr>
        <w:spacing w:before="280"/>
      </w:pPr>
      <w:r>
        <w:rPr>
          <w:b/>
          <w:color w:val="4A1D5A"/>
          <w:sz w:val="26"/>
        </w:rPr>
        <w:t>1. CORE CLIENT MATERIALS</w:t>
      </w:r>
    </w:p>
    <w:p w14:paraId="06DB53F6" w14:textId="77777777" w:rsidR="00B25AA9" w:rsidRDefault="00000000">
      <w:pPr>
        <w:spacing w:after="120"/>
      </w:pPr>
      <w:r>
        <w:rPr>
          <w:i/>
          <w:color w:val="7B3F8E"/>
          <w:sz w:val="18"/>
        </w:rPr>
        <w:t>Documents shared with prospects and clients during the sales and onboarding process.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27"/>
        <w:gridCol w:w="1694"/>
        <w:gridCol w:w="2367"/>
        <w:gridCol w:w="3734"/>
      </w:tblGrid>
      <w:tr w:rsidR="00B25AA9" w14:paraId="15FA9FCD" w14:textId="77777777">
        <w:tc>
          <w:tcPr>
            <w:tcW w:w="2551" w:type="dxa"/>
            <w:shd w:val="clear" w:color="auto" w:fill="4A1D5A"/>
          </w:tcPr>
          <w:p w14:paraId="2730C123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1984" w:type="dxa"/>
            <w:shd w:val="clear" w:color="auto" w:fill="4A1D5A"/>
          </w:tcPr>
          <w:p w14:paraId="146E1B1B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w="3685" w:type="dxa"/>
            <w:shd w:val="clear" w:color="auto" w:fill="4A1D5A"/>
          </w:tcPr>
          <w:p w14:paraId="5F12A7E9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4A1D5A"/>
          </w:tcPr>
          <w:p w14:paraId="69C06BF6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Filename</w:t>
            </w:r>
          </w:p>
        </w:tc>
      </w:tr>
      <w:tr w:rsidR="00B25AA9" w14:paraId="7CCF642B" w14:textId="77777777">
        <w:tc>
          <w:tcPr>
            <w:tcW w:w="2351" w:type="dxa"/>
            <w:shd w:val="clear" w:color="auto" w:fill="F3ECF6"/>
          </w:tcPr>
          <w:p w14:paraId="4AD1305F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Client Information Pack</w:t>
            </w:r>
          </w:p>
        </w:tc>
        <w:tc>
          <w:tcPr>
            <w:tcW w:w="2351" w:type="dxa"/>
            <w:shd w:val="clear" w:color="auto" w:fill="F3ECF6"/>
          </w:tcPr>
          <w:p w14:paraId="56398F7E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Prospects &amp; Clients</w:t>
            </w:r>
          </w:p>
        </w:tc>
        <w:tc>
          <w:tcPr>
            <w:tcW w:w="2351" w:type="dxa"/>
            <w:shd w:val="clear" w:color="auto" w:fill="F3ECF6"/>
          </w:tcPr>
          <w:p w14:paraId="7942AC96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Full client-facing value proposition: two service models (A &amp; B), three payment routes, VAT advantage, CRM platform, compliance engine, legal framework, transparent pricing, transition roadmap, and FAQs.</w:t>
            </w:r>
          </w:p>
        </w:tc>
        <w:tc>
          <w:tcPr>
            <w:tcW w:w="2351" w:type="dxa"/>
            <w:shd w:val="clear" w:color="auto" w:fill="F3ECF6"/>
          </w:tcPr>
          <w:p w14:paraId="0DE3F234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CareSyndicate_Client_Information_Pack.docx</w:t>
            </w:r>
          </w:p>
        </w:tc>
      </w:tr>
      <w:tr w:rsidR="00B25AA9" w14:paraId="382299AC" w14:textId="77777777">
        <w:tc>
          <w:tcPr>
            <w:tcW w:w="2351" w:type="dxa"/>
            <w:shd w:val="clear" w:color="auto" w:fill="FFFFFF"/>
          </w:tcPr>
          <w:p w14:paraId="3B42B710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Client Compliance Pack</w:t>
            </w:r>
          </w:p>
        </w:tc>
        <w:tc>
          <w:tcPr>
            <w:tcW w:w="2351" w:type="dxa"/>
            <w:shd w:val="clear" w:color="auto" w:fill="FFFFFF"/>
          </w:tcPr>
          <w:p w14:paraId="0975BAF4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Prospects &amp; Clients (Onboarding)</w:t>
            </w:r>
          </w:p>
        </w:tc>
        <w:tc>
          <w:tcPr>
            <w:tcW w:w="2351" w:type="dxa"/>
            <w:shd w:val="clear" w:color="auto" w:fill="FFFFFF"/>
          </w:tcPr>
          <w:p w14:paraId="0491E9D4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Representative compliance evidence samples: PAYE payslips (payroll bureau), SE payment summaries (CRM), CEST output, sample invoices for both models, Indemnity Policy summary, Legal Distinction Guide summary.</w:t>
            </w:r>
          </w:p>
        </w:tc>
        <w:tc>
          <w:tcPr>
            <w:tcW w:w="2351" w:type="dxa"/>
            <w:shd w:val="clear" w:color="auto" w:fill="FFFFFF"/>
          </w:tcPr>
          <w:p w14:paraId="6CC40C8E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CareSyndicate_Client_Compliance_Pack.docx</w:t>
            </w:r>
          </w:p>
        </w:tc>
      </w:tr>
      <w:tr w:rsidR="00B25AA9" w14:paraId="35178684" w14:textId="77777777">
        <w:tc>
          <w:tcPr>
            <w:tcW w:w="2351" w:type="dxa"/>
            <w:shd w:val="clear" w:color="auto" w:fill="F3ECF6"/>
          </w:tcPr>
          <w:p w14:paraId="226E3F84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Provider Quick-Start Guide</w:t>
            </w:r>
          </w:p>
        </w:tc>
        <w:tc>
          <w:tcPr>
            <w:tcW w:w="2351" w:type="dxa"/>
            <w:shd w:val="clear" w:color="auto" w:fill="F3ECF6"/>
          </w:tcPr>
          <w:p w14:paraId="7A87713C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Registered Managers &amp; Ops Teams</w:t>
            </w:r>
          </w:p>
        </w:tc>
        <w:tc>
          <w:tcPr>
            <w:tcW w:w="2351" w:type="dxa"/>
            <w:shd w:val="clear" w:color="auto" w:fill="F3ECF6"/>
          </w:tcPr>
          <w:p w14:paraId="390FF32C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Simple operational guide: approve timesheets, pay one invoice, induct workers to care plans. Shows what Care Syndicate manages automatically via the CRM.</w:t>
            </w:r>
          </w:p>
        </w:tc>
        <w:tc>
          <w:tcPr>
            <w:tcW w:w="2351" w:type="dxa"/>
            <w:shd w:val="clear" w:color="auto" w:fill="F3ECF6"/>
          </w:tcPr>
          <w:p w14:paraId="33F0B9E0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CareSyndicate_Provider_QuickStart_Guide.docx</w:t>
            </w:r>
          </w:p>
        </w:tc>
      </w:tr>
      <w:tr w:rsidR="00B25AA9" w14:paraId="39420704" w14:textId="77777777">
        <w:tc>
          <w:tcPr>
            <w:tcW w:w="2351" w:type="dxa"/>
            <w:shd w:val="clear" w:color="auto" w:fill="FFFFFF"/>
          </w:tcPr>
          <w:p w14:paraId="62903C02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Executive Summary / Board Paper</w:t>
            </w:r>
          </w:p>
        </w:tc>
        <w:tc>
          <w:tcPr>
            <w:tcW w:w="2351" w:type="dxa"/>
            <w:shd w:val="clear" w:color="auto" w:fill="FFFFFF"/>
          </w:tcPr>
          <w:p w14:paraId="525B128F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Board Members &amp; Decision-Makers</w:t>
            </w:r>
          </w:p>
        </w:tc>
        <w:tc>
          <w:tcPr>
            <w:tcW w:w="2351" w:type="dxa"/>
            <w:shd w:val="clear" w:color="auto" w:fill="FFFFFF"/>
          </w:tcPr>
          <w:p w14:paraId="0AE3DF21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1–2 page summary: risk headline, compliance position, financial impact (illustrative savings), operational change, and recommended next steps for board approval.</w:t>
            </w:r>
          </w:p>
        </w:tc>
        <w:tc>
          <w:tcPr>
            <w:tcW w:w="2351" w:type="dxa"/>
            <w:shd w:val="clear" w:color="auto" w:fill="FFFFFF"/>
          </w:tcPr>
          <w:p w14:paraId="62F3AD08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CareSyndicate_Executive_Summary_Board_Paper.docx</w:t>
            </w:r>
          </w:p>
        </w:tc>
      </w:tr>
    </w:tbl>
    <w:p w14:paraId="3513E8A4" w14:textId="77777777" w:rsidR="00B25AA9" w:rsidRDefault="00000000">
      <w:pPr>
        <w:pBdr>
          <w:bottom w:val="single" w:sz="4" w:space="1" w:color="C9A2CF"/>
        </w:pBdr>
        <w:spacing w:before="280"/>
      </w:pPr>
      <w:r>
        <w:rPr>
          <w:b/>
          <w:color w:val="4A1D5A"/>
          <w:sz w:val="26"/>
        </w:rPr>
        <w:lastRenderedPageBreak/>
        <w:t>2. COMPLIANCE &amp; LEGAL</w:t>
      </w:r>
    </w:p>
    <w:p w14:paraId="57D09A4B" w14:textId="77777777" w:rsidR="00B25AA9" w:rsidRDefault="00000000">
      <w:pPr>
        <w:spacing w:after="120"/>
      </w:pPr>
      <w:r>
        <w:rPr>
          <w:i/>
          <w:color w:val="7B3F8E"/>
          <w:sz w:val="18"/>
        </w:rPr>
        <w:t>Deep-dive documents for legal teams, compliance officers, and finance directors conducting due diligence.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34"/>
        <w:gridCol w:w="1536"/>
        <w:gridCol w:w="2190"/>
        <w:gridCol w:w="4162"/>
      </w:tblGrid>
      <w:tr w:rsidR="00B25AA9" w14:paraId="76344AF8" w14:textId="77777777">
        <w:tc>
          <w:tcPr>
            <w:tcW w:w="2551" w:type="dxa"/>
            <w:shd w:val="clear" w:color="auto" w:fill="4A1D5A"/>
          </w:tcPr>
          <w:p w14:paraId="78BC0A5B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1984" w:type="dxa"/>
            <w:shd w:val="clear" w:color="auto" w:fill="4A1D5A"/>
          </w:tcPr>
          <w:p w14:paraId="60E64077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w="3685" w:type="dxa"/>
            <w:shd w:val="clear" w:color="auto" w:fill="4A1D5A"/>
          </w:tcPr>
          <w:p w14:paraId="7C43F55C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4A1D5A"/>
          </w:tcPr>
          <w:p w14:paraId="5628CC59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Filename</w:t>
            </w:r>
          </w:p>
        </w:tc>
      </w:tr>
      <w:tr w:rsidR="00B25AA9" w14:paraId="25D33BA5" w14:textId="77777777">
        <w:tc>
          <w:tcPr>
            <w:tcW w:w="2351" w:type="dxa"/>
            <w:shd w:val="clear" w:color="auto" w:fill="F3ECF6"/>
          </w:tcPr>
          <w:p w14:paraId="4F2D07BA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Compliance &amp; Protection Overview</w:t>
            </w:r>
          </w:p>
        </w:tc>
        <w:tc>
          <w:tcPr>
            <w:tcW w:w="2351" w:type="dxa"/>
            <w:shd w:val="clear" w:color="auto" w:fill="F3ECF6"/>
          </w:tcPr>
          <w:p w14:paraId="0D8E3953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Compliance Officers &amp; Legal Teams</w:t>
            </w:r>
          </w:p>
        </w:tc>
        <w:tc>
          <w:tcPr>
            <w:tcW w:w="2351" w:type="dxa"/>
            <w:shd w:val="clear" w:color="auto" w:fill="F3ECF6"/>
          </w:tcPr>
          <w:p w14:paraId="2439D4F5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Zero-liability position, worker insurance (£6m PL / £2m PI), CRM as compliance infrastructure, HMRC position (ESM4015, CEST, introducer distinction), employment status tests, April 2026 risk elimination, CQC readiness, audit trail, protection checklist.</w:t>
            </w:r>
          </w:p>
        </w:tc>
        <w:tc>
          <w:tcPr>
            <w:tcW w:w="2351" w:type="dxa"/>
            <w:shd w:val="clear" w:color="auto" w:fill="F3ECF6"/>
          </w:tcPr>
          <w:p w14:paraId="59AB907F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CareSyndicate_Compliance_Protection_Overview.docx</w:t>
            </w:r>
          </w:p>
        </w:tc>
      </w:tr>
      <w:tr w:rsidR="00B25AA9" w14:paraId="68088861" w14:textId="77777777">
        <w:tc>
          <w:tcPr>
            <w:tcW w:w="2351" w:type="dxa"/>
            <w:shd w:val="clear" w:color="auto" w:fill="FFFFFF"/>
          </w:tcPr>
          <w:p w14:paraId="33A3E4CF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HMRC Position &amp; Legal Standing</w:t>
            </w:r>
          </w:p>
        </w:tc>
        <w:tc>
          <w:tcPr>
            <w:tcW w:w="2351" w:type="dxa"/>
            <w:shd w:val="clear" w:color="auto" w:fill="FFFFFF"/>
          </w:tcPr>
          <w:p w14:paraId="318DB80F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Finance Directors &amp; Solicitors</w:t>
            </w:r>
          </w:p>
        </w:tc>
        <w:tc>
          <w:tcPr>
            <w:tcW w:w="2351" w:type="dxa"/>
            <w:shd w:val="clear" w:color="auto" w:fill="FFFFFF"/>
          </w:tcPr>
          <w:p w14:paraId="24DAEFA4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Legal and tax framework: Employment Agencies Act 1973, Conduct Regulations 2003, ESM4015, CEST endorsement, eight employment status tests, two VAT models, disbursement conditions, IR35/off-payroll rules, JSL provisions, statutory references.</w:t>
            </w:r>
          </w:p>
        </w:tc>
        <w:tc>
          <w:tcPr>
            <w:tcW w:w="2351" w:type="dxa"/>
            <w:shd w:val="clear" w:color="auto" w:fill="FFFFFF"/>
          </w:tcPr>
          <w:p w14:paraId="7E283865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CareSyndicate_HMRC_Position_Legal_Standing.docx</w:t>
            </w:r>
          </w:p>
        </w:tc>
      </w:tr>
      <w:tr w:rsidR="00B25AA9" w14:paraId="02A6A969" w14:textId="77777777">
        <w:tc>
          <w:tcPr>
            <w:tcW w:w="2351" w:type="dxa"/>
            <w:shd w:val="clear" w:color="auto" w:fill="F3ECF6"/>
          </w:tcPr>
          <w:p w14:paraId="2A64DDA9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Workforce Governance &amp; Audit Readiness</w:t>
            </w:r>
          </w:p>
        </w:tc>
        <w:tc>
          <w:tcPr>
            <w:tcW w:w="2351" w:type="dxa"/>
            <w:shd w:val="clear" w:color="auto" w:fill="F3ECF6"/>
          </w:tcPr>
          <w:p w14:paraId="7A986FDD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Compliance Teams &amp; Registered Managers</w:t>
            </w:r>
          </w:p>
        </w:tc>
        <w:tc>
          <w:tcPr>
            <w:tcW w:w="2351" w:type="dxa"/>
            <w:shd w:val="clear" w:color="auto" w:fill="F3ECF6"/>
          </w:tcPr>
          <w:p w14:paraId="45085876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Five overlapping audit frameworks (CQC Reg 17, Regs 18/19, HMRC reasonable care, LA commissioning, NHS heritage), PAYE route as compliance proof, audit evidence pack, scenario responses, governance checklists.</w:t>
            </w:r>
          </w:p>
        </w:tc>
        <w:tc>
          <w:tcPr>
            <w:tcW w:w="2351" w:type="dxa"/>
            <w:shd w:val="clear" w:color="auto" w:fill="F3ECF6"/>
          </w:tcPr>
          <w:p w14:paraId="6C368559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CareSyndicate_Workforce_Governance_Audit_Readiness.docx</w:t>
            </w:r>
          </w:p>
        </w:tc>
      </w:tr>
      <w:tr w:rsidR="00B25AA9" w14:paraId="2D392FEF" w14:textId="77777777">
        <w:tc>
          <w:tcPr>
            <w:tcW w:w="2351" w:type="dxa"/>
            <w:shd w:val="clear" w:color="auto" w:fill="FFFFFF"/>
          </w:tcPr>
          <w:p w14:paraId="4EBDE135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Provider Liability Briefing</w:t>
            </w:r>
          </w:p>
        </w:tc>
        <w:tc>
          <w:tcPr>
            <w:tcW w:w="2351" w:type="dxa"/>
            <w:shd w:val="clear" w:color="auto" w:fill="FFFFFF"/>
          </w:tcPr>
          <w:p w14:paraId="657593B5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Decision-Makers &amp; Legal Teams</w:t>
            </w:r>
          </w:p>
        </w:tc>
        <w:tc>
          <w:tcPr>
            <w:tcW w:w="2351" w:type="dxa"/>
            <w:shd w:val="clear" w:color="auto" w:fill="FFFFFF"/>
          </w:tcPr>
          <w:p w14:paraId="6AB07559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One question: 'What is my liability?' One answer: none. Structural reasoning for zero employment liability, zero JSL exposure, zero supply chain risk. Comparison with agency model.</w:t>
            </w:r>
          </w:p>
        </w:tc>
        <w:tc>
          <w:tcPr>
            <w:tcW w:w="2351" w:type="dxa"/>
            <w:shd w:val="clear" w:color="auto" w:fill="FFFFFF"/>
          </w:tcPr>
          <w:p w14:paraId="0E92B512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CareSyndicate_Provider_Liability_Briefing.docx</w:t>
            </w:r>
          </w:p>
        </w:tc>
      </w:tr>
    </w:tbl>
    <w:p w14:paraId="05F0A6BD" w14:textId="77777777" w:rsidR="00B25AA9" w:rsidRDefault="00000000">
      <w:pPr>
        <w:pBdr>
          <w:bottom w:val="single" w:sz="4" w:space="1" w:color="C9A2CF"/>
        </w:pBdr>
        <w:spacing w:before="280"/>
      </w:pPr>
      <w:r>
        <w:rPr>
          <w:b/>
          <w:color w:val="4A1D5A"/>
          <w:sz w:val="26"/>
        </w:rPr>
        <w:t>3. RISK &amp; REGULATORY</w:t>
      </w:r>
    </w:p>
    <w:p w14:paraId="7C395C00" w14:textId="77777777" w:rsidR="00B25AA9" w:rsidRDefault="00000000">
      <w:pPr>
        <w:spacing w:after="120"/>
      </w:pPr>
      <w:r>
        <w:rPr>
          <w:i/>
          <w:color w:val="7B3F8E"/>
          <w:sz w:val="18"/>
        </w:rPr>
        <w:t>Focused documents on specific risks and the April 2026 regulatory deadline.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42"/>
        <w:gridCol w:w="1760"/>
        <w:gridCol w:w="2661"/>
        <w:gridCol w:w="3259"/>
      </w:tblGrid>
      <w:tr w:rsidR="00B25AA9" w14:paraId="40404EC9" w14:textId="77777777">
        <w:tc>
          <w:tcPr>
            <w:tcW w:w="2551" w:type="dxa"/>
            <w:shd w:val="clear" w:color="auto" w:fill="4A1D5A"/>
          </w:tcPr>
          <w:p w14:paraId="3F8B66CF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1984" w:type="dxa"/>
            <w:shd w:val="clear" w:color="auto" w:fill="4A1D5A"/>
          </w:tcPr>
          <w:p w14:paraId="61F3E1F2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w="3685" w:type="dxa"/>
            <w:shd w:val="clear" w:color="auto" w:fill="4A1D5A"/>
          </w:tcPr>
          <w:p w14:paraId="642FFD71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4A1D5A"/>
          </w:tcPr>
          <w:p w14:paraId="201AD3E9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Filename</w:t>
            </w:r>
          </w:p>
        </w:tc>
      </w:tr>
      <w:tr w:rsidR="00B25AA9" w14:paraId="3DC8214A" w14:textId="77777777">
        <w:tc>
          <w:tcPr>
            <w:tcW w:w="2351" w:type="dxa"/>
            <w:shd w:val="clear" w:color="auto" w:fill="F3ECF6"/>
          </w:tcPr>
          <w:p w14:paraId="7E1B573F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Risk Elimination Summary</w:t>
            </w:r>
          </w:p>
        </w:tc>
        <w:tc>
          <w:tcPr>
            <w:tcW w:w="2351" w:type="dxa"/>
            <w:shd w:val="clear" w:color="auto" w:fill="F3ECF6"/>
          </w:tcPr>
          <w:p w14:paraId="79EF111B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All Audiences (Leave-Behind)</w:t>
            </w:r>
          </w:p>
        </w:tc>
        <w:tc>
          <w:tcPr>
            <w:tcW w:w="2351" w:type="dxa"/>
            <w:shd w:val="clear" w:color="auto" w:fill="F3ECF6"/>
          </w:tcPr>
          <w:p w14:paraId="63703783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12 material risks identified under agency/umbrella model. Each risk listed with current exposure and how Care Syndicate eliminates it. Liability-led, not VAT-led. Designed as post-meeting leave-behind.</w:t>
            </w:r>
          </w:p>
        </w:tc>
        <w:tc>
          <w:tcPr>
            <w:tcW w:w="2351" w:type="dxa"/>
            <w:shd w:val="clear" w:color="auto" w:fill="F3ECF6"/>
          </w:tcPr>
          <w:p w14:paraId="630E7C6C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CareSyndicate_Risk_Elimination_Summary.docx</w:t>
            </w:r>
          </w:p>
        </w:tc>
      </w:tr>
      <w:tr w:rsidR="00B25AA9" w14:paraId="3E180558" w14:textId="77777777">
        <w:tc>
          <w:tcPr>
            <w:tcW w:w="2351" w:type="dxa"/>
            <w:shd w:val="clear" w:color="auto" w:fill="FFFFFF"/>
          </w:tcPr>
          <w:p w14:paraId="41B1D67F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 xml:space="preserve">April 2026 JSL </w:t>
            </w:r>
            <w:r>
              <w:rPr>
                <w:b/>
                <w:color w:val="2E0E38"/>
                <w:sz w:val="18"/>
              </w:rPr>
              <w:lastRenderedPageBreak/>
              <w:t>Briefing</w:t>
            </w:r>
          </w:p>
        </w:tc>
        <w:tc>
          <w:tcPr>
            <w:tcW w:w="2351" w:type="dxa"/>
            <w:shd w:val="clear" w:color="auto" w:fill="FFFFFF"/>
          </w:tcPr>
          <w:p w14:paraId="5E7E8BF8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lastRenderedPageBreak/>
              <w:t>All Audiences</w:t>
            </w:r>
          </w:p>
        </w:tc>
        <w:tc>
          <w:tcPr>
            <w:tcW w:w="2351" w:type="dxa"/>
            <w:shd w:val="clear" w:color="auto" w:fill="FFFFFF"/>
          </w:tcPr>
          <w:p w14:paraId="37CC8E06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 xml:space="preserve">Standalone Joint &amp; Several </w:t>
            </w:r>
            <w:r>
              <w:rPr>
                <w:sz w:val="16"/>
              </w:rPr>
              <w:lastRenderedPageBreak/>
              <w:t>Liability document: what JSL is, how liability flows, who is exposed, the four trigger conditions, how Care Syndicate eliminates all four, and recommended actions with timeline.</w:t>
            </w:r>
          </w:p>
        </w:tc>
        <w:tc>
          <w:tcPr>
            <w:tcW w:w="2351" w:type="dxa"/>
            <w:shd w:val="clear" w:color="auto" w:fill="FFFFFF"/>
          </w:tcPr>
          <w:p w14:paraId="3D71495B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lastRenderedPageBreak/>
              <w:t>CareSyndicate_April_2026_JSL_Briefing.docx</w:t>
            </w:r>
          </w:p>
        </w:tc>
      </w:tr>
    </w:tbl>
    <w:p w14:paraId="3A91E047" w14:textId="77777777" w:rsidR="00B25AA9" w:rsidRDefault="00000000">
      <w:pPr>
        <w:pBdr>
          <w:bottom w:val="single" w:sz="4" w:space="1" w:color="C9A2CF"/>
        </w:pBdr>
        <w:spacing w:before="280"/>
      </w:pPr>
      <w:r>
        <w:rPr>
          <w:b/>
          <w:color w:val="4A1D5A"/>
          <w:sz w:val="26"/>
        </w:rPr>
        <w:t>4. FINANCIAL &amp; INVOICING</w:t>
      </w:r>
    </w:p>
    <w:p w14:paraId="0955DF6F" w14:textId="77777777" w:rsidR="00B25AA9" w:rsidRDefault="00000000">
      <w:pPr>
        <w:spacing w:after="120"/>
      </w:pPr>
      <w:r>
        <w:rPr>
          <w:i/>
          <w:color w:val="7B3F8E"/>
          <w:sz w:val="18"/>
        </w:rPr>
        <w:t>Documents explaining payment mechanics, VAT treatment, and invoice structures.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52"/>
        <w:gridCol w:w="1435"/>
        <w:gridCol w:w="1970"/>
        <w:gridCol w:w="4465"/>
      </w:tblGrid>
      <w:tr w:rsidR="00B25AA9" w14:paraId="204F61BD" w14:textId="77777777">
        <w:tc>
          <w:tcPr>
            <w:tcW w:w="2551" w:type="dxa"/>
            <w:shd w:val="clear" w:color="auto" w:fill="4A1D5A"/>
          </w:tcPr>
          <w:p w14:paraId="3E695E6C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1984" w:type="dxa"/>
            <w:shd w:val="clear" w:color="auto" w:fill="4A1D5A"/>
          </w:tcPr>
          <w:p w14:paraId="6B581871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w="3685" w:type="dxa"/>
            <w:shd w:val="clear" w:color="auto" w:fill="4A1D5A"/>
          </w:tcPr>
          <w:p w14:paraId="2DAEA4A2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4A1D5A"/>
          </w:tcPr>
          <w:p w14:paraId="1FEE9ED0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Filename</w:t>
            </w:r>
          </w:p>
        </w:tc>
      </w:tr>
      <w:tr w:rsidR="00B25AA9" w14:paraId="453C506E" w14:textId="77777777">
        <w:tc>
          <w:tcPr>
            <w:tcW w:w="2351" w:type="dxa"/>
            <w:shd w:val="clear" w:color="auto" w:fill="F3ECF6"/>
          </w:tcPr>
          <w:p w14:paraId="206550C6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Sample Invoice Walkthrough</w:t>
            </w:r>
          </w:p>
        </w:tc>
        <w:tc>
          <w:tcPr>
            <w:tcW w:w="2351" w:type="dxa"/>
            <w:shd w:val="clear" w:color="auto" w:fill="F3ECF6"/>
          </w:tcPr>
          <w:p w14:paraId="69D88FD9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Finance Teams</w:t>
            </w:r>
          </w:p>
        </w:tc>
        <w:tc>
          <w:tcPr>
            <w:tcW w:w="2351" w:type="dxa"/>
            <w:shd w:val="clear" w:color="auto" w:fill="F3ECF6"/>
          </w:tcPr>
          <w:p w14:paraId="34136275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Annotated example invoices for Model A (Standard VAT) and Model B (VAT-Aligned). Every line explained: worker earnings, platform fee, VAT treatment. Includes VAT saving comparison.</w:t>
            </w:r>
          </w:p>
        </w:tc>
        <w:tc>
          <w:tcPr>
            <w:tcW w:w="2351" w:type="dxa"/>
            <w:shd w:val="clear" w:color="auto" w:fill="F3ECF6"/>
          </w:tcPr>
          <w:p w14:paraId="66B4E82F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CareSyndicate_Sample_Invoice_Walkthrough.docx</w:t>
            </w:r>
          </w:p>
        </w:tc>
      </w:tr>
      <w:tr w:rsidR="00B25AA9" w14:paraId="2571434B" w14:textId="77777777">
        <w:tc>
          <w:tcPr>
            <w:tcW w:w="2351" w:type="dxa"/>
            <w:shd w:val="clear" w:color="auto" w:fill="FFFFFF"/>
          </w:tcPr>
          <w:p w14:paraId="35E66161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How Workers Are Paid: Transparency Guide</w:t>
            </w:r>
          </w:p>
        </w:tc>
        <w:tc>
          <w:tcPr>
            <w:tcW w:w="2351" w:type="dxa"/>
            <w:shd w:val="clear" w:color="auto" w:fill="FFFFFF"/>
          </w:tcPr>
          <w:p w14:paraId="6232A2C6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Registered Managers &amp; Finance Teams</w:t>
            </w:r>
          </w:p>
        </w:tc>
        <w:tc>
          <w:tcPr>
            <w:tcW w:w="2351" w:type="dxa"/>
            <w:shd w:val="clear" w:color="auto" w:fill="FFFFFF"/>
          </w:tcPr>
          <w:p w14:paraId="4B9B6C48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Plain-language explanation of three payment routes: Route 1 (SE sole trader), Route 2 (Limited Company), Route 3 (PAYE via payroll bureau). Shows how the CRM determines the correct route via CEST.</w:t>
            </w:r>
          </w:p>
        </w:tc>
        <w:tc>
          <w:tcPr>
            <w:tcW w:w="2351" w:type="dxa"/>
            <w:shd w:val="clear" w:color="auto" w:fill="FFFFFF"/>
          </w:tcPr>
          <w:p w14:paraId="2495E4A5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CareSyndicate_How_Workers_Are_Paid_Transparency_Guide.docx</w:t>
            </w:r>
          </w:p>
        </w:tc>
      </w:tr>
    </w:tbl>
    <w:p w14:paraId="052F5450" w14:textId="77777777" w:rsidR="00B25AA9" w:rsidRDefault="00000000">
      <w:pPr>
        <w:pBdr>
          <w:bottom w:val="single" w:sz="4" w:space="1" w:color="C9A2CF"/>
        </w:pBdr>
        <w:spacing w:before="280"/>
      </w:pPr>
      <w:r>
        <w:rPr>
          <w:b/>
          <w:color w:val="4A1D5A"/>
          <w:sz w:val="26"/>
        </w:rPr>
        <w:t>5. WORKER &amp; PLATFORM</w:t>
      </w:r>
    </w:p>
    <w:p w14:paraId="03C24028" w14:textId="77777777" w:rsidR="00B25AA9" w:rsidRDefault="00000000">
      <w:pPr>
        <w:spacing w:after="120"/>
      </w:pPr>
      <w:r>
        <w:rPr>
          <w:i/>
          <w:color w:val="7B3F8E"/>
          <w:sz w:val="18"/>
        </w:rPr>
        <w:t>Documents focused on worker experience and the CRM technology platform.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5"/>
        <w:gridCol w:w="1612"/>
        <w:gridCol w:w="2354"/>
        <w:gridCol w:w="3851"/>
      </w:tblGrid>
      <w:tr w:rsidR="00B25AA9" w14:paraId="0C727344" w14:textId="77777777">
        <w:tc>
          <w:tcPr>
            <w:tcW w:w="2551" w:type="dxa"/>
            <w:shd w:val="clear" w:color="auto" w:fill="4A1D5A"/>
          </w:tcPr>
          <w:p w14:paraId="4E23EFC2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1984" w:type="dxa"/>
            <w:shd w:val="clear" w:color="auto" w:fill="4A1D5A"/>
          </w:tcPr>
          <w:p w14:paraId="53B1CC47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w="3685" w:type="dxa"/>
            <w:shd w:val="clear" w:color="auto" w:fill="4A1D5A"/>
          </w:tcPr>
          <w:p w14:paraId="66F6A1B9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4A1D5A"/>
          </w:tcPr>
          <w:p w14:paraId="1EA71F8F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Filename</w:t>
            </w:r>
          </w:p>
        </w:tc>
      </w:tr>
      <w:tr w:rsidR="00B25AA9" w14:paraId="5330B964" w14:textId="77777777">
        <w:tc>
          <w:tcPr>
            <w:tcW w:w="2351" w:type="dxa"/>
            <w:shd w:val="clear" w:color="auto" w:fill="F3ECF6"/>
          </w:tcPr>
          <w:p w14:paraId="1DBCA1AA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Worker Protection &amp; Insurance Guide</w:t>
            </w:r>
          </w:p>
        </w:tc>
        <w:tc>
          <w:tcPr>
            <w:tcW w:w="2351" w:type="dxa"/>
            <w:shd w:val="clear" w:color="auto" w:fill="F3ECF6"/>
          </w:tcPr>
          <w:p w14:paraId="6892C5CE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Providers &amp; HR Teams</w:t>
            </w:r>
          </w:p>
        </w:tc>
        <w:tc>
          <w:tcPr>
            <w:tcW w:w="2351" w:type="dxa"/>
            <w:shd w:val="clear" w:color="auto" w:fill="F3ECF6"/>
          </w:tcPr>
          <w:p w14:paraId="61BB61E0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What the model means for care professionals: higher take-home pay, no umbrella deductions, comprehensive insurance (£6m PL / £2m PI), credential verification, flexibility, PAYE rights when applicable.</w:t>
            </w:r>
          </w:p>
        </w:tc>
        <w:tc>
          <w:tcPr>
            <w:tcW w:w="2351" w:type="dxa"/>
            <w:shd w:val="clear" w:color="auto" w:fill="F3ECF6"/>
          </w:tcPr>
          <w:p w14:paraId="6CA6B9BF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CareSyndicate_Worker_Protection_Insurance_Guide.docx</w:t>
            </w:r>
          </w:p>
        </w:tc>
      </w:tr>
      <w:tr w:rsidR="00B25AA9" w14:paraId="6A50C9C2" w14:textId="77777777">
        <w:tc>
          <w:tcPr>
            <w:tcW w:w="2351" w:type="dxa"/>
            <w:shd w:val="clear" w:color="auto" w:fill="FFFFFF"/>
          </w:tcPr>
          <w:p w14:paraId="0F45057A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CRM Value Proposition</w:t>
            </w:r>
          </w:p>
        </w:tc>
        <w:tc>
          <w:tcPr>
            <w:tcW w:w="2351" w:type="dxa"/>
            <w:shd w:val="clear" w:color="auto" w:fill="FFFFFF"/>
          </w:tcPr>
          <w:p w14:paraId="65EFCC1F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Prospects &amp; IT/Ops Teams</w:t>
            </w:r>
          </w:p>
        </w:tc>
        <w:tc>
          <w:tcPr>
            <w:tcW w:w="2351" w:type="dxa"/>
            <w:shd w:val="clear" w:color="auto" w:fill="FFFFFF"/>
          </w:tcPr>
          <w:p w14:paraId="3B76A0F2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Platform-focused: four user portals, compliance engine (CEST integration, decline tracking, substitution workflow, dependency monitor, insurance monitoring, payment routing), AI features, comparison with generic software.</w:t>
            </w:r>
          </w:p>
        </w:tc>
        <w:tc>
          <w:tcPr>
            <w:tcW w:w="2351" w:type="dxa"/>
            <w:shd w:val="clear" w:color="auto" w:fill="FFFFFF"/>
          </w:tcPr>
          <w:p w14:paraId="51093C07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CareSyndicate_CRM_Value_Proposition.docx</w:t>
            </w:r>
          </w:p>
        </w:tc>
      </w:tr>
    </w:tbl>
    <w:p w14:paraId="385902ED" w14:textId="77777777" w:rsidR="00B25AA9" w:rsidRDefault="00000000">
      <w:pPr>
        <w:pBdr>
          <w:bottom w:val="single" w:sz="4" w:space="1" w:color="C9A2CF"/>
        </w:pBdr>
        <w:spacing w:before="280"/>
      </w:pPr>
      <w:r>
        <w:rPr>
          <w:b/>
          <w:color w:val="4A1D5A"/>
          <w:sz w:val="26"/>
        </w:rPr>
        <w:t>6. SALES &amp; COMPETITIVE</w:t>
      </w:r>
    </w:p>
    <w:p w14:paraId="49D203B5" w14:textId="77777777" w:rsidR="00B25AA9" w:rsidRDefault="00000000">
      <w:pPr>
        <w:spacing w:after="120"/>
      </w:pPr>
      <w:r>
        <w:rPr>
          <w:i/>
          <w:color w:val="7B3F8E"/>
          <w:sz w:val="18"/>
        </w:rPr>
        <w:t>Internal sales materials and competitive comparison documents.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87"/>
        <w:gridCol w:w="1563"/>
        <w:gridCol w:w="2211"/>
        <w:gridCol w:w="4061"/>
      </w:tblGrid>
      <w:tr w:rsidR="00B25AA9" w14:paraId="57B5CD74" w14:textId="77777777">
        <w:tc>
          <w:tcPr>
            <w:tcW w:w="2551" w:type="dxa"/>
            <w:shd w:val="clear" w:color="auto" w:fill="4A1D5A"/>
          </w:tcPr>
          <w:p w14:paraId="18E506C8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lastRenderedPageBreak/>
              <w:t>Document</w:t>
            </w:r>
          </w:p>
        </w:tc>
        <w:tc>
          <w:tcPr>
            <w:tcW w:w="1984" w:type="dxa"/>
            <w:shd w:val="clear" w:color="auto" w:fill="4A1D5A"/>
          </w:tcPr>
          <w:p w14:paraId="2541D9D6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w="3685" w:type="dxa"/>
            <w:shd w:val="clear" w:color="auto" w:fill="4A1D5A"/>
          </w:tcPr>
          <w:p w14:paraId="6A4E9C8A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4A1D5A"/>
          </w:tcPr>
          <w:p w14:paraId="64D84401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Filename</w:t>
            </w:r>
          </w:p>
        </w:tc>
      </w:tr>
      <w:tr w:rsidR="00B25AA9" w14:paraId="5B6FC044" w14:textId="77777777">
        <w:tc>
          <w:tcPr>
            <w:tcW w:w="2351" w:type="dxa"/>
            <w:shd w:val="clear" w:color="auto" w:fill="F3ECF6"/>
          </w:tcPr>
          <w:p w14:paraId="7497B4FA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Agency vs Care Syndicate Comparison</w:t>
            </w:r>
          </w:p>
        </w:tc>
        <w:tc>
          <w:tcPr>
            <w:tcW w:w="2351" w:type="dxa"/>
            <w:shd w:val="clear" w:color="auto" w:fill="F3ECF6"/>
          </w:tcPr>
          <w:p w14:paraId="7B06D2DA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All Audiences (Leave-Behind)</w:t>
            </w:r>
          </w:p>
        </w:tc>
        <w:tc>
          <w:tcPr>
            <w:tcW w:w="2351" w:type="dxa"/>
            <w:shd w:val="clear" w:color="auto" w:fill="F3ECF6"/>
          </w:tcPr>
          <w:p w14:paraId="4FD3F519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Side-by-side comparison across compliance &amp; risk, transparency &amp; cost, and worker quality &amp; protection. Leads with protection and evidence, not price.</w:t>
            </w:r>
          </w:p>
        </w:tc>
        <w:tc>
          <w:tcPr>
            <w:tcW w:w="2351" w:type="dxa"/>
            <w:shd w:val="clear" w:color="auto" w:fill="F3ECF6"/>
          </w:tcPr>
          <w:p w14:paraId="116E9C52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CareSyndicate_Agency_vs_CareSyndicate_Comparison.docx</w:t>
            </w:r>
          </w:p>
        </w:tc>
      </w:tr>
      <w:tr w:rsidR="00B25AA9" w14:paraId="26E6B51C" w14:textId="77777777">
        <w:tc>
          <w:tcPr>
            <w:tcW w:w="2351" w:type="dxa"/>
            <w:shd w:val="clear" w:color="auto" w:fill="FFFFFF"/>
          </w:tcPr>
          <w:p w14:paraId="692FDFAB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Sales Training Guide</w:t>
            </w:r>
          </w:p>
        </w:tc>
        <w:tc>
          <w:tcPr>
            <w:tcW w:w="2351" w:type="dxa"/>
            <w:shd w:val="clear" w:color="auto" w:fill="FFFFFF"/>
          </w:tcPr>
          <w:p w14:paraId="6CA4A3B2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Internal Sales Team Only</w:t>
            </w:r>
          </w:p>
        </w:tc>
        <w:tc>
          <w:tcPr>
            <w:tcW w:w="2351" w:type="dxa"/>
            <w:shd w:val="clear" w:color="auto" w:fill="FFFFFF"/>
          </w:tcPr>
          <w:p w14:paraId="0328D82E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Full training manual: industry landscape, Care Syndicate model, CRM platform, target market &amp; ICP, competitor analysis, sales process, pitch scripts, objection handling, compliance knowledge, onboarding, pricing &amp; revenue model, KPIs.</w:t>
            </w:r>
          </w:p>
        </w:tc>
        <w:tc>
          <w:tcPr>
            <w:tcW w:w="2351" w:type="dxa"/>
            <w:shd w:val="clear" w:color="auto" w:fill="FFFFFF"/>
          </w:tcPr>
          <w:p w14:paraId="50FA2192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CareSyndicate_Sales_Training_Guide.docx</w:t>
            </w:r>
          </w:p>
        </w:tc>
      </w:tr>
    </w:tbl>
    <w:p w14:paraId="7BBEC032" w14:textId="77777777" w:rsidR="00B25AA9" w:rsidRDefault="00000000">
      <w:pPr>
        <w:pBdr>
          <w:bottom w:val="single" w:sz="4" w:space="1" w:color="C9A2CF"/>
        </w:pBdr>
        <w:spacing w:before="280"/>
      </w:pPr>
      <w:r>
        <w:rPr>
          <w:b/>
          <w:color w:val="4A1D5A"/>
          <w:sz w:val="26"/>
        </w:rPr>
        <w:t>7. INTERNAL / OPERATIONAL</w:t>
      </w:r>
    </w:p>
    <w:p w14:paraId="5FE033E0" w14:textId="77777777" w:rsidR="00B25AA9" w:rsidRDefault="00000000">
      <w:pPr>
        <w:spacing w:after="120"/>
      </w:pPr>
      <w:r>
        <w:rPr>
          <w:i/>
          <w:color w:val="7B3F8E"/>
          <w:sz w:val="18"/>
        </w:rPr>
        <w:t>Documents for internal use and external development partners.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01"/>
        <w:gridCol w:w="1759"/>
        <w:gridCol w:w="2578"/>
        <w:gridCol w:w="3384"/>
      </w:tblGrid>
      <w:tr w:rsidR="00B25AA9" w14:paraId="7E5AFA7E" w14:textId="77777777">
        <w:tc>
          <w:tcPr>
            <w:tcW w:w="2551" w:type="dxa"/>
            <w:shd w:val="clear" w:color="auto" w:fill="4A1D5A"/>
          </w:tcPr>
          <w:p w14:paraId="37330000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1984" w:type="dxa"/>
            <w:shd w:val="clear" w:color="auto" w:fill="4A1D5A"/>
          </w:tcPr>
          <w:p w14:paraId="3A93E1DB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w="3685" w:type="dxa"/>
            <w:shd w:val="clear" w:color="auto" w:fill="4A1D5A"/>
          </w:tcPr>
          <w:p w14:paraId="564C70F0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4A1D5A"/>
          </w:tcPr>
          <w:p w14:paraId="4D9593FC" w14:textId="77777777" w:rsidR="00B25A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Filename</w:t>
            </w:r>
          </w:p>
        </w:tc>
      </w:tr>
      <w:tr w:rsidR="00B25AA9" w14:paraId="027251B7" w14:textId="77777777">
        <w:tc>
          <w:tcPr>
            <w:tcW w:w="2351" w:type="dxa"/>
            <w:shd w:val="clear" w:color="auto" w:fill="F3ECF6"/>
          </w:tcPr>
          <w:p w14:paraId="0348ACB6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Document Suite Master List</w:t>
            </w:r>
          </w:p>
        </w:tc>
        <w:tc>
          <w:tcPr>
            <w:tcW w:w="2351" w:type="dxa"/>
            <w:shd w:val="clear" w:color="auto" w:fill="F3ECF6"/>
          </w:tcPr>
          <w:p w14:paraId="16167C31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Internal Team</w:t>
            </w:r>
          </w:p>
        </w:tc>
        <w:tc>
          <w:tcPr>
            <w:tcW w:w="2351" w:type="dxa"/>
            <w:shd w:val="clear" w:color="auto" w:fill="F3ECF6"/>
          </w:tcPr>
          <w:p w14:paraId="77A70E82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This document. Master index of all 18 completed documents with categories, audiences, descriptions, and filenames.</w:t>
            </w:r>
          </w:p>
        </w:tc>
        <w:tc>
          <w:tcPr>
            <w:tcW w:w="2351" w:type="dxa"/>
            <w:shd w:val="clear" w:color="auto" w:fill="F3ECF6"/>
          </w:tcPr>
          <w:p w14:paraId="5EE49699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CareSyndicate_Document_Suite_Master_List.docx</w:t>
            </w:r>
          </w:p>
        </w:tc>
      </w:tr>
      <w:tr w:rsidR="00B25AA9" w14:paraId="477D6314" w14:textId="77777777">
        <w:tc>
          <w:tcPr>
            <w:tcW w:w="2351" w:type="dxa"/>
            <w:shd w:val="clear" w:color="auto" w:fill="FFFFFF"/>
          </w:tcPr>
          <w:p w14:paraId="76B57CB2" w14:textId="77777777" w:rsidR="00B25AA9" w:rsidRDefault="00000000">
            <w:pPr>
              <w:spacing w:before="40" w:after="40"/>
            </w:pPr>
            <w:r>
              <w:rPr>
                <w:b/>
                <w:color w:val="2E0E38"/>
                <w:sz w:val="18"/>
              </w:rPr>
              <w:t>Digital Services &amp; Website Brief</w:t>
            </w:r>
          </w:p>
        </w:tc>
        <w:tc>
          <w:tcPr>
            <w:tcW w:w="2351" w:type="dxa"/>
            <w:shd w:val="clear" w:color="auto" w:fill="FFFFFF"/>
          </w:tcPr>
          <w:p w14:paraId="2B7DA0BE" w14:textId="77777777" w:rsidR="00B25AA9" w:rsidRDefault="00000000">
            <w:pPr>
              <w:spacing w:before="40" w:after="40"/>
            </w:pPr>
            <w:r>
              <w:rPr>
                <w:color w:val="555555"/>
                <w:sz w:val="16"/>
              </w:rPr>
              <w:t>External Dev Partner</w:t>
            </w:r>
          </w:p>
        </w:tc>
        <w:tc>
          <w:tcPr>
            <w:tcW w:w="2351" w:type="dxa"/>
            <w:shd w:val="clear" w:color="auto" w:fill="FFFFFF"/>
          </w:tcPr>
          <w:p w14:paraId="0D8C6EF8" w14:textId="77777777" w:rsidR="00B25AA9" w:rsidRDefault="00000000">
            <w:pPr>
              <w:spacing w:before="40" w:after="40"/>
            </w:pPr>
            <w:r>
              <w:rPr>
                <w:sz w:val="16"/>
              </w:rPr>
              <w:t>Scope of work for website development, branding, visual identity, domain management, email migration, and marketing materials. CRM development excluded (in-house).</w:t>
            </w:r>
          </w:p>
        </w:tc>
        <w:tc>
          <w:tcPr>
            <w:tcW w:w="2351" w:type="dxa"/>
            <w:shd w:val="clear" w:color="auto" w:fill="FFFFFF"/>
          </w:tcPr>
          <w:p w14:paraId="5F89E0AE" w14:textId="77777777" w:rsidR="00B25AA9" w:rsidRDefault="00000000">
            <w:pPr>
              <w:spacing w:before="40" w:after="40"/>
            </w:pPr>
            <w:r>
              <w:rPr>
                <w:color w:val="666666"/>
                <w:sz w:val="14"/>
              </w:rPr>
              <w:t>Care_Syndicate_Digital_Services_Brief.docx</w:t>
            </w:r>
          </w:p>
        </w:tc>
      </w:tr>
    </w:tbl>
    <w:p w14:paraId="304ED760" w14:textId="77777777" w:rsidR="00B25AA9" w:rsidRDefault="00B25AA9">
      <w:pPr>
        <w:spacing w:after="240"/>
      </w:pPr>
    </w:p>
    <w:p w14:paraId="5BA940EF" w14:textId="77777777" w:rsidR="00B25AA9" w:rsidRDefault="00000000">
      <w:pPr>
        <w:pBdr>
          <w:top w:val="single" w:sz="4" w:space="1" w:color="C9A2CF"/>
        </w:pBdr>
        <w:spacing w:before="160"/>
      </w:pPr>
      <w:r>
        <w:rPr>
          <w:color w:val="7B3F8E"/>
          <w:sz w:val="16"/>
        </w:rPr>
        <w:t>© 2026 Care Syndicate Ltd. All rights reserved.  |  hello@caresyndicate.co.uk</w:t>
      </w:r>
    </w:p>
    <w:sectPr w:rsidR="00B25AA9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847619">
    <w:abstractNumId w:val="8"/>
  </w:num>
  <w:num w:numId="2" w16cid:durableId="1374846753">
    <w:abstractNumId w:val="6"/>
  </w:num>
  <w:num w:numId="3" w16cid:durableId="1308784430">
    <w:abstractNumId w:val="5"/>
  </w:num>
  <w:num w:numId="4" w16cid:durableId="1959138399">
    <w:abstractNumId w:val="4"/>
  </w:num>
  <w:num w:numId="5" w16cid:durableId="2141998783">
    <w:abstractNumId w:val="7"/>
  </w:num>
  <w:num w:numId="6" w16cid:durableId="2040933474">
    <w:abstractNumId w:val="3"/>
  </w:num>
  <w:num w:numId="7" w16cid:durableId="1465151833">
    <w:abstractNumId w:val="2"/>
  </w:num>
  <w:num w:numId="8" w16cid:durableId="1246303834">
    <w:abstractNumId w:val="1"/>
  </w:num>
  <w:num w:numId="9" w16cid:durableId="149251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476"/>
    <w:rsid w:val="00326F90"/>
    <w:rsid w:val="005A0C61"/>
    <w:rsid w:val="00AA1D8D"/>
    <w:rsid w:val="00B25AA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23D368-6652-42A5-8397-2AE31EB6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855</Words>
  <Characters>6226</Characters>
  <Application>Microsoft Office Word</Application>
  <DocSecurity>0</DocSecurity>
  <Lines>311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Van Ackeren</cp:lastModifiedBy>
  <cp:revision>2</cp:revision>
  <dcterms:created xsi:type="dcterms:W3CDTF">2013-12-23T23:15:00Z</dcterms:created>
  <dcterms:modified xsi:type="dcterms:W3CDTF">2026-02-21T23:30:00Z</dcterms:modified>
  <cp:category/>
</cp:coreProperties>
</file>