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left"/>
      </w:pPr>
    </w:p>
    <w:p>
      <w:pPr>
        <w:spacing w:before="0" w:after="20"/>
        <w:jc w:val="center"/>
      </w:pPr>
      <w:r>
        <w:rPr>
          <w:rFonts w:ascii="Raleway" w:cs="Raleway" w:eastAsia="Raleway" w:hAnsi="Raleway"/>
          <w:b/>
          <w:bCs/>
          <w:i w:val="false"/>
          <w:iCs w:val="false"/>
          <w:color w:val="4A1D5A"/>
          <w:sz w:val="40"/>
          <w:szCs w:val="40"/>
        </w:rPr>
        <w:t xml:space="preserve">CARE SYNDICATE</w:t>
      </w:r>
    </w:p>
    <w:p>
      <w:pPr>
        <w:spacing w:before="0" w:after="20"/>
        <w:jc w:val="center"/>
      </w:pPr>
      <w:r>
        <w:rPr>
          <w:rFonts w:ascii="Raleway" w:cs="Raleway" w:eastAsia="Raleway" w:hAnsi="Raleway"/>
          <w:b w:val="false"/>
          <w:bCs w:val="false"/>
          <w:i w:val="false"/>
          <w:iCs w:val="false"/>
          <w:color w:val="7B3F8E"/>
          <w:sz w:val="30"/>
          <w:szCs w:val="30"/>
        </w:rPr>
        <w:t xml:space="preserve">Executive Summary</w:t>
      </w:r>
    </w:p>
    <w:p>
      <w:pPr>
        <w:spacing w:before="0" w:after="60"/>
        <w:jc w:val="center"/>
      </w:pPr>
      <w:r>
        <w:rPr>
          <w:rFonts w:ascii="Raleway" w:cs="Raleway" w:eastAsia="Raleway" w:hAnsi="Raleway"/>
          <w:b w:val="false"/>
          <w:bCs w:val="false"/>
          <w:i/>
          <w:iCs/>
          <w:color w:val="666666"/>
          <w:sz w:val="20"/>
          <w:szCs w:val="20"/>
        </w:rPr>
        <w:t xml:space="preserve">Board Paper — February 2026</w:t>
      </w:r>
    </w:p>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60"/>
              <w:left w:type="dxa" w:w="300"/>
              <w:bottom w:type="dxa" w:w="160"/>
              <w:right w:type="dxa" w:w="300"/>
            </w:tcMar>
          </w:tcPr>
          <w:p>
            <w:pPr>
              <w:spacing w:before="0" w:after="60"/>
              <w:jc w:val="left"/>
            </w:pPr>
            <w:r>
              <w:rPr>
                <w:rFonts w:ascii="Raleway" w:cs="Raleway" w:eastAsia="Raleway" w:hAnsi="Raleway"/>
                <w:b/>
                <w:bCs/>
                <w:i w:val="false"/>
                <w:iCs w:val="false"/>
                <w:color w:val="C9A2CF"/>
                <w:sz w:val="20"/>
                <w:szCs w:val="20"/>
              </w:rPr>
              <w:t xml:space="preserve">PURPOSE</w:t>
            </w:r>
          </w:p>
          <w:p>
            <w:pPr>
              <w:spacing w:before="0" w:after="100"/>
              <w:jc w:val="left"/>
            </w:pPr>
            <w:r>
              <w:rPr>
                <w:rFonts w:ascii="Raleway" w:cs="Raleway" w:eastAsia="Raleway" w:hAnsi="Raleway"/>
                <w:b w:val="false"/>
                <w:bCs w:val="false"/>
                <w:i w:val="false"/>
                <w:iCs w:val="false"/>
                <w:color w:val="FFFFFF"/>
                <w:sz w:val="19"/>
                <w:szCs w:val="19"/>
              </w:rPr>
              <w:t xml:space="preserve">This paper recommends that the Board approves a transition from agency-supplied staffing to Care Syndicate's compliance-first workforce platform. The recommendation is driven by risk elimination, regulatory readiness, cost transparency, and worker protection — not cost reduction alone.</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1. THE RISK WE FACE TODAY</w:t>
            </w:r>
          </w:p>
        </w:tc>
      </w:tr>
    </w:tbl>
    <w:p>
      <w:pPr>
        <w:spacing w:before="0" w:after="60"/>
        <w:jc w:val="left"/>
      </w:pPr>
    </w:p>
    <w:p>
      <w:pPr>
        <w:spacing w:before="0" w:after="80"/>
        <w:jc w:val="left"/>
      </w:pPr>
      <w:r>
        <w:rPr>
          <w:rFonts w:ascii="Raleway" w:cs="Raleway" w:eastAsia="Raleway" w:hAnsi="Raleway"/>
          <w:b w:val="false"/>
          <w:bCs w:val="false"/>
          <w:i w:val="false"/>
          <w:iCs w:val="false"/>
          <w:color w:val="333333"/>
          <w:sz w:val="19"/>
          <w:szCs w:val="19"/>
        </w:rPr>
        <w:t xml:space="preserve">Our current agency staffing model exposes the organisation to four material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Risk</w:t>
            </w:r>
          </w:p>
        </w:tc>
        <w:tc>
          <w:tcPr>
            <w:tcW w:type="dxa" w:w="37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Impact</w:t>
            </w:r>
          </w:p>
        </w:tc>
        <w:tc>
          <w:tcPr>
            <w:tcW w:type="dxa" w:w="20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Urgency</w:t>
            </w:r>
          </w:p>
        </w:tc>
      </w:tr>
      <w:tr>
        <w:tc>
          <w:tcPr>
            <w:tcW w:type="dxa" w:w="36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C62828"/>
                <w:sz w:val="18"/>
                <w:szCs w:val="18"/>
              </w:rPr>
              <w:t xml:space="preserve">Joint &amp; Several Liability (April 2026)</w:t>
            </w:r>
          </w:p>
        </w:tc>
        <w:tc>
          <w:tcPr>
            <w:tcW w:type="dxa" w:w="37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If our agency's umbrella company fails to remit PAYE to HMRC, liability can pass to us. Strict liability — no statutory defence.</w:t>
            </w:r>
          </w:p>
        </w:tc>
        <w:tc>
          <w:tcPr>
            <w:tcW w:type="dxa" w:w="2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C62828"/>
                <w:sz w:val="18"/>
                <w:szCs w:val="18"/>
              </w:rPr>
              <w:t xml:space="preserve">CRITICAL</w:t>
            </w:r>
          </w:p>
        </w:tc>
      </w:tr>
      <w:tr>
        <w:tc>
          <w:tcPr>
            <w:tcW w:type="dxa" w:w="36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Employment Status Misclassification</w:t>
            </w:r>
          </w:p>
        </w:tc>
        <w:tc>
          <w:tcPr>
            <w:tcW w:type="dxa" w:w="37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Workers may be incorrectly classified. HMRC can pursue the end client. No evidence of individual assessment in current model.</w:t>
            </w:r>
          </w:p>
        </w:tc>
        <w:tc>
          <w:tcPr>
            <w:tcW w:type="dxa" w:w="2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E65100"/>
                <w:sz w:val="18"/>
                <w:szCs w:val="18"/>
              </w:rPr>
              <w:t xml:space="preserve">HIGH</w:t>
            </w:r>
          </w:p>
        </w:tc>
      </w:tr>
      <w:tr>
        <w:tc>
          <w:tcPr>
            <w:tcW w:type="dxa" w:w="36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Opaque Supply Chain</w:t>
            </w:r>
          </w:p>
        </w:tc>
        <w:tc>
          <w:tcPr>
            <w:tcW w:type="dxa" w:w="37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We cannot evidence how workers are paid, classified, or insured. Audit trail relies on agency cooperation.</w:t>
            </w:r>
          </w:p>
        </w:tc>
        <w:tc>
          <w:tcPr>
            <w:tcW w:type="dxa" w:w="2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E65100"/>
                <w:sz w:val="18"/>
                <w:szCs w:val="18"/>
              </w:rPr>
              <w:t xml:space="preserve">HIGH</w:t>
            </w:r>
          </w:p>
        </w:tc>
      </w:tr>
      <w:tr>
        <w:tc>
          <w:tcPr>
            <w:tcW w:type="dxa" w:w="36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Irrecoverable VAT</w:t>
            </w:r>
          </w:p>
        </w:tc>
        <w:tc>
          <w:tcPr>
            <w:tcW w:type="dxa" w:w="37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20% VAT charged on full agency invoice. Irrecoverable for VAT-exempt care services. Dead cost on every hour of labour.</w:t>
            </w:r>
          </w:p>
        </w:tc>
        <w:tc>
          <w:tcPr>
            <w:tcW w:type="dxa" w:w="2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7B3F8E"/>
                <w:sz w:val="18"/>
                <w:szCs w:val="18"/>
              </w:rPr>
              <w:t xml:space="preserve">ONGOING</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62828" w:sz="1"/>
              <w:left w:val="single" w:color="C62828" w:sz="8"/>
              <w:bottom w:val="single" w:color="C62828" w:sz="1"/>
              <w:right w:val="single" w:color="C62828" w:sz="1"/>
            </w:tcBorders>
            <w:shd w:fill="FFEBEE"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From 6 April 2026, new Joint and Several Liability rules take effect under the Finance Act 2025. There is no grandfather clause — existing agency arrangements are affected from day one. Providers who have not restructured their supply chain by this date carry immediate, strict liability exposure.</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2. THE PROPOSED SOLUTION</w:t>
            </w:r>
          </w:p>
        </w:tc>
      </w:tr>
    </w:tbl>
    <w:p>
      <w:pPr>
        <w:spacing w:before="0" w:after="60"/>
        <w:jc w:val="left"/>
      </w:pPr>
    </w:p>
    <w:p>
      <w:pPr>
        <w:spacing w:before="0" w:after="80"/>
        <w:jc w:val="left"/>
      </w:pPr>
      <w:r>
        <w:rPr>
          <w:rFonts w:ascii="Raleway" w:cs="Raleway" w:eastAsia="Raleway" w:hAnsi="Raleway"/>
          <w:b w:val="false"/>
          <w:bCs w:val="false"/>
          <w:i w:val="false"/>
          <w:iCs w:val="false"/>
          <w:color w:val="333333"/>
          <w:sz w:val="19"/>
          <w:szCs w:val="19"/>
        </w:rPr>
        <w:t xml:space="preserve">Care Syndicate is a compliance-first technology platform that connects CQC-registered care providers with care professionals. It is not an agency and does not employ workers. The platform operates as an introducer under the Employment Agencies Act 1973 and manages all compliance, payment routing, and audit evidence through an automated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Capability</w:t>
            </w:r>
          </w:p>
        </w:tc>
        <w:tc>
          <w:tcPr>
            <w:tcW w:type="dxa" w:w="63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How It Protects Us</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CEST Assessment Per Engagement</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Every worker assessed individually using HMRC's own tool. Genuine SE workers confirmed. Employment indicators trigger automatic PAYE. Evidence stored permanently.</w:t>
            </w:r>
          </w:p>
        </w:tc>
      </w:tr>
      <w:tr>
        <w:tc>
          <w:tcPr>
            <w:tcW w:type="dxa" w:w="3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 Umbrella in Supply Chain</w:t>
            </w:r>
          </w:p>
        </w:tc>
        <w:tc>
          <w:tcPr>
            <w:tcW w:type="dxa" w:w="6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 umbrella company, no deemed employer, no secondary employment relationship. JSL rules have no entity to apply to.</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Insurance (£6m PL / £2m PI)</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Every self-employed worker holds verified insurance. CRM monitors renewals and blocks non-compliant workers.</w:t>
            </w:r>
          </w:p>
        </w:tc>
      </w:tr>
      <w:tr>
        <w:tc>
          <w:tcPr>
            <w:tcW w:type="dxa" w:w="3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Auto-Route to PAYE</w:t>
            </w:r>
          </w:p>
        </w:tc>
        <w:tc>
          <w:tcPr>
            <w:tcW w:type="dxa" w:w="6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When CEST returns employment, CRM routes worker to independent payroll bureau with full statutory compliance. No manual decision.</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Permanent Audit Trail</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CEST outputs, payslips, payment records, credentials — all stored permanently. Audit packs generated on demand for CQC, HMRC, or board review.</w:t>
            </w:r>
          </w:p>
        </w:tc>
      </w:tr>
      <w:tr>
        <w:tc>
          <w:tcPr>
            <w:tcW w:type="dxa" w:w="3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Two VAT Models</w:t>
            </w:r>
          </w:p>
        </w:tc>
        <w:tc>
          <w:tcPr>
            <w:tcW w:type="dxa" w:w="6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Model A: standard VAT (reclaimable). Model B: no VAT on worker earnings under nursing agency concession. We choose the model that suits our VAT position.</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3. FINANCIAL IMPACT</w:t>
            </w:r>
          </w:p>
        </w:tc>
      </w:tr>
    </w:tbl>
    <w:p>
      <w:pPr>
        <w:spacing w:before="0" w:after="60"/>
        <w:jc w:val="left"/>
      </w:pPr>
    </w:p>
    <w:p>
      <w:pPr>
        <w:spacing w:before="0" w:after="80"/>
        <w:jc w:val="left"/>
      </w:pPr>
      <w:r>
        <w:rPr>
          <w:rFonts w:ascii="Raleway" w:cs="Raleway" w:eastAsia="Raleway" w:hAnsi="Raleway"/>
          <w:b w:val="false"/>
          <w:bCs w:val="false"/>
          <w:i w:val="false"/>
          <w:iCs w:val="false"/>
          <w:color w:val="333333"/>
          <w:sz w:val="19"/>
          <w:szCs w:val="19"/>
        </w:rPr>
        <w:t xml:space="preserve">Illustrative comparison for a workforce of 50 workers at 20 hours per week, £18/hour worker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
            </w:r>
          </w:p>
        </w:tc>
        <w:tc>
          <w:tcPr>
            <w:tcW w:type="dxa" w:w="30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Current Agency Model</w:t>
            </w:r>
          </w:p>
        </w:tc>
        <w:tc>
          <w:tcPr>
            <w:tcW w:type="dxa" w:w="30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Care Syndicate (Model B)</w:t>
            </w:r>
          </w:p>
        </w:tc>
      </w:tr>
      <w:tr>
        <w:tc>
          <w:tcPr>
            <w:tcW w:type="dxa" w:w="3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rate</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£15/hr net (after umbrella)</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£18/hr gross (self-employed)</w:t>
            </w:r>
          </w:p>
        </w:tc>
      </w:tr>
      <w:tr>
        <w:tc>
          <w:tcPr>
            <w:tcW w:type="dxa" w:w="3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Blended charge to us</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£22–25/hr</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£20.16/hr</w:t>
            </w:r>
          </w:p>
        </w:tc>
      </w:tr>
      <w:tr>
        <w:tc>
          <w:tcPr>
            <w:tcW w:type="dxa" w:w="3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VAT treatment</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20% on full charge (irrecoverable)</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VAT on platform fee only (£0.43/hr)</w:t>
            </w:r>
          </w:p>
        </w:tc>
      </w:tr>
      <w:tr>
        <w:tc>
          <w:tcPr>
            <w:tcW w:type="dxa" w:w="3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True cost per hour</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~£26.40/hr</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~£20.59/hr</w:t>
            </w:r>
          </w:p>
        </w:tc>
      </w:tr>
      <w:tr>
        <w:tc>
          <w:tcPr>
            <w:tcW w:type="dxa" w:w="3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4A1D5A"/>
                <w:sz w:val="18"/>
                <w:szCs w:val="18"/>
              </w:rPr>
              <w:t xml:space="preserve">Annual cost (50 workers)</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C62828"/>
                <w:sz w:val="18"/>
                <w:szCs w:val="18"/>
              </w:rPr>
              <w:t xml:space="preserve">~£1,372,800</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2E7D32"/>
                <w:sz w:val="18"/>
                <w:szCs w:val="18"/>
              </w:rPr>
              <w:t xml:space="preserve">~£1,070,680</w:t>
            </w:r>
          </w:p>
        </w:tc>
      </w:tr>
      <w:tr>
        <w:tc>
          <w:tcPr>
            <w:tcW w:type="dxa" w:w="3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2E7D32"/>
                <w:sz w:val="18"/>
                <w:szCs w:val="18"/>
              </w:rPr>
              <w:t xml:space="preserve">Annual saving</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2E7D32"/>
                <w:sz w:val="18"/>
                <w:szCs w:val="18"/>
              </w:rPr>
              <w:t xml:space="preserve">~£302,120 (22%)</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8"/>
              <w:bottom w:val="single" w:color="1565C0" w:sz="1"/>
              <w:right w:val="single" w:color="1565C0" w:sz="1"/>
            </w:tcBorders>
            <w:shd w:fill="E3F2FD"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These figures assume Model B (VAT-Aligned Care Supply). If using Model A (Standard VAT), savings are lower but the compliance, risk elimination, and transparency benefits remain identical.</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4. OPERATIONAL IMPACT</w:t>
            </w:r>
          </w:p>
        </w:tc>
      </w:tr>
    </w:tbl>
    <w:p>
      <w:pPr>
        <w:spacing w:before="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Area</w:t>
            </w:r>
          </w:p>
        </w:tc>
        <w:tc>
          <w:tcPr>
            <w:tcW w:type="dxa" w:w="63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Change for Our Team</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Day-to-day operations</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Approve timesheets, pay one invoice, induct workers to care plans. Admin burden reduces significantly.</w:t>
            </w:r>
          </w:p>
        </w:tc>
      </w:tr>
      <w:tr>
        <w:tc>
          <w:tcPr>
            <w:tcW w:type="dxa" w:w="3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Compliance management</w:t>
            </w:r>
          </w:p>
        </w:tc>
        <w:tc>
          <w:tcPr>
            <w:tcW w:type="dxa" w:w="6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CRM handles all credential monitoring, CEST assessments, insurance tracking. Real-time dashboard replaces manual chasing.</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CQC inspections</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Audit packs generated on demand. Pre-written inspection responses provided.</w:t>
            </w:r>
          </w:p>
        </w:tc>
      </w:tr>
      <w:tr>
        <w:tc>
          <w:tcPr>
            <w:tcW w:type="dxa" w:w="3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Training requirement</w:t>
            </w:r>
          </w:p>
        </w:tc>
        <w:tc>
          <w:tcPr>
            <w:tcW w:type="dxa" w:w="6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Single 2-hour session for approvers. Portal designed for simplicity.</w:t>
            </w:r>
          </w:p>
        </w:tc>
      </w:tr>
      <w:tr>
        <w:tc>
          <w:tcPr>
            <w:tcW w:type="dxa" w:w="3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Transition timeline</w:t>
            </w:r>
          </w:p>
        </w:tc>
        <w:tc>
          <w:tcPr>
            <w:tcW w:type="dxa" w:w="6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4–8 weeks. Pilot with 5–10 workers alongside existing agency. No big-bang switchover required.</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100"/>
              <w:jc w:val="left"/>
            </w:pPr>
            <w:r>
              <w:rPr>
                <w:rFonts w:ascii="Raleway" w:cs="Raleway" w:eastAsia="Raleway" w:hAnsi="Raleway"/>
                <w:b/>
                <w:bCs/>
                <w:i w:val="false"/>
                <w:iCs w:val="false"/>
                <w:color w:val="FFFFFF"/>
                <w:sz w:val="22"/>
                <w:szCs w:val="22"/>
              </w:rPr>
              <w:t xml:space="preserve">5. RECOMMENDATION</w:t>
            </w:r>
          </w:p>
          <w:p>
            <w:pPr>
              <w:spacing w:before="0" w:after="80"/>
              <w:jc w:val="left"/>
            </w:pPr>
            <w:r>
              <w:rPr>
                <w:rFonts w:ascii="Raleway" w:cs="Raleway" w:eastAsia="Raleway" w:hAnsi="Raleway"/>
                <w:b w:val="false"/>
                <w:bCs w:val="false"/>
                <w:i w:val="false"/>
                <w:iCs w:val="false"/>
                <w:color w:val="C9A2CF"/>
                <w:sz w:val="19"/>
                <w:szCs w:val="19"/>
              </w:rPr>
              <w:t xml:space="preserve">The Board is asked to approve:</w:t>
            </w:r>
          </w:p>
          <w:p>
            <w:pPr>
              <w:spacing w:before="0" w:after="60"/>
              <w:jc w:val="left"/>
            </w:pPr>
            <w:r>
              <w:rPr>
                <w:rFonts w:ascii="Raleway" w:cs="Raleway" w:eastAsia="Raleway" w:hAnsi="Raleway"/>
                <w:b w:val="false"/>
                <w:bCs w:val="false"/>
                <w:i w:val="false"/>
                <w:iCs w:val="false"/>
                <w:color w:val="FFFFFF"/>
                <w:sz w:val="19"/>
                <w:szCs w:val="19"/>
              </w:rPr>
              <w:t xml:space="preserve">1.  A pilot transition of 5–10 agency workers to Care Syndicate's platform, commencing within four weeks of agreement.</w:t>
            </w:r>
          </w:p>
          <w:p>
            <w:pPr>
              <w:spacing w:before="0" w:after="60"/>
              <w:jc w:val="left"/>
            </w:pPr>
            <w:r>
              <w:rPr>
                <w:rFonts w:ascii="Raleway" w:cs="Raleway" w:eastAsia="Raleway" w:hAnsi="Raleway"/>
                <w:b w:val="false"/>
                <w:bCs w:val="false"/>
                <w:i w:val="false"/>
                <w:iCs w:val="false"/>
                <w:color w:val="FFFFFF"/>
                <w:sz w:val="19"/>
                <w:szCs w:val="19"/>
              </w:rPr>
              <w:t xml:space="preserve">2.  Sharing of the Legal Distinction Guide and Indemnity Policy with our legal team for review during the pilot setup period.</w:t>
            </w:r>
          </w:p>
          <w:p>
            <w:pPr>
              <w:spacing w:before="0" w:after="100"/>
              <w:jc w:val="left"/>
            </w:pPr>
            <w:r>
              <w:rPr>
                <w:rFonts w:ascii="Raleway" w:cs="Raleway" w:eastAsia="Raleway" w:hAnsi="Raleway"/>
                <w:b w:val="false"/>
                <w:bCs w:val="false"/>
                <w:i w:val="false"/>
                <w:iCs w:val="false"/>
                <w:color w:val="FFFFFF"/>
                <w:sz w:val="19"/>
                <w:szCs w:val="19"/>
              </w:rPr>
              <w:t xml:space="preserve">3.  A full review at the end of the 8-week pilot to assess compliance improvements, operational impact, and cost savings before wider rollout.</w:t>
            </w:r>
          </w:p>
          <w:p>
            <w:pPr>
              <w:spacing w:before="0" w:after="100"/>
              <w:jc w:val="left"/>
            </w:pPr>
            <w:r>
              <w:rPr>
                <w:rFonts w:ascii="Raleway" w:cs="Raleway" w:eastAsia="Raleway" w:hAnsi="Raleway"/>
                <w:b/>
                <w:bCs/>
                <w:i w:val="false"/>
                <w:iCs w:val="false"/>
                <w:color w:val="C9A2CF"/>
                <w:sz w:val="19"/>
                <w:szCs w:val="19"/>
              </w:rPr>
              <w:t xml:space="preserve">The primary driver for this recommendation is risk elimination ahead of the April 2026 JSL deadline. Cost savings and operational simplification are additional benefits.</w:t>
            </w:r>
          </w:p>
        </w:tc>
      </w:tr>
    </w:tbl>
    <w:p>
      <w:pPr>
        <w:spacing w:before="0" w:after="100"/>
        <w:jc w:val="left"/>
      </w:pPr>
    </w:p>
    <w:p>
      <w:pPr>
        <w:spacing w:before="0" w:after="20"/>
        <w:jc w:val="center"/>
      </w:pPr>
      <w:r>
        <w:rPr>
          <w:rFonts w:ascii="Raleway" w:cs="Raleway" w:eastAsia="Raleway" w:hAnsi="Raleway"/>
          <w:b w:val="false"/>
          <w:bCs w:val="false"/>
          <w:i/>
          <w:iCs/>
          <w:color w:val="666666"/>
          <w:sz w:val="16"/>
          <w:szCs w:val="16"/>
        </w:rPr>
        <w:t xml:space="preserve">Prepared for Board review  |  February 2026  |  Confidential</w:t>
      </w:r>
    </w:p>
    <w:p>
      <w:pPr>
        <w:spacing w:before="0" w:after="100"/>
        <w:jc w:val="center"/>
      </w:pPr>
      <w:r>
        <w:rPr>
          <w:rFonts w:ascii="Raleway" w:cs="Raleway" w:eastAsia="Raleway" w:hAnsi="Raleway"/>
          <w:b w:val="false"/>
          <w:bCs w:val="false"/>
          <w:i w:val="false"/>
          <w:iCs w:val="false"/>
          <w:color w:val="666666"/>
          <w:sz w:val="16"/>
          <w:szCs w:val="16"/>
        </w:rPr>
        <w:t xml:space="preserve">© 2026 Care Syndicate Ltd.</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4A1D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2026-02-21T22:36:44.281Z</dcterms:created>
  <dcterms:modified xsi:type="dcterms:W3CDTF">2026-02-21T22:36:44.282Z</dcterms:modified>
</cp:coreProperties>
</file>

<file path=docProps/custom.xml><?xml version="1.0" encoding="utf-8"?>
<Properties xmlns="http://schemas.openxmlformats.org/officeDocument/2006/custom-properties" xmlns:vt="http://schemas.openxmlformats.org/officeDocument/2006/docPropsVTypes"/>
</file>