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jc w:val="left"/>
      </w:pPr>
    </w:p>
    <w:p>
      <w:pPr>
        <w:spacing w:before="0" w:after="40"/>
        <w:jc w:val="center"/>
      </w:pPr>
      <w:r>
        <w:rPr>
          <w:rFonts w:ascii="Raleway" w:cs="Raleway" w:eastAsia="Raleway" w:hAnsi="Raleway"/>
          <w:b/>
          <w:bCs/>
          <w:i w:val="false"/>
          <w:iCs w:val="false"/>
          <w:color w:val="4A1D5A"/>
          <w:sz w:val="44"/>
          <w:szCs w:val="44"/>
        </w:rPr>
        <w:t xml:space="preserve">CARE SYNDICATE</w:t>
      </w:r>
    </w:p>
    <w:p>
      <w:pPr>
        <w:spacing w:before="0" w:after="40"/>
        <w:jc w:val="center"/>
      </w:pPr>
      <w:r>
        <w:rPr>
          <w:rFonts w:ascii="Raleway" w:cs="Raleway" w:eastAsia="Raleway" w:hAnsi="Raleway"/>
          <w:b w:val="false"/>
          <w:bCs w:val="false"/>
          <w:i w:val="false"/>
          <w:iCs w:val="false"/>
          <w:color w:val="7B3F8E"/>
          <w:sz w:val="30"/>
          <w:szCs w:val="30"/>
        </w:rPr>
        <w:t xml:space="preserve">HMRC Position &amp; Legal Standing</w:t>
      </w:r>
    </w:p>
    <w:p>
      <w:pPr>
        <w:spacing w:before="0" w:after="60"/>
        <w:jc w:val="center"/>
      </w:pPr>
      <w:r>
        <w:rPr>
          <w:rFonts w:ascii="Raleway" w:cs="Raleway" w:eastAsia="Raleway" w:hAnsi="Raleway"/>
          <w:b w:val="false"/>
          <w:bCs w:val="false"/>
          <w:i/>
          <w:iCs/>
          <w:color w:val="7B3F8E"/>
          <w:sz w:val="20"/>
          <w:szCs w:val="20"/>
        </w:rPr>
        <w:t xml:space="preserve">A Reference Document for Finance Directors &amp; Legal Teams</w:t>
      </w:r>
    </w:p>
    <w:p>
      <w:pPr>
        <w:spacing w:before="0" w:after="200"/>
        <w:jc w:val="left"/>
      </w:pPr>
    </w:p>
    <w:p>
      <w:pPr>
        <w:spacing w:before="0" w:after="200"/>
        <w:jc w:val="center"/>
      </w:pPr>
      <w:r>
        <w:rPr>
          <w:rFonts w:ascii="Raleway" w:cs="Raleway" w:eastAsia="Raleway" w:hAnsi="Raleway"/>
          <w:b w:val="false"/>
          <w:bCs w:val="false"/>
          <w:i w:val="false"/>
          <w:iCs w:val="false"/>
          <w:color w:val="333333"/>
          <w:sz w:val="21"/>
          <w:szCs w:val="21"/>
        </w:rPr>
        <w:t xml:space="preserve">This document sets out the legal and tax framework underpinning Care Syndicate's operating model. It is designed to be shared with solicitors, in-house legal teams, and finance directors conducting due diligence on the platform's compliance position.</w:t>
      </w:r>
    </w:p>
    <w:p>
      <w:pPr>
        <w:spacing w:before="0" w:after="100"/>
        <w:jc w:val="center"/>
      </w:pPr>
      <w:r>
        <w:rPr>
          <w:rFonts w:ascii="Raleway" w:cs="Raleway" w:eastAsia="Raleway" w:hAnsi="Raleway"/>
          <w:b w:val="false"/>
          <w:bCs w:val="false"/>
          <w:i/>
          <w:iCs/>
          <w:color w:val="666666"/>
          <w:sz w:val="18"/>
          <w:szCs w:val="18"/>
        </w:rPr>
        <w:t xml:space="preserve">February 2026  |  Confidential — Legal &amp; Finance Review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1. LEGAL STATUS: INTRODUCER, NOT EMPLOYMENT BUSINESS</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Care Syndicate operates as a technology platform that introduces care professionals to CQC-registered care providers. This is a fundamentally different legal status from a recruitment agency or employment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Legal Reference</w:t>
            </w:r>
          </w:p>
        </w:tc>
        <w:tc>
          <w:tcPr>
            <w:tcW w:type="dxa" w:w="34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What It Establishes</w:t>
            </w:r>
          </w:p>
        </w:tc>
        <w:tc>
          <w:tcPr>
            <w:tcW w:type="dxa" w:w="34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Care Syndicate's Position</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Agencies Act 1973</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Distinguishes between 'employment agencies' (introducers) and 'employment businesses' (suppliers of temporary staff). Different legal obligations apply to each.</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We operate as an introducer. We do not supply staff, do not employ workers, and do not hold deemed employer status.</w:t>
            </w:r>
          </w:p>
        </w:tc>
      </w:tr>
      <w:tr>
        <w:tc>
          <w:tcPr>
            <w:tcW w:type="dxa" w:w="24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Conduct of Employment Agencies &amp; Employment Businesses Regulations 2003</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Sets conduct requirements. Employment businesses have pay obligations, employment status responsibilities, and deemed employer duties.</w:t>
            </w:r>
          </w:p>
        </w:tc>
        <w:tc>
          <w:tcPr>
            <w:tcW w:type="dxa" w:w="34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Introducer obligations are significantly lighter. No pay obligations to workers, no deemed employer status, no employment relationship.</w:t>
            </w:r>
          </w:p>
        </w:tc>
      </w:tr>
      <w:tr>
        <w:tc>
          <w:tcPr>
            <w:tcW w:type="dxa" w:w="24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ESM4015</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HMRC's Employment Status Manual recognises that care workers engaged as genuine self-employed individuals through an introduction platform are not 'supplied' by that platform.</w:t>
            </w:r>
          </w:p>
        </w:tc>
        <w:tc>
          <w:tcPr>
            <w:tcW w:type="dxa" w:w="34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Workers are introduced to providers, not supplied. The engagement is between provider and worker. Care Syndicate facilitates, not employs.</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8"/>
              <w:bottom w:val="single" w:color="1565C0" w:sz="1"/>
              <w:right w:val="single" w:color="1565C0" w:sz="1"/>
            </w:tcBorders>
            <w:shd w:fill="E3F2FD"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KEY DISTINCTION:  An employment business supplies a worker and retains obligations. An introducer connects parties who then engage directly. Care Syndicate's contracts, platform architecture, and payment flows are all designed to maintain this introducer status consistently.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2. EMPLOYMENT STATUS: CEST FRAMEWORK</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Employment status is determined engagement-by-engagement using HMRC's Check Employment Status for Tax (CEST) tool. HMRC has publicly stated it will stand behind the result of a CEST determination provided the information entered is accurate and represents the actual working arrangements.</w:t>
      </w:r>
    </w:p>
    <w:p>
      <w:pPr>
        <w:spacing w:before="0" w:after="80"/>
        <w:jc w:val="left"/>
      </w:pPr>
      <w:r>
        <w:rPr>
          <w:rFonts w:ascii="Raleway" w:cs="Raleway" w:eastAsia="Raleway" w:hAnsi="Raleway"/>
          <w:b/>
          <w:bCs/>
          <w:i w:val="false"/>
          <w:iCs w:val="false"/>
          <w:color w:val="4A1D5A"/>
          <w:sz w:val="22"/>
          <w:szCs w:val="22"/>
        </w:rPr>
        <w:t xml:space="preserve">THE EIGHT EMPLOYMENT STATUS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Test</w:t>
            </w:r>
          </w:p>
        </w:tc>
        <w:tc>
          <w:tcPr>
            <w:tcW w:type="dxa" w:w="30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SE Indicator</w:t>
            </w:r>
          </w:p>
        </w:tc>
        <w:tc>
          <w:tcPr>
            <w:tcW w:type="dxa" w:w="40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How Our Model Satisfies</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Right of substitution</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can send a substitute</w:t>
            </w:r>
          </w:p>
        </w:tc>
        <w:tc>
          <w:tcPr>
            <w:tcW w:type="dxa" w:w="4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CRM substitution workflow. Workers/recruiters propose substitutes. Client approves. All logged.</w:t>
            </w:r>
          </w:p>
        </w:tc>
      </w:tr>
      <w:tr>
        <w:tc>
          <w:tcPr>
            <w:tcW w:type="dxa" w:w="2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 obligation to accept work</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can decline without penalty</w:t>
            </w:r>
          </w:p>
        </w:tc>
        <w:tc>
          <w:tcPr>
            <w:tcW w:type="dxa" w:w="4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One-tap decline in app. All declines logged as evidence. No penalty, no consequence.</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Control — method</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decides how to deliver care</w:t>
            </w:r>
          </w:p>
        </w:tc>
        <w:tc>
          <w:tcPr>
            <w:tcW w:type="dxa" w:w="4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applies professional judgement. Provider sets care plan outcomes, not methods.</w:t>
            </w:r>
          </w:p>
        </w:tc>
      </w:tr>
      <w:tr>
        <w:tc>
          <w:tcPr>
            <w:tcW w:type="dxa" w:w="2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Control — timing</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sets own availability</w:t>
            </w:r>
          </w:p>
        </w:tc>
        <w:tc>
          <w:tcPr>
            <w:tcW w:type="dxa" w:w="4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Workers set availability in the CRM. Accept shifts that suit them. Not assigned rotas.</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Financial risk</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carries financial risk</w:t>
            </w:r>
          </w:p>
        </w:tc>
        <w:tc>
          <w:tcPr>
            <w:tcW w:type="dxa" w:w="4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Workers hold own insurance (£6m PL, £2m PI). Bear cost of non-performance and business expenses.</w:t>
            </w:r>
          </w:p>
        </w:tc>
      </w:tr>
      <w:tr>
        <w:tc>
          <w:tcPr>
            <w:tcW w:type="dxa" w:w="2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Equipment</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provides own equipment</w:t>
            </w:r>
          </w:p>
        </w:tc>
        <w:tc>
          <w:tcPr>
            <w:tcW w:type="dxa" w:w="4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Workers provide own transport, phone, uniform (where applicable), clinical supplies.</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Part and parcel</w:t>
            </w:r>
          </w:p>
        </w:tc>
        <w:tc>
          <w:tcPr>
            <w:tcW w:type="dxa" w:w="3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Not integrated into client org</w:t>
            </w:r>
          </w:p>
        </w:tc>
        <w:tc>
          <w:tcPr>
            <w:tcW w:type="dxa" w:w="40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Workers serve multiple providers. Not on client payroll, org chart, or internal comms.</w:t>
            </w:r>
          </w:p>
        </w:tc>
      </w:tr>
      <w:tr>
        <w:tc>
          <w:tcPr>
            <w:tcW w:type="dxa" w:w="2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Multiple clients</w:t>
            </w:r>
          </w:p>
        </w:tc>
        <w:tc>
          <w:tcPr>
            <w:tcW w:type="dxa" w:w="3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serves more than one client</w:t>
            </w:r>
          </w:p>
        </w:tc>
        <w:tc>
          <w:tcPr>
            <w:tcW w:type="dxa" w:w="40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CRM shows workers engaged across multiple providers simultaneously. Evidence stored.</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WHEN TESTS FAIL:  If a CEST assessment returns 'Employment' for any engagement, the CRM automatically routes that worker to PAYE via our payroll bureau partner. The system does not override employment results. This is the strongest evidence of genuine assessment.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3. VAT POSITION</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Care Syndicate offers two VAT models. The choice depends on the provider's VAT registration status and ability to reclaim input 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
            </w:r>
          </w:p>
        </w:tc>
        <w:tc>
          <w:tcPr>
            <w:tcW w:type="dxa" w:w="35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Model A: Standard VAT</w:t>
            </w:r>
          </w:p>
        </w:tc>
        <w:tc>
          <w:tcPr>
            <w:tcW w:type="dxa" w:w="35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Model B: VAT-Aligned</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VAT treatment</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20% VAT on full charge</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 VAT on worker earnings; 20% on platform fee only</w:t>
            </w:r>
          </w:p>
        </w:tc>
      </w:tr>
      <w:tr>
        <w:tc>
          <w:tcPr>
            <w:tcW w:type="dxa" w:w="2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Legal basis</w:t>
            </w:r>
          </w:p>
        </w:tc>
        <w:tc>
          <w:tcPr>
            <w:tcW w:type="dxa" w:w="35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Standard supply of staff (VATA 1994)</w:t>
            </w:r>
          </w:p>
        </w:tc>
        <w:tc>
          <w:tcPr>
            <w:tcW w:type="dxa" w:w="35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Nursing agency concession (VAT Notice 701/2) + disbursement rules (VAT Notice 700)</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Suitable for</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VAT-registered providers who reclaim input VAT</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VAT-exempt providers who cannot reclaim</w:t>
            </w:r>
          </w:p>
        </w:tc>
      </w:tr>
    </w:tbl>
    <w:p>
      <w:pPr>
        <w:spacing w:before="0" w:after="100"/>
        <w:jc w:val="left"/>
      </w:pPr>
    </w:p>
    <w:p>
      <w:pPr>
        <w:spacing w:before="0" w:after="80"/>
        <w:jc w:val="left"/>
      </w:pPr>
      <w:r>
        <w:rPr>
          <w:rFonts w:ascii="Raleway" w:cs="Raleway" w:eastAsia="Raleway" w:hAnsi="Raleway"/>
          <w:b/>
          <w:bCs/>
          <w:i w:val="false"/>
          <w:iCs w:val="false"/>
          <w:color w:val="4A1D5A"/>
          <w:sz w:val="22"/>
          <w:szCs w:val="22"/>
        </w:rPr>
        <w:t xml:space="preserve">DISBURSEMENT CONDITIONS (MODEL B)</w:t>
      </w:r>
    </w:p>
    <w:p>
      <w:pPr>
        <w:spacing w:before="0" w:after="80"/>
        <w:jc w:val="left"/>
      </w:pPr>
      <w:r>
        <w:rPr>
          <w:rFonts w:ascii="Raleway" w:cs="Raleway" w:eastAsia="Raleway" w:hAnsi="Raleway"/>
          <w:b w:val="false"/>
          <w:bCs w:val="false"/>
          <w:i w:val="false"/>
          <w:iCs w:val="false"/>
          <w:color w:val="333333"/>
          <w:sz w:val="19"/>
          <w:szCs w:val="19"/>
        </w:rPr>
        <w:t xml:space="preserve">Under HMRC VAT Notice 700, payments made on behalf of a customer can be excluded from VAT when all eight conditions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HMRC Condition</w:t>
            </w:r>
          </w:p>
        </w:tc>
        <w:tc>
          <w:tcPr>
            <w:tcW w:type="dxa" w:w="53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How Our Model Satisfies</w:t>
            </w:r>
          </w:p>
        </w:tc>
      </w:tr>
      <w:tr>
        <w:tc>
          <w:tcPr>
            <w:tcW w:type="dxa" w:w="4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You acted as agent of your customer</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Care Syndicate collects and routes payment on behalf of the provider.</w:t>
            </w:r>
          </w:p>
        </w:tc>
      </w:tr>
      <w:tr>
        <w:tc>
          <w:tcPr>
            <w:tcW w:type="dxa" w:w="4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Your customer received and used the services</w:t>
            </w:r>
          </w:p>
        </w:tc>
        <w:tc>
          <w:tcPr>
            <w:tcW w:type="dxa" w:w="5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 receives care services directly from the worker.</w:t>
            </w:r>
          </w:p>
        </w:tc>
      </w:tr>
      <w:tr>
        <w:tc>
          <w:tcPr>
            <w:tcW w:type="dxa" w:w="4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Customer's responsibility to pay</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Provider's obligation arises from direct engagement, not from Care Syndicate.</w:t>
            </w:r>
          </w:p>
        </w:tc>
      </w:tr>
      <w:tr>
        <w:tc>
          <w:tcPr>
            <w:tcW w:type="dxa" w:w="4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You had permission to make the payment</w:t>
            </w:r>
          </w:p>
        </w:tc>
        <w:tc>
          <w:tcPr>
            <w:tcW w:type="dxa" w:w="5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Platform services agreement grants explicit authority.</w:t>
            </w:r>
          </w:p>
        </w:tc>
      </w:tr>
      <w:tr>
        <w:tc>
          <w:tcPr>
            <w:tcW w:type="dxa" w:w="4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Customer knew services were from another supplier</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Provider selects workers directly. Workers are not CS employees.</w:t>
            </w:r>
          </w:p>
        </w:tc>
      </w:tr>
      <w:tr>
        <w:tc>
          <w:tcPr>
            <w:tcW w:type="dxa" w:w="4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Costs shown separately on invoice</w:t>
            </w:r>
          </w:p>
        </w:tc>
        <w:tc>
          <w:tcPr>
            <w:tcW w:type="dxa" w:w="5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earnings and platform fees are separate line items.</w:t>
            </w:r>
          </w:p>
        </w:tc>
      </w:tr>
      <w:tr>
        <w:tc>
          <w:tcPr>
            <w:tcW w:type="dxa" w:w="40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Exact amount passed on without addition</w:t>
            </w:r>
          </w:p>
        </w:tc>
        <w:tc>
          <w:tcPr>
            <w:tcW w:type="dxa" w:w="53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earnings passed at agreed rate. No margin added.</w:t>
            </w:r>
          </w:p>
        </w:tc>
      </w:tr>
      <w:tr>
        <w:tc>
          <w:tcPr>
            <w:tcW w:type="dxa" w:w="40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Services additional to your own</w:t>
            </w:r>
          </w:p>
        </w:tc>
        <w:tc>
          <w:tcPr>
            <w:tcW w:type="dxa" w:w="53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Care delivery is worker's service. Platform management is CS's service.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4. IR35 &amp; OFF-PAYROLL WORKING RULES</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The off-payroll working rules apply to engagements through intermediaries. Care Syndicate addresses IR35 through CEST assessment and automatic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CEST Result</w:t>
            </w:r>
          </w:p>
        </w:tc>
        <w:tc>
          <w:tcPr>
            <w:tcW w:type="dxa" w:w="35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IR35 Position</w:t>
            </w:r>
          </w:p>
        </w:tc>
        <w:tc>
          <w:tcPr>
            <w:tcW w:type="dxa" w:w="35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Action</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Self-Employed</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Does not apply — no intermediary</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Paid as SE. Result stored. 6-month review.</w:t>
            </w:r>
          </w:p>
        </w:tc>
      </w:tr>
      <w:tr>
        <w:tc>
          <w:tcPr>
            <w:tcW w:type="dxa" w:w="22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Outside IR35 (Ltd)</w:t>
            </w:r>
          </w:p>
        </w:tc>
        <w:tc>
          <w:tcPr>
            <w:tcW w:type="dxa" w:w="35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Falls outside IR35 rules</w:t>
            </w:r>
          </w:p>
        </w:tc>
        <w:tc>
          <w:tcPr>
            <w:tcW w:type="dxa" w:w="35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Payment to company. Result stored.</w:t>
            </w:r>
          </w:p>
        </w:tc>
      </w:tr>
      <w:tr>
        <w:tc>
          <w:tcPr>
            <w:tcW w:type="dxa" w:w="22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 Inside IR35</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Engagement constitutes employment</w:t>
            </w:r>
          </w:p>
        </w:tc>
        <w:tc>
          <w:tcPr>
            <w:tcW w:type="dxa" w:w="35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Auto-routed to PAYE via payroll bureau. Full statutory compliance.</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8"/>
              <w:bottom w:val="single" w:color="1565C0" w:sz="1"/>
              <w:right w:val="single" w:color="1565C0" w:sz="1"/>
            </w:tcBorders>
            <w:shd w:fill="E3F2FD"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REASONABLE CARE:  Running CEST per engagement, storing results, and auto-routing to PAYE constitutes the strongest evidence of reasonable care for medium/large organisations under the off-payroll rules.</w:t>
            </w:r>
          </w:p>
        </w:tc>
      </w:tr>
    </w:tbl>
    <w:p>
      <w:pPr>
        <w:spacing w:before="0" w:after="2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5. JOINT &amp; SEVERAL LIABILITY (APRIL 2026)</w:t>
            </w:r>
          </w:p>
        </w:tc>
      </w:tr>
    </w:tbl>
    <w:p>
      <w:pPr>
        <w:spacing w:before="0" w:after="80"/>
        <w:jc w:val="left"/>
      </w:pPr>
    </w:p>
    <w:p>
      <w:pPr>
        <w:spacing w:before="0" w:after="100"/>
        <w:jc w:val="left"/>
      </w:pPr>
      <w:r>
        <w:rPr>
          <w:rFonts w:ascii="Raleway" w:cs="Raleway" w:eastAsia="Raleway" w:hAnsi="Raleway"/>
          <w:b w:val="false"/>
          <w:bCs w:val="false"/>
          <w:i w:val="false"/>
          <w:iCs w:val="false"/>
          <w:color w:val="333333"/>
          <w:sz w:val="20"/>
          <w:szCs w:val="20"/>
        </w:rPr>
        <w:t xml:space="preserve">From 6 April 2026, new JSL rules under the Finance Act 2025 allow HMRC to pursue supply chain parties when an umbrella fails to remit PAYE. Care Syndicate eliminates this risk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JSL Trigger Condition</w:t>
            </w:r>
          </w:p>
        </w:tc>
        <w:tc>
          <w:tcPr>
            <w:tcW w:type="dxa" w:w="468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Care Syndicate Position</w:t>
            </w:r>
          </w:p>
        </w:tc>
      </w:tr>
      <w:tr>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employed by umbrella</w:t>
            </w:r>
          </w:p>
        </w:tc>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Worker NOT employed by anyone — genuinely SE or on PAYE via independent bureau.</w:t>
            </w:r>
          </w:p>
        </w:tc>
      </w:tr>
      <w:tr>
        <w:tc>
          <w:tcPr>
            <w:tcW w:type="dxa" w:w="46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PAYE operated by umbrella</w:t>
            </w:r>
          </w:p>
        </w:tc>
        <w:tc>
          <w:tcPr>
            <w:tcW w:type="dxa" w:w="46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 umbrella operates PAYE. SE workers self-assess. PAYE via independent bureau.</w:t>
            </w:r>
          </w:p>
        </w:tc>
      </w:tr>
      <w:tr>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Umbrella in supply chain</w:t>
            </w:r>
          </w:p>
        </w:tc>
        <w:tc>
          <w:tcPr>
            <w:tcW w:type="dxa" w:w="468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No umbrella exists. Platform is an introducer.</w:t>
            </w:r>
          </w:p>
        </w:tc>
      </w:tr>
      <w:tr>
        <w:tc>
          <w:tcPr>
            <w:tcW w:type="dxa" w:w="46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business supplies worker</w:t>
            </w:r>
          </w:p>
        </w:tc>
        <w:tc>
          <w:tcPr>
            <w:tcW w:type="dxa" w:w="468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CS is not an employment business. We introduce, not supply.</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20"/>
              <w:left w:type="dxa" w:w="200"/>
              <w:bottom w:type="dxa" w:w="120"/>
              <w:right w:type="dxa" w:w="200"/>
            </w:tcMar>
          </w:tcPr>
          <w:p>
            <w:pPr>
              <w:spacing w:before="0" w:after="100"/>
              <w:jc w:val="left"/>
            </w:pPr>
            <w:r>
              <w:rPr>
                <w:rFonts w:ascii="Raleway" w:cs="Raleway" w:eastAsia="Raleway" w:hAnsi="Raleway"/>
                <w:b w:val="false"/>
                <w:bCs w:val="false"/>
                <w:i w:val="false"/>
                <w:iCs w:val="false"/>
                <w:color w:val="333333"/>
                <w:sz w:val="19"/>
                <w:szCs w:val="19"/>
              </w:rPr>
              <w:t xml:space="preserve">CONCLUSION:  JSL trigger conditions cannot be satisfied. Zero exposure for providers using Care Syndicate.</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80"/>
              <w:left w:type="dxa" w:w="300"/>
              <w:bottom w:type="dxa" w:w="180"/>
              <w:right w:type="dxa" w:w="300"/>
            </w:tcMar>
          </w:tcPr>
          <w:p>
            <w:pPr>
              <w:spacing w:before="0" w:after="100"/>
              <w:jc w:val="left"/>
            </w:pPr>
            <w:r>
              <w:rPr>
                <w:rFonts w:ascii="Raleway" w:cs="Raleway" w:eastAsia="Raleway" w:hAnsi="Raleway"/>
                <w:b/>
                <w:bCs/>
                <w:i w:val="false"/>
                <w:iCs w:val="false"/>
                <w:color w:val="FFFFFF"/>
                <w:sz w:val="26"/>
                <w:szCs w:val="26"/>
              </w:rPr>
              <w:t xml:space="preserve">6. STATUTORY &amp; GUIDANCE REFERENCES</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80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Reference</w:t>
            </w:r>
          </w:p>
        </w:tc>
        <w:tc>
          <w:tcPr>
            <w:tcW w:type="dxa" w:w="5560"/>
            <w:tcBorders>
              <w:top w:val="single" w:color="C9A2CF" w:sz="1"/>
              <w:left w:val="single" w:color="C9A2CF" w:sz="1"/>
              <w:bottom w:val="single" w:color="C9A2CF" w:sz="1"/>
              <w:right w:val="single" w:color="C9A2CF" w:sz="1"/>
            </w:tcBorders>
            <w:shd w:fill="4A1D5A" w:val="clear"/>
            <w:tcMar>
              <w:top w:type="dxa" w:w="60"/>
              <w:left w:type="dxa" w:w="100"/>
              <w:bottom w:type="dxa" w:w="60"/>
              <w:right w:type="dxa" w:w="100"/>
            </w:tcMar>
            <w:vAlign w:val="center"/>
          </w:tcPr>
          <w:p>
            <w:pPr>
              <w:spacing w:before="0" w:after="100"/>
              <w:jc w:val="left"/>
            </w:pPr>
            <w:r>
              <w:rPr>
                <w:rFonts w:ascii="Raleway" w:cs="Raleway" w:eastAsia="Raleway" w:hAnsi="Raleway"/>
                <w:b/>
                <w:bCs/>
                <w:i w:val="false"/>
                <w:iCs w:val="false"/>
                <w:color w:val="FFFFFF"/>
                <w:sz w:val="18"/>
                <w:szCs w:val="18"/>
              </w:rPr>
              <w:t xml:space="preserve">Description</w:t>
            </w:r>
          </w:p>
        </w:tc>
      </w:tr>
      <w:tr>
        <w:tc>
          <w:tcPr>
            <w:tcW w:type="dxa" w:w="3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Agencies Act 1973</w:t>
            </w:r>
          </w:p>
        </w:tc>
        <w:tc>
          <w:tcPr>
            <w:tcW w:type="dxa" w:w="55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Introducer vs employment business distinction</w:t>
            </w:r>
          </w:p>
        </w:tc>
      </w:tr>
      <w:tr>
        <w:tc>
          <w:tcPr>
            <w:tcW w:type="dxa" w:w="3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Conduct Regulations 2003</w:t>
            </w:r>
          </w:p>
        </w:tc>
        <w:tc>
          <w:tcPr>
            <w:tcW w:type="dxa" w:w="55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Agency and employment business conduct requirements</w:t>
            </w:r>
          </w:p>
        </w:tc>
      </w:tr>
      <w:tr>
        <w:tc>
          <w:tcPr>
            <w:tcW w:type="dxa" w:w="3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ESM4015</w:t>
            </w:r>
          </w:p>
        </w:tc>
        <w:tc>
          <w:tcPr>
            <w:tcW w:type="dxa" w:w="55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Care workers and self-employment guidance</w:t>
            </w:r>
          </w:p>
        </w:tc>
      </w:tr>
      <w:tr>
        <w:tc>
          <w:tcPr>
            <w:tcW w:type="dxa" w:w="3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CEST Tool</w:t>
            </w:r>
          </w:p>
        </w:tc>
        <w:tc>
          <w:tcPr>
            <w:tcW w:type="dxa" w:w="55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status determination — endorsed by HMRC</w:t>
            </w:r>
          </w:p>
        </w:tc>
      </w:tr>
      <w:tr>
        <w:tc>
          <w:tcPr>
            <w:tcW w:type="dxa" w:w="3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VAT Notice 700</w:t>
            </w:r>
          </w:p>
        </w:tc>
        <w:tc>
          <w:tcPr>
            <w:tcW w:type="dxa" w:w="55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Disbursement rules — eight conditions</w:t>
            </w:r>
          </w:p>
        </w:tc>
      </w:tr>
      <w:tr>
        <w:tc>
          <w:tcPr>
            <w:tcW w:type="dxa" w:w="3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HMRC VAT Notice 701/2</w:t>
            </w:r>
          </w:p>
        </w:tc>
        <w:tc>
          <w:tcPr>
            <w:tcW w:type="dxa" w:w="55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Nursing agency VAT concession</w:t>
            </w:r>
          </w:p>
        </w:tc>
      </w:tr>
      <w:tr>
        <w:tc>
          <w:tcPr>
            <w:tcW w:type="dxa" w:w="3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Finance Act 2025 (JSL)</w:t>
            </w:r>
          </w:p>
        </w:tc>
        <w:tc>
          <w:tcPr>
            <w:tcW w:type="dxa" w:w="55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Joint and Several Liability — effective 6 April 2026</w:t>
            </w:r>
          </w:p>
        </w:tc>
      </w:tr>
      <w:tr>
        <w:tc>
          <w:tcPr>
            <w:tcW w:type="dxa" w:w="3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VATA 1994</w:t>
            </w:r>
          </w:p>
        </w:tc>
        <w:tc>
          <w:tcPr>
            <w:tcW w:type="dxa" w:w="55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Standard-rated supply of staff</w:t>
            </w:r>
          </w:p>
        </w:tc>
      </w:tr>
      <w:tr>
        <w:tc>
          <w:tcPr>
            <w:tcW w:type="dxa" w:w="380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ITEPA 2003 Ch. 10</w:t>
            </w:r>
          </w:p>
        </w:tc>
        <w:tc>
          <w:tcPr>
            <w:tcW w:type="dxa" w:w="5560"/>
            <w:tcBorders>
              <w:top w:val="single" w:color="C9A2CF" w:sz="1"/>
              <w:left w:val="single" w:color="C9A2CF" w:sz="1"/>
              <w:bottom w:val="single" w:color="C9A2CF" w:sz="1"/>
              <w:right w:val="single" w:color="C9A2CF" w:sz="1"/>
            </w:tcBorders>
            <w:shd w:fill="FFFFFF"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Off-payroll working (IR35)</w:t>
            </w:r>
          </w:p>
        </w:tc>
      </w:tr>
      <w:tr>
        <w:tc>
          <w:tcPr>
            <w:tcW w:type="dxa" w:w="380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Rights Act 1996</w:t>
            </w:r>
          </w:p>
        </w:tc>
        <w:tc>
          <w:tcPr>
            <w:tcW w:type="dxa" w:w="5560"/>
            <w:tcBorders>
              <w:top w:val="single" w:color="C9A2CF" w:sz="1"/>
              <w:left w:val="single" w:color="C9A2CF" w:sz="1"/>
              <w:bottom w:val="single" w:color="C9A2CF" w:sz="1"/>
              <w:right w:val="single" w:color="C9A2CF" w:sz="1"/>
            </w:tcBorders>
            <w:shd w:fill="F3ECF6" w:val="clear"/>
            <w:tcMar>
              <w:top w:type="dxa" w:w="60"/>
              <w:left w:type="dxa" w:w="100"/>
              <w:bottom w:type="dxa" w:w="60"/>
              <w:right w:type="dxa" w:w="100"/>
            </w:tcMar>
            <w:vAlign w:val="center"/>
          </w:tcPr>
          <w:p>
            <w:pPr>
              <w:spacing w:before="0" w:after="100"/>
              <w:jc w:val="left"/>
            </w:pPr>
            <w:r>
              <w:rPr>
                <w:rFonts w:ascii="Raleway" w:cs="Raleway" w:eastAsia="Raleway" w:hAnsi="Raleway"/>
                <w:b w:val="false"/>
                <w:bCs w:val="false"/>
                <w:i w:val="false"/>
                <w:iCs w:val="false"/>
                <w:color w:val="4A1D5A"/>
                <w:sz w:val="18"/>
                <w:szCs w:val="18"/>
              </w:rPr>
              <w:t xml:space="preserve">Employment status definitions</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160"/>
              <w:left w:type="dxa" w:w="300"/>
              <w:bottom w:type="dxa" w:w="160"/>
              <w:right w:type="dxa" w:w="300"/>
            </w:tcMar>
          </w:tcPr>
          <w:p>
            <w:pPr>
              <w:spacing w:before="0" w:after="100"/>
              <w:jc w:val="left"/>
            </w:pPr>
            <w:r>
              <w:rPr>
                <w:rFonts w:ascii="Raleway" w:cs="Raleway" w:eastAsia="Raleway" w:hAnsi="Raleway"/>
                <w:b w:val="false"/>
                <w:bCs w:val="false"/>
                <w:i w:val="false"/>
                <w:iCs w:val="false"/>
                <w:color w:val="FFFFFF"/>
                <w:sz w:val="19"/>
                <w:szCs w:val="19"/>
              </w:rPr>
              <w:t xml:space="preserve">This document is provided for due diligence purposes. Care Syndicate recommends independent legal advice where required. Full Legal Distinction Guide, Indemnity Policy, and sample contracts available on request.</w:t>
            </w:r>
          </w:p>
        </w:tc>
      </w:tr>
    </w:tbl>
    <w:p>
      <w:pPr>
        <w:spacing w:before="0" w:after="100"/>
        <w:jc w:val="left"/>
      </w:pPr>
    </w:p>
    <w:p>
      <w:pPr>
        <w:spacing w:before="0" w:after="100"/>
        <w:jc w:val="center"/>
      </w:pPr>
      <w:r>
        <w:rPr>
          <w:rFonts w:ascii="Raleway" w:cs="Raleway" w:eastAsia="Raleway" w:hAnsi="Raleway"/>
          <w:b w:val="false"/>
          <w:bCs w:val="false"/>
          <w:i w:val="false"/>
          <w:iCs w:val="false"/>
          <w:color w:val="666666"/>
          <w:sz w:val="16"/>
          <w:szCs w:val="16"/>
        </w:rPr>
        <w:t xml:space="preserve">© 2026 Care Syndicate Ltd.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4A1D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2026-02-21T22:36:44.486Z</dcterms:created>
  <dcterms:modified xsi:type="dcterms:W3CDTF">2026-02-21T22:36:44.487Z</dcterms:modified>
</cp:coreProperties>
</file>

<file path=docProps/custom.xml><?xml version="1.0" encoding="utf-8"?>
<Properties xmlns="http://schemas.openxmlformats.org/officeDocument/2006/custom-properties" xmlns:vt="http://schemas.openxmlformats.org/officeDocument/2006/docPropsVTypes"/>
</file>