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300"/>
        <w:jc w:val="left"/>
      </w:pPr>
    </w:p>
    <w:p>
      <w:pPr>
        <w:spacing w:before="0" w:after="40"/>
        <w:jc w:val="center"/>
      </w:pPr>
      <w:r>
        <w:rPr>
          <w:rFonts w:ascii="Raleway" w:cs="Raleway" w:eastAsia="Raleway" w:hAnsi="Raleway"/>
          <w:b/>
          <w:bCs/>
          <w:i w:val="false"/>
          <w:iCs w:val="false"/>
          <w:color w:val="4A1D5A"/>
          <w:sz w:val="44"/>
          <w:szCs w:val="44"/>
        </w:rPr>
        <w:t xml:space="preserve">CARE SYNDICATE</w:t>
      </w:r>
    </w:p>
    <w:p>
      <w:pPr>
        <w:spacing w:before="0" w:after="40"/>
        <w:jc w:val="center"/>
      </w:pPr>
      <w:r>
        <w:rPr>
          <w:rFonts w:ascii="Raleway" w:cs="Raleway" w:eastAsia="Raleway" w:hAnsi="Raleway"/>
          <w:b w:val="false"/>
          <w:bCs w:val="false"/>
          <w:i w:val="false"/>
          <w:iCs w:val="false"/>
          <w:color w:val="7B3F8E"/>
          <w:sz w:val="32"/>
          <w:szCs w:val="32"/>
        </w:rPr>
        <w:t xml:space="preserve">Risk Elimination Summary</w:t>
      </w:r>
    </w:p>
    <w:p>
      <w:pPr>
        <w:spacing w:before="0" w:after="60"/>
        <w:jc w:val="center"/>
      </w:pPr>
      <w:r>
        <w:rPr>
          <w:rFonts w:ascii="Raleway" w:cs="Raleway" w:eastAsia="Raleway" w:hAnsi="Raleway"/>
          <w:b w:val="false"/>
          <w:bCs w:val="false"/>
          <w:i/>
          <w:iCs/>
          <w:color w:val="7B3F8E"/>
          <w:sz w:val="22"/>
          <w:szCs w:val="22"/>
        </w:rPr>
        <w:t xml:space="preserve">Every risk you carry today — and how each one is eliminated</w:t>
      </w:r>
    </w:p>
    <w:p>
      <w:pPr>
        <w:spacing w:before="0" w:after="10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D5A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This document is designed as a leave-behind after your first conversation with Care Syndicate. It lists every material risk your organisation carries under the current agency model and shows precisely how each is eliminated.</w:t>
            </w:r>
          </w:p>
        </w:tc>
      </w:tr>
    </w:tbl>
    <w:p>
      <w:pPr>
        <w:spacing w:before="0" w:after="10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D5A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RISK BY RISK</w:t>
            </w:r>
          </w:p>
        </w:tc>
      </w:tr>
    </w:tbl>
    <w:p>
      <w:pPr>
        <w:spacing w:before="0" w:after="6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4A1D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58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4A1D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Your Current Exposure</w:t>
            </w:r>
          </w:p>
        </w:tc>
        <w:tc>
          <w:tcPr>
            <w:tcW w:type="dxa" w:w="358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4A1D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How Care Syndicate Eliminates It</w:t>
            </w:r>
          </w:p>
        </w:tc>
      </w:tr>
      <w:tr>
        <w:tc>
          <w:tcPr>
            <w:tcW w:type="dxa" w:w="220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/>
                <w:bCs/>
                <w:i w:val="false"/>
                <w:iCs w:val="false"/>
                <w:color w:val="4A1D5A"/>
                <w:sz w:val="18"/>
                <w:szCs w:val="18"/>
              </w:rPr>
              <w:t xml:space="preserve">Joint &amp; Several Liability (April 2026)</w:t>
            </w:r>
          </w:p>
        </w:tc>
        <w:tc>
          <w:tcPr>
            <w:tcW w:type="dxa" w:w="358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 w:val="false"/>
                <w:bCs w:val="false"/>
                <w:i w:val="false"/>
                <w:iCs w:val="false"/>
                <w:color w:val="C62828"/>
                <w:sz w:val="18"/>
                <w:szCs w:val="18"/>
              </w:rPr>
              <w:t xml:space="preserve">If umbrella fails to remit PAYE, HMRC can pursue you. Strict liability — no defence even with due diligence. Effective 6 April 2026, no grandfather clause.</w:t>
            </w:r>
          </w:p>
        </w:tc>
        <w:tc>
          <w:tcPr>
            <w:tcW w:type="dxa" w:w="358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 w:val="false"/>
                <w:bCs w:val="false"/>
                <w:i w:val="false"/>
                <w:iCs w:val="false"/>
                <w:color w:val="2E7D32"/>
                <w:sz w:val="18"/>
                <w:szCs w:val="18"/>
              </w:rPr>
              <w:t xml:space="preserve">No umbrella in supply chain. JSL trigger conditions cannot be satisfied. Zero exposure. Nothing to inherit.</w:t>
            </w:r>
          </w:p>
        </w:tc>
      </w:tr>
      <w:tr>
        <w:tc>
          <w:tcPr>
            <w:tcW w:type="dxa" w:w="220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F3EC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/>
                <w:bCs/>
                <w:i w:val="false"/>
                <w:iCs w:val="false"/>
                <w:color w:val="4A1D5A"/>
                <w:sz w:val="18"/>
                <w:szCs w:val="18"/>
              </w:rPr>
              <w:t xml:space="preserve">Employment Status Misclassification</w:t>
            </w:r>
          </w:p>
        </w:tc>
        <w:tc>
          <w:tcPr>
            <w:tcW w:type="dxa" w:w="358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 w:val="false"/>
                <w:bCs w:val="false"/>
                <w:i w:val="false"/>
                <w:iCs w:val="false"/>
                <w:color w:val="C62828"/>
                <w:sz w:val="18"/>
                <w:szCs w:val="18"/>
              </w:rPr>
              <w:t xml:space="preserve">Agency may blanket-classify all workers. No per-engagement assessment. HMRC can pursue end client for unpaid tax, NI, and penalties.</w:t>
            </w:r>
          </w:p>
        </w:tc>
        <w:tc>
          <w:tcPr>
            <w:tcW w:type="dxa" w:w="358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 w:val="false"/>
                <w:bCs w:val="false"/>
                <w:i w:val="false"/>
                <w:iCs w:val="false"/>
                <w:color w:val="2E7D32"/>
                <w:sz w:val="18"/>
                <w:szCs w:val="18"/>
              </w:rPr>
              <w:t xml:space="preserve">CEST assessment for every engagement. Results stored permanently. Employment results auto-route to PAYE. Evidence of genuine, individual assessment.</w:t>
            </w:r>
          </w:p>
        </w:tc>
      </w:tr>
      <w:tr>
        <w:tc>
          <w:tcPr>
            <w:tcW w:type="dxa" w:w="220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/>
                <w:bCs/>
                <w:i w:val="false"/>
                <w:iCs w:val="false"/>
                <w:color w:val="4A1D5A"/>
                <w:sz w:val="18"/>
                <w:szCs w:val="18"/>
              </w:rPr>
              <w:t xml:space="preserve">Opaque Supply Chain</w:t>
            </w:r>
          </w:p>
        </w:tc>
        <w:tc>
          <w:tcPr>
            <w:tcW w:type="dxa" w:w="358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 w:val="false"/>
                <w:bCs w:val="false"/>
                <w:i w:val="false"/>
                <w:iCs w:val="false"/>
                <w:color w:val="C62828"/>
                <w:sz w:val="18"/>
                <w:szCs w:val="18"/>
              </w:rPr>
              <w:t xml:space="preserve">Provider → Agency → Umbrella → Worker. You cannot see how workers are classified, what they earn, or where money goes. No audit trail you control.</w:t>
            </w:r>
          </w:p>
        </w:tc>
        <w:tc>
          <w:tcPr>
            <w:tcW w:type="dxa" w:w="358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 w:val="false"/>
                <w:bCs w:val="false"/>
                <w:i w:val="false"/>
                <w:iCs w:val="false"/>
                <w:color w:val="2E7D32"/>
                <w:sz w:val="18"/>
                <w:szCs w:val="18"/>
              </w:rPr>
              <w:t xml:space="preserve">Provider → Care Syndicate (introducer) → Worker. Direct, transparent. Every payment, classification, and credential visible in your portal.</w:t>
            </w:r>
          </w:p>
        </w:tc>
      </w:tr>
      <w:tr>
        <w:tc>
          <w:tcPr>
            <w:tcW w:type="dxa" w:w="220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F3EC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/>
                <w:bCs/>
                <w:i w:val="false"/>
                <w:iCs w:val="false"/>
                <w:color w:val="4A1D5A"/>
                <w:sz w:val="18"/>
                <w:szCs w:val="18"/>
              </w:rPr>
              <w:t xml:space="preserve">No Audit Evidence on Demand</w:t>
            </w:r>
          </w:p>
        </w:tc>
        <w:tc>
          <w:tcPr>
            <w:tcW w:type="dxa" w:w="358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 w:val="false"/>
                <w:bCs w:val="false"/>
                <w:i w:val="false"/>
                <w:iCs w:val="false"/>
                <w:color w:val="C62828"/>
                <w:sz w:val="18"/>
                <w:szCs w:val="18"/>
              </w:rPr>
              <w:t xml:space="preserve">Must request compliance evidence from agency. May be delayed, incomplete, or refused. CQC and HMRC require evidence you cannot produce.</w:t>
            </w:r>
          </w:p>
        </w:tc>
        <w:tc>
          <w:tcPr>
            <w:tcW w:type="dxa" w:w="358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 w:val="false"/>
                <w:bCs w:val="false"/>
                <w:i w:val="false"/>
                <w:iCs w:val="false"/>
                <w:color w:val="2E7D32"/>
                <w:sz w:val="18"/>
                <w:szCs w:val="18"/>
              </w:rPr>
              <w:t xml:space="preserve">CRM generates full audit packs on demand: CEST, payslips, payment records, credentials, insurance. Permanently stored. Available in minutes.</w:t>
            </w:r>
          </w:p>
        </w:tc>
      </w:tr>
      <w:tr>
        <w:tc>
          <w:tcPr>
            <w:tcW w:type="dxa" w:w="220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/>
                <w:bCs/>
                <w:i w:val="false"/>
                <w:iCs w:val="false"/>
                <w:color w:val="4A1D5A"/>
                <w:sz w:val="18"/>
                <w:szCs w:val="18"/>
              </w:rPr>
              <w:t xml:space="preserve">Worker Insurance Gaps</w:t>
            </w:r>
          </w:p>
        </w:tc>
        <w:tc>
          <w:tcPr>
            <w:tcW w:type="dxa" w:w="358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 w:val="false"/>
                <w:bCs w:val="false"/>
                <w:i w:val="false"/>
                <w:iCs w:val="false"/>
                <w:color w:val="C62828"/>
                <w:sz w:val="18"/>
                <w:szCs w:val="18"/>
              </w:rPr>
              <w:t xml:space="preserve">Agency may or may not require worker insurance. Verification depth varies. No automated monitoring. Expired policies may go unnoticed.</w:t>
            </w:r>
          </w:p>
        </w:tc>
        <w:tc>
          <w:tcPr>
            <w:tcW w:type="dxa" w:w="358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 w:val="false"/>
                <w:bCs w:val="false"/>
                <w:i w:val="false"/>
                <w:iCs w:val="false"/>
                <w:color w:val="2E7D32"/>
                <w:sz w:val="18"/>
                <w:szCs w:val="18"/>
              </w:rPr>
              <w:t xml:space="preserve">Every SE worker must hold £6m PL + £2m PI. Verified on upload. CRM monitors renewals. Expired workers blocked automatically.</w:t>
            </w:r>
          </w:p>
        </w:tc>
      </w:tr>
      <w:tr>
        <w:tc>
          <w:tcPr>
            <w:tcW w:type="dxa" w:w="220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F3EC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/>
                <w:bCs/>
                <w:i w:val="false"/>
                <w:iCs w:val="false"/>
                <w:color w:val="4A1D5A"/>
                <w:sz w:val="18"/>
                <w:szCs w:val="18"/>
              </w:rPr>
              <w:t xml:space="preserve">DBS Compliance Risk</w:t>
            </w:r>
          </w:p>
        </w:tc>
        <w:tc>
          <w:tcPr>
            <w:tcW w:type="dxa" w:w="358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 w:val="false"/>
                <w:bCs w:val="false"/>
                <w:i w:val="false"/>
                <w:iCs w:val="false"/>
                <w:color w:val="C62828"/>
                <w:sz w:val="18"/>
                <w:szCs w:val="18"/>
              </w:rPr>
              <w:t xml:space="preserve">Agency holds DBS records but you may not have real-time visibility. Lapsed checks may not be flagged promptly.</w:t>
            </w:r>
          </w:p>
        </w:tc>
        <w:tc>
          <w:tcPr>
            <w:tcW w:type="dxa" w:w="358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 w:val="false"/>
                <w:bCs w:val="false"/>
                <w:i w:val="false"/>
                <w:iCs w:val="false"/>
                <w:color w:val="2E7D32"/>
                <w:sz w:val="18"/>
                <w:szCs w:val="18"/>
              </w:rPr>
              <w:t xml:space="preserve">Enhanced DBS on Update Service required. CRM checks status in real-time. Non-compliant workers cannot be offered to you.</w:t>
            </w:r>
          </w:p>
        </w:tc>
      </w:tr>
      <w:tr>
        <w:tc>
          <w:tcPr>
            <w:tcW w:type="dxa" w:w="220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/>
                <w:bCs/>
                <w:i w:val="false"/>
                <w:iCs w:val="false"/>
                <w:color w:val="4A1D5A"/>
                <w:sz w:val="18"/>
                <w:szCs w:val="18"/>
              </w:rPr>
              <w:t xml:space="preserve">Irrecoverable VAT</w:t>
            </w:r>
          </w:p>
        </w:tc>
        <w:tc>
          <w:tcPr>
            <w:tcW w:type="dxa" w:w="358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 w:val="false"/>
                <w:bCs w:val="false"/>
                <w:i w:val="false"/>
                <w:iCs w:val="false"/>
                <w:color w:val="C62828"/>
                <w:sz w:val="18"/>
                <w:szCs w:val="18"/>
              </w:rPr>
              <w:t xml:space="preserve">20% VAT on full agency charge. Irrecoverable for VAT-exempt care providers. Dead cost: ~£4.40/hr per worker on a £22/hr charge.</w:t>
            </w:r>
          </w:p>
        </w:tc>
        <w:tc>
          <w:tcPr>
            <w:tcW w:type="dxa" w:w="358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 w:val="false"/>
                <w:bCs w:val="false"/>
                <w:i w:val="false"/>
                <w:iCs w:val="false"/>
                <w:color w:val="2E7D32"/>
                <w:sz w:val="18"/>
                <w:szCs w:val="18"/>
              </w:rPr>
              <w:t xml:space="preserve">Model A: VAT reclaimable. Model B: no VAT on worker earnings (concession). Irrecoverable VAT eliminated or massively reduced.</w:t>
            </w:r>
          </w:p>
        </w:tc>
      </w:tr>
      <w:tr>
        <w:tc>
          <w:tcPr>
            <w:tcW w:type="dxa" w:w="220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F3EC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/>
                <w:bCs/>
                <w:i w:val="false"/>
                <w:iCs w:val="false"/>
                <w:color w:val="4A1D5A"/>
                <w:sz w:val="18"/>
                <w:szCs w:val="18"/>
              </w:rPr>
              <w:t xml:space="preserve">Cost Opacity</w:t>
            </w:r>
          </w:p>
        </w:tc>
        <w:tc>
          <w:tcPr>
            <w:tcW w:type="dxa" w:w="358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 w:val="false"/>
                <w:bCs w:val="false"/>
                <w:i w:val="false"/>
                <w:iCs w:val="false"/>
                <w:color w:val="C62828"/>
                <w:sz w:val="18"/>
                <w:szCs w:val="18"/>
              </w:rPr>
              <w:t xml:space="preserve">Blended rates (£22–25/hr) with no breakdown. Umbrella fees, agency margins, and employment costs hidden. No basis for cost comparison.</w:t>
            </w:r>
          </w:p>
        </w:tc>
        <w:tc>
          <w:tcPr>
            <w:tcW w:type="dxa" w:w="358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 w:val="false"/>
                <w:bCs w:val="false"/>
                <w:i w:val="false"/>
                <w:iCs w:val="false"/>
                <w:color w:val="2E7D32"/>
                <w:sz w:val="18"/>
                <w:szCs w:val="18"/>
              </w:rPr>
              <w:t xml:space="preserve">Worker rate, platform fee, and VAT shown separately on every invoice. Every line itemised. True cost visible and verifiable.</w:t>
            </w:r>
          </w:p>
        </w:tc>
      </w:tr>
      <w:tr>
        <w:tc>
          <w:tcPr>
            <w:tcW w:type="dxa" w:w="220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/>
                <w:bCs/>
                <w:i w:val="false"/>
                <w:iCs w:val="false"/>
                <w:color w:val="4A1D5A"/>
                <w:sz w:val="18"/>
                <w:szCs w:val="18"/>
              </w:rPr>
              <w:t xml:space="preserve">Worker Take-Home Squeeze</w:t>
            </w:r>
          </w:p>
        </w:tc>
        <w:tc>
          <w:tcPr>
            <w:tcW w:type="dxa" w:w="358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 w:val="false"/>
                <w:bCs w:val="false"/>
                <w:i w:val="false"/>
                <w:iCs w:val="false"/>
                <w:color w:val="C62828"/>
                <w:sz w:val="18"/>
                <w:szCs w:val="18"/>
              </w:rPr>
              <w:t xml:space="preserve">Workers receive £14–16/hr after umbrella deductions from a £22–25/hr charge. Low morale, high turnover, poor retention.</w:t>
            </w:r>
          </w:p>
        </w:tc>
        <w:tc>
          <w:tcPr>
            <w:tcW w:type="dxa" w:w="358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 w:val="false"/>
                <w:bCs w:val="false"/>
                <w:i w:val="false"/>
                <w:iCs w:val="false"/>
                <w:color w:val="2E7D32"/>
                <w:sz w:val="18"/>
                <w:szCs w:val="18"/>
              </w:rPr>
              <w:t xml:space="preserve">SE workers receive full agreed rate. PAYE workers receive proper payslip with statutory rights. No umbrella deductions. Higher take-home = better retention.</w:t>
            </w:r>
          </w:p>
        </w:tc>
      </w:tr>
      <w:tr>
        <w:tc>
          <w:tcPr>
            <w:tcW w:type="dxa" w:w="220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F3EC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/>
                <w:bCs/>
                <w:i w:val="false"/>
                <w:iCs w:val="false"/>
                <w:color w:val="4A1D5A"/>
                <w:sz w:val="18"/>
                <w:szCs w:val="18"/>
              </w:rPr>
              <w:t xml:space="preserve">CQC Inspection Vulnerability</w:t>
            </w:r>
          </w:p>
        </w:tc>
        <w:tc>
          <w:tcPr>
            <w:tcW w:type="dxa" w:w="358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 w:val="false"/>
                <w:bCs w:val="false"/>
                <w:i w:val="false"/>
                <w:iCs w:val="false"/>
                <w:color w:val="C62828"/>
                <w:sz w:val="18"/>
                <w:szCs w:val="18"/>
              </w:rPr>
              <w:t xml:space="preserve">Limited ability to demonstrate workforce governance. Evidence scattered across agencies. Registered managers may lack ready documentation.</w:t>
            </w:r>
          </w:p>
        </w:tc>
        <w:tc>
          <w:tcPr>
            <w:tcW w:type="dxa" w:w="358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 w:val="false"/>
                <w:bCs w:val="false"/>
                <w:i w:val="false"/>
                <w:iCs w:val="false"/>
                <w:color w:val="2E7D32"/>
                <w:sz w:val="18"/>
                <w:szCs w:val="18"/>
              </w:rPr>
              <w:t xml:space="preserve">CQC Inspection-Ready reports generated by CRM. Full credential status, CEST results, insurance verification — all in one download. Pre-written responses provided.</w:t>
            </w:r>
          </w:p>
        </w:tc>
      </w:tr>
      <w:tr>
        <w:tc>
          <w:tcPr>
            <w:tcW w:type="dxa" w:w="220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/>
                <w:bCs/>
                <w:i w:val="false"/>
                <w:iCs w:val="false"/>
                <w:color w:val="4A1D5A"/>
                <w:sz w:val="18"/>
                <w:szCs w:val="18"/>
              </w:rPr>
              <w:t xml:space="preserve">Substitution &amp; Decline Evidence</w:t>
            </w:r>
          </w:p>
        </w:tc>
        <w:tc>
          <w:tcPr>
            <w:tcW w:type="dxa" w:w="358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 w:val="false"/>
                <w:bCs w:val="false"/>
                <w:i w:val="false"/>
                <w:iCs w:val="false"/>
                <w:color w:val="C62828"/>
                <w:sz w:val="18"/>
                <w:szCs w:val="18"/>
              </w:rPr>
              <w:t xml:space="preserve">Agencies rarely track substitutions or declined shifts. If HMRC questions self-employment, there is no evidence of these key indicators.</w:t>
            </w:r>
          </w:p>
        </w:tc>
        <w:tc>
          <w:tcPr>
            <w:tcW w:type="dxa" w:w="358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 w:val="false"/>
                <w:bCs w:val="false"/>
                <w:i w:val="false"/>
                <w:iCs w:val="false"/>
                <w:color w:val="2E7D32"/>
                <w:sz w:val="18"/>
                <w:szCs w:val="18"/>
              </w:rPr>
              <w:t xml:space="preserve">Every declined offer logged (one-tap). Substitution workflow with full audit trail. CRM builds the evidence continuously and automatically.</w:t>
            </w:r>
          </w:p>
        </w:tc>
      </w:tr>
      <w:tr>
        <w:tc>
          <w:tcPr>
            <w:tcW w:type="dxa" w:w="220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F3EC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/>
                <w:bCs/>
                <w:i w:val="false"/>
                <w:iCs w:val="false"/>
                <w:color w:val="4A1D5A"/>
                <w:sz w:val="18"/>
                <w:szCs w:val="18"/>
              </w:rPr>
              <w:t xml:space="preserve">Dependency on Single Agency</w:t>
            </w:r>
          </w:p>
        </w:tc>
        <w:tc>
          <w:tcPr>
            <w:tcW w:type="dxa" w:w="358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 w:val="false"/>
                <w:bCs w:val="false"/>
                <w:i w:val="false"/>
                <w:iCs w:val="false"/>
                <w:color w:val="C62828"/>
                <w:sz w:val="18"/>
                <w:szCs w:val="18"/>
              </w:rPr>
              <w:t xml:space="preserve">If agency relationship fails, you lose access to workers and all compliance evidence held by the agency. No portability.</w:t>
            </w:r>
          </w:p>
        </w:tc>
        <w:tc>
          <w:tcPr>
            <w:tcW w:type="dxa" w:w="358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 w:val="false"/>
                <w:bCs w:val="false"/>
                <w:i w:val="false"/>
                <w:iCs w:val="false"/>
                <w:color w:val="2E7D32"/>
                <w:sz w:val="18"/>
                <w:szCs w:val="18"/>
              </w:rPr>
              <w:t xml:space="preserve">Workers onboarded to platform with their own credentials. You retain access to all compliance data regardless of any change in your Care Syndicate arrangement.</w:t>
            </w:r>
          </w:p>
        </w:tc>
      </w:tr>
    </w:tbl>
    <w:p>
      <w:pPr>
        <w:spacing w:before="0" w:after="15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D5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80"/>
              <w:jc w:val="left"/>
            </w:pPr>
            <w:r>
              <w:rPr>
                <w:rFonts w:ascii="Raleway" w:cs="Raleway" w:eastAsia="Raleway" w:hAnsi="Raleway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SCORECARD</w:t>
            </w:r>
          </w:p>
          <w:p>
            <w:pPr>
              <w:spacing w:before="0" w:after="40"/>
              <w:jc w:val="left"/>
            </w:pPr>
            <w:r>
              <w:rPr>
                <w:rFonts w:ascii="Raleway" w:cs="Raleway" w:eastAsia="Raleway" w:hAnsi="Raleway"/>
                <w:b w:val="false"/>
                <w:bCs w:val="false"/>
                <w:i w:val="false"/>
                <w:iCs w:val="false"/>
                <w:color w:val="C9A2CF"/>
                <w:sz w:val="20"/>
                <w:szCs w:val="20"/>
              </w:rPr>
              <w:t xml:space="preserve">Risks identified:  12</w:t>
            </w:r>
          </w:p>
          <w:p>
            <w:pPr>
              <w:spacing w:before="0" w:after="40"/>
              <w:jc w:val="left"/>
            </w:pPr>
            <w:r>
              <w:rPr>
                <w:rFonts w:ascii="Raleway" w:cs="Raleway" w:eastAsia="Raleway" w:hAnsi="Raleway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Risks eliminated by Care Syndicate:  12</w:t>
            </w:r>
          </w:p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Residual risk to provider:  Zero</w:t>
            </w:r>
          </w:p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 w:val="false"/>
                <w:bCs w:val="false"/>
                <w:i w:val="false"/>
                <w:iCs w:val="false"/>
                <w:color w:val="C9A2CF"/>
                <w:sz w:val="19"/>
                <w:szCs w:val="19"/>
              </w:rPr>
              <w:t xml:space="preserve">This is not a sales claim — it is a structural consequence of removing the umbrella company, using HMRC's own tools for status determination, and building compliance automation into every engagement.</w:t>
            </w:r>
          </w:p>
        </w:tc>
      </w:tr>
    </w:tbl>
    <w:p>
      <w:pPr>
        <w:spacing w:before="0" w:after="100"/>
        <w:jc w:val="left"/>
      </w:pPr>
    </w:p>
    <w:p>
      <w:pPr>
        <w:spacing w:before="0" w:after="100"/>
        <w:jc w:val="center"/>
      </w:pPr>
      <w:r>
        <w:rPr>
          <w:rFonts w:ascii="Raleway" w:cs="Raleway" w:eastAsia="Raleway" w:hAnsi="Raleway"/>
          <w:b w:val="false"/>
          <w:bCs w:val="false"/>
          <w:i w:val="false"/>
          <w:iCs w:val="false"/>
          <w:color w:val="666666"/>
          <w:sz w:val="16"/>
          <w:szCs w:val="16"/>
        </w:rPr>
        <w:t xml:space="preserve">© 2026 Care Syndicate Ltd.  |  hello@caresyndicate.co.uk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Raleway" w:cs="Raleway" w:eastAsia="Raleway" w:hAnsi="Raleway"/>
        <w:color w:val="4A1D5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2026-02-21T22:36:44.694Z</dcterms:created>
  <dcterms:modified xsi:type="dcterms:W3CDTF">2026-02-21T22:36:44.695Z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