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3A442865">
      <w:pPr>
        <w:pStyle w:val="152"/>
        <w:bidi w:val="0"/>
        <w:rPr>
          <w:lang w:val="ru-RU"/>
        </w:rPr>
      </w:pPr>
      <w:r>
        <w:rPr>
          <w:lang w:val="ru-RU"/>
        </w:rPr>
        <w:t>ОО</w:t>
      </w:r>
      <w:r>
        <w:rPr>
          <w:rFonts w:hint="default"/>
          <w:lang w:val="ru-RU"/>
        </w:rPr>
        <w:t xml:space="preserve"> анализ и проектирование по теме:</w:t>
      </w:r>
      <w:r>
        <w:rPr>
          <w:rFonts w:hint="default"/>
          <w:lang w:val="ru-RU"/>
        </w:rPr>
        <w:br w:type="textWrapping"/>
      </w:r>
      <w:r>
        <w:rPr>
          <w:lang w:val="ru-RU"/>
        </w:rPr>
        <w:t>Разработка масштабируемого отказоустойчивого сервиса для управления неструктурированными документами</w:t>
      </w:r>
    </w:p>
    <w:p w14:paraId="5DD09F2D">
      <w:pPr>
        <w:pStyle w:val="15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Диаграмма вариантов использования ВКР</w:t>
      </w:r>
    </w:p>
    <w:p w14:paraId="7EA984B5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4210" cy="4533900"/>
            <wp:effectExtent l="0" t="0" r="8890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125986"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page"/>
      </w:r>
    </w:p>
    <w:p w14:paraId="05B156E2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2218C5A">
      <w:pPr>
        <w:pStyle w:val="153"/>
        <w:bidi w:val="0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Пример сценария для ключевого прецедента:</w:t>
      </w:r>
      <w:r>
        <w:rPr>
          <w:rFonts w:hint="default"/>
          <w:lang w:val="ru-RU" w:eastAsia="zh-CN"/>
        </w:rPr>
        <w:br w:type="textWrapping"/>
      </w:r>
      <w:r>
        <w:rPr>
          <w:rFonts w:hint="default"/>
          <w:lang w:val="en-US" w:eastAsia="zh-CN"/>
        </w:rPr>
        <w:t>“</w:t>
      </w:r>
      <w:r>
        <w:rPr>
          <w:rFonts w:hint="default"/>
          <w:lang w:val="ru-RU" w:eastAsia="zh-CN"/>
        </w:rPr>
        <w:t>загрузка документа в систему</w:t>
      </w:r>
      <w:r>
        <w:rPr>
          <w:rFonts w:hint="default"/>
          <w:lang w:val="en-US" w:eastAsia="zh-CN"/>
        </w:rPr>
        <w:t>”</w:t>
      </w:r>
    </w:p>
    <w:tbl>
      <w:tblPr>
        <w:tblStyle w:val="1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30"/>
        <w:gridCol w:w="2130"/>
        <w:gridCol w:w="2130"/>
        <w:gridCol w:w="2130"/>
      </w:tblGrid>
      <w:tr w14:paraId="2D211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 w14:paraId="2B04DEF0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Идентификатор и название</w:t>
            </w:r>
          </w:p>
        </w:tc>
        <w:tc>
          <w:tcPr>
            <w:tcW w:w="6390" w:type="dxa"/>
            <w:gridSpan w:val="3"/>
          </w:tcPr>
          <w:p w14:paraId="205C247D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UseCase 1 - </w:t>
            </w:r>
            <w:r>
              <w:rPr>
                <w:rFonts w:hint="default"/>
                <w:vertAlign w:val="baseline"/>
                <w:lang w:val="ru-RU"/>
              </w:rPr>
              <w:t>Добавить документ во внутреннюю систему</w:t>
            </w:r>
          </w:p>
        </w:tc>
      </w:tr>
      <w:tr w14:paraId="460F41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5842573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Акторы</w:t>
            </w:r>
          </w:p>
        </w:tc>
        <w:tc>
          <w:tcPr>
            <w:tcW w:w="6390" w:type="dxa"/>
            <w:gridSpan w:val="3"/>
          </w:tcPr>
          <w:p w14:paraId="584A46A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Основные: Пользователь</w:t>
            </w:r>
          </w:p>
          <w:p w14:paraId="5B1F1ACF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Дополнительные: модуль загрузки файлов</w:t>
            </w:r>
          </w:p>
        </w:tc>
      </w:tr>
      <w:tr w14:paraId="1D72E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7EA03E67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Триггер</w:t>
            </w:r>
          </w:p>
        </w:tc>
        <w:tc>
          <w:tcPr>
            <w:tcW w:w="6390" w:type="dxa"/>
            <w:gridSpan w:val="3"/>
          </w:tcPr>
          <w:p w14:paraId="3B774B9A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Пользователь не нажимает на кнопку загрузки или не переводит документ при помощи </w:t>
            </w:r>
            <w:r>
              <w:rPr>
                <w:rFonts w:hint="default"/>
                <w:vertAlign w:val="baseline"/>
                <w:lang w:val="en-US"/>
              </w:rPr>
              <w:t xml:space="preserve">drag&amp;drop </w:t>
            </w:r>
            <w:r>
              <w:rPr>
                <w:rFonts w:hint="default"/>
                <w:vertAlign w:val="baseline"/>
                <w:lang w:val="ru-RU"/>
              </w:rPr>
              <w:t xml:space="preserve">инструментария </w:t>
            </w:r>
            <w:r>
              <w:rPr>
                <w:rFonts w:hint="default"/>
                <w:vertAlign w:val="baseline"/>
                <w:lang w:val="en-US"/>
              </w:rPr>
              <w:t xml:space="preserve">frontend </w:t>
            </w:r>
            <w:r>
              <w:rPr>
                <w:rFonts w:hint="default"/>
                <w:vertAlign w:val="baseline"/>
                <w:lang w:val="ru-RU"/>
              </w:rPr>
              <w:t>страницы</w:t>
            </w:r>
          </w:p>
        </w:tc>
      </w:tr>
      <w:tr w14:paraId="3E0A9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73EDA93C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Предварительные условия</w:t>
            </w:r>
          </w:p>
        </w:tc>
        <w:tc>
          <w:tcPr>
            <w:tcW w:w="6390" w:type="dxa"/>
            <w:gridSpan w:val="3"/>
          </w:tcPr>
          <w:p w14:paraId="079E1E4C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PRE-1 </w:t>
            </w:r>
            <w:r>
              <w:rPr>
                <w:rFonts w:hint="default"/>
                <w:vertAlign w:val="baseline"/>
                <w:lang w:val="ru-RU"/>
              </w:rPr>
              <w:t>Пользователь авторизовался в системе</w:t>
            </w:r>
          </w:p>
          <w:p w14:paraId="1B9D8101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PRE-2 </w:t>
            </w:r>
            <w:r>
              <w:rPr>
                <w:rFonts w:hint="default"/>
                <w:vertAlign w:val="baseline"/>
                <w:lang w:val="ru-RU"/>
              </w:rPr>
              <w:t>Пользователь перешел на страницу загрузки файлов</w:t>
            </w:r>
          </w:p>
        </w:tc>
      </w:tr>
      <w:tr w14:paraId="429C84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6D19054A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Выходные условия</w:t>
            </w:r>
          </w:p>
        </w:tc>
        <w:tc>
          <w:tcPr>
            <w:tcW w:w="6390" w:type="dxa"/>
            <w:gridSpan w:val="3"/>
          </w:tcPr>
          <w:p w14:paraId="1AD2E25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POST-1 </w:t>
            </w:r>
            <w:r>
              <w:rPr>
                <w:rFonts w:hint="default"/>
                <w:vertAlign w:val="baseline"/>
                <w:lang w:val="ru-RU"/>
              </w:rPr>
              <w:t>Файл сохранился в хранилище</w:t>
            </w:r>
          </w:p>
          <w:p w14:paraId="4940AD22"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POST-2 </w:t>
            </w:r>
            <w:r>
              <w:rPr>
                <w:rFonts w:hint="default"/>
                <w:vertAlign w:val="baseline"/>
                <w:lang w:val="ru-RU"/>
              </w:rPr>
              <w:t>Файл получил свой уникальный идентификатор и распространился на остальные файлы кластера</w:t>
            </w:r>
          </w:p>
        </w:tc>
      </w:tr>
      <w:tr w14:paraId="5AD54F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0" w:type="dxa"/>
            <w:gridSpan w:val="4"/>
          </w:tcPr>
          <w:p w14:paraId="2445DCD0">
            <w:pPr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Основной поток</w:t>
            </w:r>
          </w:p>
        </w:tc>
      </w:tr>
      <w:tr w14:paraId="617C17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4EBD33C8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Пользователь</w:t>
            </w:r>
          </w:p>
        </w:tc>
        <w:tc>
          <w:tcPr>
            <w:tcW w:w="2130" w:type="dxa"/>
          </w:tcPr>
          <w:p w14:paraId="2273CA33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Модуль файла</w:t>
            </w:r>
          </w:p>
        </w:tc>
        <w:tc>
          <w:tcPr>
            <w:tcW w:w="2130" w:type="dxa"/>
          </w:tcPr>
          <w:p w14:paraId="688A7F86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Модуль хранилища</w:t>
            </w:r>
          </w:p>
        </w:tc>
        <w:tc>
          <w:tcPr>
            <w:tcW w:w="2130" w:type="dxa"/>
          </w:tcPr>
          <w:p w14:paraId="736D4224">
            <w:p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Система кластеризации</w:t>
            </w:r>
          </w:p>
        </w:tc>
      </w:tr>
      <w:tr w14:paraId="3B62CB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3A4D9A3A">
            <w:pPr>
              <w:numPr>
                <w:ilvl w:val="0"/>
                <w:numId w:val="11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Пользователь выбирает действие загрузки файла и сохраняет выбор</w:t>
            </w:r>
          </w:p>
        </w:tc>
        <w:tc>
          <w:tcPr>
            <w:tcW w:w="2130" w:type="dxa"/>
          </w:tcPr>
          <w:p w14:paraId="62BF4ABA"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ru-RU"/>
              </w:rPr>
            </w:pPr>
          </w:p>
        </w:tc>
        <w:tc>
          <w:tcPr>
            <w:tcW w:w="2130" w:type="dxa"/>
          </w:tcPr>
          <w:p w14:paraId="79294A61"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ru-RU"/>
              </w:rPr>
            </w:pPr>
          </w:p>
        </w:tc>
        <w:tc>
          <w:tcPr>
            <w:tcW w:w="2130" w:type="dxa"/>
          </w:tcPr>
          <w:p w14:paraId="1FD6625C">
            <w:pPr>
              <w:numPr>
                <w:numId w:val="0"/>
              </w:numPr>
              <w:ind w:leftChars="0"/>
              <w:rPr>
                <w:rFonts w:hint="default"/>
                <w:vertAlign w:val="baseline"/>
                <w:lang w:val="ru-RU"/>
              </w:rPr>
            </w:pPr>
          </w:p>
        </w:tc>
      </w:tr>
      <w:tr w14:paraId="04445E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30" w:type="dxa"/>
          </w:tcPr>
          <w:p w14:paraId="3AAC2B21">
            <w:pPr>
              <w:numPr>
                <w:ilvl w:val="0"/>
                <w:numId w:val="11"/>
              </w:numPr>
              <w:ind w:left="0" w:leftChars="0" w:firstLine="0" w:firstLineChars="0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Пользователь выбирает действие: сохранить файл</w:t>
            </w:r>
          </w:p>
        </w:tc>
        <w:tc>
          <w:tcPr>
            <w:tcW w:w="2130" w:type="dxa"/>
            <w:shd w:val="clear"/>
            <w:vAlign w:val="top"/>
          </w:tcPr>
          <w:p w14:paraId="7EC3254D">
            <w:pPr>
              <w:numPr>
                <w:ilvl w:val="0"/>
                <w:numId w:val="11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vertAlign w:val="baseline"/>
                <w:lang w:val="ru-RU" w:eastAsia="zh-CN" w:bidi="ar-SA"/>
              </w:rPr>
            </w:pPr>
            <w:r>
              <w:rPr>
                <w:rFonts w:hint="default"/>
                <w:vertAlign w:val="baseline"/>
                <w:lang w:val="ru-RU"/>
              </w:rPr>
              <w:t>Модуль файла валидирует файл и отправляет его на загрузку в модуль хранилища</w:t>
            </w:r>
          </w:p>
        </w:tc>
        <w:tc>
          <w:tcPr>
            <w:tcW w:w="2130" w:type="dxa"/>
            <w:shd w:val="clear"/>
            <w:vAlign w:val="top"/>
          </w:tcPr>
          <w:p w14:paraId="6326F7DB">
            <w:pPr>
              <w:numPr>
                <w:ilvl w:val="0"/>
                <w:numId w:val="11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vertAlign w:val="baseline"/>
                <w:lang w:val="ru-RU" w:eastAsia="zh-CN" w:bidi="ar-SA"/>
              </w:rPr>
            </w:pPr>
            <w:r>
              <w:rPr>
                <w:rFonts w:hint="default"/>
                <w:vertAlign w:val="baseline"/>
                <w:lang w:val="ru-RU"/>
              </w:rPr>
              <w:t>Модуль хранилища создает уникальный идентификатор и передает в систему кластеризации данные</w:t>
            </w:r>
          </w:p>
        </w:tc>
        <w:tc>
          <w:tcPr>
            <w:tcW w:w="2130" w:type="dxa"/>
            <w:shd w:val="clear"/>
            <w:vAlign w:val="top"/>
          </w:tcPr>
          <w:p w14:paraId="6B065DD5">
            <w:pPr>
              <w:numPr>
                <w:ilvl w:val="0"/>
                <w:numId w:val="11"/>
              </w:numPr>
              <w:ind w:left="0" w:leftChars="0" w:firstLine="0" w:firstLineChars="0"/>
              <w:rPr>
                <w:rFonts w:hint="default" w:asciiTheme="minorHAnsi" w:hAnsiTheme="minorHAnsi" w:eastAsiaTheme="minorEastAsia" w:cstheme="minorBidi"/>
                <w:vertAlign w:val="baseline"/>
                <w:lang w:val="ru-RU" w:eastAsia="zh-CN" w:bidi="ar-SA"/>
              </w:rPr>
            </w:pPr>
            <w:r>
              <w:rPr>
                <w:rFonts w:hint="default"/>
                <w:vertAlign w:val="baseline"/>
                <w:lang w:val="ru-RU"/>
              </w:rPr>
              <w:t>Система кластеризации отправляет новые данные на все сервера группы</w:t>
            </w:r>
          </w:p>
        </w:tc>
      </w:tr>
    </w:tbl>
    <w:p w14:paraId="6FA48633">
      <w:pPr>
        <w:rPr>
          <w:rFonts w:hint="default"/>
          <w:lang w:val="ru-RU"/>
        </w:rPr>
      </w:pPr>
    </w:p>
    <w:p w14:paraId="4C0E3542">
      <w:pPr>
        <w:pStyle w:val="15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Диаграмма бизнес-классов</w:t>
      </w:r>
    </w:p>
    <w:p w14:paraId="0B7ABDE0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05525" cy="4676775"/>
            <wp:effectExtent l="0" t="0" r="9525" b="9525"/>
            <wp:docPr id="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C87E8">
      <w:pPr>
        <w:rPr>
          <w:rFonts w:hint="default"/>
          <w:lang w:val="en-US"/>
        </w:rPr>
      </w:pPr>
    </w:p>
    <w:p w14:paraId="46A94465">
      <w:pPr>
        <w:rPr>
          <w:rFonts w:hint="default"/>
          <w:lang w:val="ru-RU"/>
        </w:rPr>
      </w:pPr>
    </w:p>
    <w:p w14:paraId="3B67B4F2">
      <w:pPr>
        <w:pStyle w:val="153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Диаграмма последовательности для прецедента: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en-US"/>
        </w:rPr>
        <w:t>”</w:t>
      </w:r>
      <w:r>
        <w:rPr>
          <w:rFonts w:hint="default"/>
          <w:lang w:val="ru-RU"/>
        </w:rPr>
        <w:t>загрузка документа в систему</w:t>
      </w:r>
      <w:r>
        <w:rPr>
          <w:rFonts w:hint="default"/>
          <w:lang w:val="en-US"/>
        </w:rPr>
        <w:t>”</w:t>
      </w:r>
    </w:p>
    <w:p w14:paraId="30DD6EBE">
      <w:pPr>
        <w:rPr>
          <w:rFonts w:hint="default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4150" cy="2162175"/>
            <wp:effectExtent l="0" t="0" r="12700" b="9525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FD9C12">
      <w:pPr>
        <w:rPr>
          <w:lang w:val="en-US"/>
        </w:rPr>
      </w:pPr>
    </w:p>
    <w:p w14:paraId="7F14594F">
      <w:pPr>
        <w:rPr>
          <w:lang w:val="en-US"/>
        </w:rPr>
      </w:pPr>
    </w:p>
    <w:p w14:paraId="0DDD48FD">
      <w:pPr>
        <w:pStyle w:val="15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Диаграмма компонентов</w:t>
      </w:r>
    </w:p>
    <w:p w14:paraId="42897B1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5985" cy="4121150"/>
            <wp:effectExtent l="0" t="0" r="5715" b="12700"/>
            <wp:docPr id="4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BA4B4C">
      <w:pPr>
        <w:rPr>
          <w:rFonts w:hint="default"/>
          <w:lang w:val="ru-RU"/>
        </w:rPr>
      </w:pPr>
    </w:p>
    <w:p w14:paraId="22C69586">
      <w:pPr>
        <w:rPr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40BA05"/>
    <w:multiLevelType w:val="singleLevel"/>
    <w:tmpl w:val="E840BA0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E41378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6C5A43"/>
    <w:rsid w:val="0A015054"/>
    <w:rsid w:val="0DC26D19"/>
    <w:rsid w:val="2DA71F5A"/>
    <w:rsid w:val="30994C44"/>
    <w:rsid w:val="3D2E204C"/>
    <w:rsid w:val="3EA74199"/>
    <w:rsid w:val="3EBA4375"/>
    <w:rsid w:val="435773EF"/>
    <w:rsid w:val="45D349FB"/>
    <w:rsid w:val="47C87AB9"/>
    <w:rsid w:val="487C27ED"/>
    <w:rsid w:val="4E3631C8"/>
    <w:rsid w:val="55E41378"/>
    <w:rsid w:val="630F4F97"/>
    <w:rsid w:val="6CC67BDA"/>
    <w:rsid w:val="748B0309"/>
    <w:rsid w:val="7948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uiPriority w:val="0"/>
    <w:pPr>
      <w:ind w:left="420" w:leftChars="200"/>
    </w:pPr>
  </w:style>
  <w:style w:type="paragraph" w:styleId="68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uiPriority w:val="0"/>
    <w:pPr>
      <w:ind w:left="840" w:leftChars="400"/>
    </w:pPr>
  </w:style>
  <w:style w:type="paragraph" w:styleId="72">
    <w:name w:val="toc 2"/>
    <w:basedOn w:val="1"/>
    <w:next w:val="1"/>
    <w:uiPriority w:val="0"/>
    <w:pPr>
      <w:ind w:left="420" w:leftChars="200"/>
    </w:pPr>
  </w:style>
  <w:style w:type="paragraph" w:styleId="73">
    <w:name w:val="toc 4"/>
    <w:basedOn w:val="1"/>
    <w:next w:val="1"/>
    <w:uiPriority w:val="0"/>
    <w:pPr>
      <w:ind w:left="1260" w:leftChars="600"/>
    </w:pPr>
  </w:style>
  <w:style w:type="paragraph" w:styleId="74">
    <w:name w:val="toc 5"/>
    <w:basedOn w:val="1"/>
    <w:next w:val="1"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uiPriority w:val="0"/>
    <w:pPr>
      <w:spacing w:after="120"/>
      <w:ind w:left="360"/>
    </w:pPr>
  </w:style>
  <w:style w:type="paragraph" w:styleId="81">
    <w:name w:val="List Bullet 4"/>
    <w:basedOn w:val="1"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uiPriority w:val="0"/>
    <w:pPr>
      <w:spacing w:after="120"/>
      <w:ind w:left="720"/>
    </w:pPr>
  </w:style>
  <w:style w:type="paragraph" w:styleId="97">
    <w:name w:val="List Continue 3"/>
    <w:basedOn w:val="1"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151">
    <w:name w:val="CW"/>
    <w:basedOn w:val="1"/>
    <w:uiPriority w:val="0"/>
    <w:pPr>
      <w:spacing w:line="360" w:lineRule="auto"/>
      <w:ind w:firstLine="350" w:firstLineChars="125"/>
      <w:jc w:val="both"/>
    </w:pPr>
    <w:rPr>
      <w:rFonts w:ascii="Times New Roman" w:hAnsi="Times New Roman" w:eastAsia="Times New Roman" w:cs="Times New Roman"/>
      <w:sz w:val="26"/>
      <w:szCs w:val="28"/>
      <w:lang w:val="ru-RU" w:eastAsia="ru-RU"/>
    </w:rPr>
  </w:style>
  <w:style w:type="paragraph" w:customStyle="1" w:styleId="152">
    <w:name w:val="CW1"/>
    <w:basedOn w:val="2"/>
    <w:next w:val="151"/>
    <w:qFormat/>
    <w:uiPriority w:val="0"/>
    <w:pPr>
      <w:pageBreakBefore/>
      <w:adjustRightInd w:val="0"/>
      <w:spacing w:after="240" w:line="240" w:lineRule="auto"/>
      <w:ind w:firstLine="351" w:firstLineChars="0"/>
      <w:jc w:val="center"/>
    </w:pPr>
    <w:rPr>
      <w:rFonts w:ascii="Times New Roman" w:hAnsi="Times New Roman" w:eastAsia="Times New Roman"/>
      <w:lang w:val="ru-RU" w:eastAsia="ru-RU"/>
    </w:rPr>
  </w:style>
  <w:style w:type="paragraph" w:customStyle="1" w:styleId="153">
    <w:name w:val="CW2"/>
    <w:basedOn w:val="3"/>
    <w:next w:val="1"/>
    <w:uiPriority w:val="0"/>
    <w:pPr>
      <w:pageBreakBefore w:val="0"/>
      <w:spacing w:after="120" w:line="240" w:lineRule="auto"/>
      <w:ind w:firstLine="351" w:firstLineChars="0"/>
      <w:jc w:val="center"/>
    </w:pPr>
    <w:rPr>
      <w:rFonts w:ascii="Times New Roman" w:hAnsi="Times New Roman" w:eastAsia="Times New Roman" w:cs="Times New Roman"/>
      <w:i w:val="0"/>
      <w:lang w:val="ru-RU" w:eastAsia="ru-RU"/>
    </w:rPr>
  </w:style>
  <w:style w:type="paragraph" w:customStyle="1" w:styleId="154">
    <w:name w:val="CW3+"/>
    <w:basedOn w:val="1"/>
    <w:uiPriority w:val="0"/>
    <w:pPr>
      <w:pageBreakBefore w:val="0"/>
      <w:spacing w:before="800" w:beforeLines="800" w:after="400" w:afterLines="400" w:line="240" w:lineRule="auto"/>
      <w:ind w:firstLine="351" w:firstLineChars="0"/>
      <w:jc w:val="center"/>
    </w:pPr>
    <w:rPr>
      <w:rFonts w:ascii="Times New Roman" w:hAnsi="Times New Roman" w:eastAsia="Times New Roman" w:cs="Times New Roman"/>
      <w:b/>
      <w:sz w:val="26"/>
      <w:szCs w:val="28"/>
      <w:lang w:val="ru-RU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2025-03-03T19:38:00Z</dcterms:created>
  <dc:creator>Миша Ефимов</dc:creator>
  <cp:lastModifiedBy>Миша Ефимов</cp:lastModifiedBy>
  <dcterms:modified xsi:type="dcterms:W3CDTF">2025-03-03T20:38:51Z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3BD44BC09A1C409A83F2FDEFD08A47F8_11</vt:lpwstr>
  </property>
</Properties>
</file>