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OR16 + NS21 + P. freudenreichii</w:t>
        <w:br/>
        <w:t>三種共存系の価値：現状のまとめ</w:t>
      </w:r>
    </w:p>
    <w:p>
      <w:pPr>
        <w:jc w:val="center"/>
      </w:pPr>
      <w:r>
        <w:rPr>
          <w:i/>
          <w:color w:val="5B6573"/>
        </w:rPr>
        <w:t>計算機内(dFBA/GEM)研究のレビュー — 2026年9月11日時点</w:t>
      </w:r>
    </w:p>
    <w:p>
      <w:r>
        <w:rPr>
          <w:i/>
          <w:color w:val="5B6573"/>
          <w:sz w:val="19"/>
        </w:rPr>
        <w:t>本書は docs/ 配下の一次資料(PFREUDENREICHII_VALUE_AUDIT, PFREUDENREICHII_CAUSAL_AUDIT, AUDITED_SYMBIOSIS_INTERPRETATION, CULTIVATION_MODEL_AUDIT/REPAIR, PHYSIOLOGY_IMPLEMENTATION/LONG_VALIDATION, RESOLVED_DYNAMICS, EQUAL_BUDGET_COMPARISON, OXYGEN_SCHEDULE_THIRD_SPECIES, WCFS1_COEXISTENCE_OPTIMIZATION, THREE_PUMP_FEED_STRATEGY, RL_FEDBATCH_COCULTURE_MILESTONES, ONE_L_JAR_*, NS21_PHA_MODEL_CURATION)を基に作成した。数値・限界事項はすべて原文の記述に基づく。</w:t>
      </w:r>
    </w:p>
    <w:p>
      <w:pPr>
        <w:pStyle w:val="Heading1"/>
      </w:pPr>
      <w:r>
        <w:rPr>
          <w:color w:val="0B2545"/>
        </w:rPr>
        <w:t>1. 目的とスコープ</w:t>
      </w:r>
    </w:p>
    <w:p>
      <w:r>
        <w:t>天然ゴム分解・PHA変換を行う OR16 + NS21 の2種コンソーシアムに、プロピオン酸産生菌 P. freudenreichii (Pf) を第3の菌種として加えることにどのような価値があるかを、ゲノムスケール代謝モデル(GEM)と動的フラックスバランス解析(dFBA)による計算機内シミュレーションで検証してきた一連の研究を整理する。</w:t>
      </w:r>
    </w:p>
    <w:p>
      <w:r>
        <w:t>着想は、乳酸を系内でプロピオン酸へ変換できる Pf を加えることで、NS21のPHA合成に3-ヒドロキシ吉草酸(3HV)前駆体を供給し、PHA量や組成を改善できるのではないか、という代謝的な仮説である。</w:t>
      </w:r>
    </w:p>
    <w:p>
      <w:r>
        <w:rPr>
          <w:i/>
          <w:color w:val="5B6573"/>
          <w:sz w:val="19"/>
        </w:rPr>
        <w:t>重要な前提：ここで扱う結果はすべて湿式実験ではなく計算機内シミュレーションである。統計的検定は一切行われておらず、各条件は決定論的な1軌道の比較である。</w:t>
      </w:r>
    </w:p>
    <w:p>
      <w:pPr>
        <w:pStyle w:val="Heading1"/>
      </w:pPr>
      <w:r>
        <w:rPr>
          <w:color w:val="0B2545"/>
        </w:rPr>
        <w:t>2. 結論の要約</w:t>
      </w:r>
    </w:p>
    <w:p>
      <w:pPr>
        <w:pStyle w:val="ListBullet"/>
      </w:pPr>
      <w:r>
        <w:t>3種優位は条件依存である。中程度の酸素供給(kLa 4〜8 h⁻¹)や、曝気の時間配分が悪いパルス条件では3種が2種を上回る(最大 +25.4%)一方、酸素供給が非常に低い条件(kLa 2 h⁻¹)では大きく下回る(-51.6%)。</w:t>
      </w:r>
    </w:p>
    <w:p>
      <w:pPr>
        <w:pStyle w:val="ListBullet"/>
      </w:pPr>
      <w:r>
        <w:t>時間刻み(dt)を粗くすると3種優位が過大評価される。最初期の1時間刻み計算では+20.19%の増加が見えたが、45秒・22.5秒刻みまで細分化すると優位は縮小・反転し(-2.62%〜-5.55%)、頑健な優位ではないことが確認された。</w:t>
      </w:r>
    </w:p>
    <w:p>
      <w:pPr>
        <w:pStyle w:val="ListBullet"/>
      </w:pPr>
      <w:r>
        <w:t>3種の効果は「PHA生産の上限を押し上げる」ものではなく、「曝気の時間配分が悪い場合の落ち込みを緩和する」方向に働いている、というのが現時点で最も整合的な解釈である。</w:t>
      </w:r>
    </w:p>
    <w:p>
      <w:pPr>
        <w:pStyle w:val="ListBullet"/>
      </w:pPr>
      <w:r>
        <w:t>3-ヒドロキシ吉草酸(3HV)組成の上昇は3種特有の効果ではない。2種にプロピオン酸を直接与えても3HVは上昇するため、Pfの意味は「3HVを作れること」ではなく「乳酸からプロピオン酸を系内で供給できること」にある。</w:t>
      </w:r>
    </w:p>
    <w:p>
      <w:pPr>
        <w:pStyle w:val="ListBullet"/>
      </w:pPr>
      <w:r>
        <w:t>維持代謝、死滅率、PHA再利用、B12依存性、Pfの酸素表現型、kLaなど、結果を左右する主要パラメータは実測値による校正がまだ行われていない。現段階の数値はすべて「校正待ち」であり、実培養での性能予測として扱うことはできない。</w:t>
      </w:r>
    </w:p>
    <w:p>
      <w:pPr>
        <w:pStyle w:val="Heading1"/>
      </w:pPr>
      <w:r>
        <w:rPr>
          <w:color w:val="0B2545"/>
        </w:rPr>
        <w:t>3. 研究の変遷</w:t>
      </w:r>
    </w:p>
    <w:p>
      <w:r>
        <w:t>3種共存の価値評価は、単発の結論ではなく、時間刻みの粗さや実装上の不整合を段階的に洗い出しながら評価基準を厳しくしていく反復プロセスとして進められてきた。</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47"/>
            <w:shd w:val="clear" w:color="auto" w:fill="1F4D78"/>
          </w:tcPr>
          <w:p>
            <w:r>
              <w:rPr>
                <w:b/>
                <w:color w:val="FFFFFF"/>
              </w:rPr>
              <w:t>日付</w:t>
            </w:r>
          </w:p>
        </w:tc>
        <w:tc>
          <w:tcPr>
            <w:tcW w:type="dxa" w:w="2268"/>
            <w:shd w:val="clear" w:color="auto" w:fill="1F4D78"/>
          </w:tcPr>
          <w:p>
            <w:r>
              <w:rPr>
                <w:b/>
                <w:color w:val="FFFFFF"/>
              </w:rPr>
              <w:t>研究</w:t>
            </w:r>
          </w:p>
        </w:tc>
        <w:tc>
          <w:tcPr>
            <w:tcW w:type="dxa" w:w="3118"/>
            <w:shd w:val="clear" w:color="auto" w:fill="1F4D78"/>
          </w:tcPr>
          <w:p>
            <w:r>
              <w:rPr>
                <w:b/>
                <w:color w:val="FFFFFF"/>
              </w:rPr>
              <w:t>3種 vs 2種の結果</w:t>
            </w:r>
          </w:p>
        </w:tc>
        <w:tc>
          <w:tcPr>
            <w:tcW w:type="dxa" w:w="2268"/>
            <w:shd w:val="clear" w:color="auto" w:fill="1F4D78"/>
          </w:tcPr>
          <w:p>
            <w:r>
              <w:rPr>
                <w:b/>
                <w:color w:val="FFFFFF"/>
              </w:rPr>
              <w:t>位置づけ</w:t>
            </w:r>
          </w:p>
        </w:tc>
      </w:tr>
      <w:tr>
        <w:tc>
          <w:tcPr>
            <w:tcW w:type="dxa" w:w="1247"/>
          </w:tcPr>
          <w:p>
            <w:r>
              <w:t>2026-09-08</w:t>
            </w:r>
          </w:p>
        </w:tc>
        <w:tc>
          <w:tcPr>
            <w:tcW w:type="dxa" w:w="2268"/>
          </w:tcPr>
          <w:p>
            <w:r>
              <w:t>P. freudenreichii 追加価値 再評価</w:t>
              <w:br/>
              <w:t>(VALUE_AUDIT)</w:t>
            </w:r>
          </w:p>
        </w:tc>
        <w:tc>
          <w:tcPr>
            <w:tcW w:type="dxa" w:w="3118"/>
          </w:tcPr>
          <w:p>
            <w:r>
              <w:t>1時間刻みで約+20%。0.2/0.1時間刻みで逆転</w:t>
            </w:r>
          </w:p>
        </w:tc>
        <w:tc>
          <w:tcPr>
            <w:tcW w:type="dxa" w:w="2268"/>
          </w:tcPr>
          <w:p>
            <w:r>
              <w:t>最初の楽観的シグナル、dt依存を発見</w:t>
            </w:r>
          </w:p>
        </w:tc>
      </w:tr>
      <w:tr>
        <w:tc>
          <w:tcPr>
            <w:tcW w:type="dxa" w:w="1247"/>
          </w:tcPr>
          <w:p>
            <w:r>
              <w:t>2026-09-08</w:t>
            </w:r>
          </w:p>
        </w:tc>
        <w:tc>
          <w:tcPr>
            <w:tcW w:type="dxa" w:w="2268"/>
          </w:tcPr>
          <w:p>
            <w:r>
              <w:t>1時間刻み陽性の因果診断</w:t>
              <w:br/>
              <w:t>(CAUSAL_AUDIT)</w:t>
            </w:r>
          </w:p>
        </w:tc>
        <w:tc>
          <w:tcPr>
            <w:tcW w:type="dxa" w:w="3118"/>
          </w:tcPr>
          <w:p>
            <w:r>
              <w:t>+20.19%の90.4%はNH4閾値スケジュール要因。</w:t>
              <w:br/>
              <w:t>22.5秒刻みで-2.62%〜-5.55%</w:t>
            </w:r>
          </w:p>
        </w:tc>
        <w:tc>
          <w:tcPr>
            <w:tcW w:type="dxa" w:w="2268"/>
          </w:tcPr>
          <w:p>
            <w:r>
              <w:t>「陽性」の原因を分解、頑健性を否定</w:t>
            </w:r>
          </w:p>
        </w:tc>
      </w:tr>
      <w:tr>
        <w:tc>
          <w:tcPr>
            <w:tcW w:type="dxa" w:w="1247"/>
          </w:tcPr>
          <w:p>
            <w:r>
              <w:t>2026-09-08</w:t>
            </w:r>
          </w:p>
        </w:tc>
        <w:tc>
          <w:tcPr>
            <w:tcW w:type="dxa" w:w="2268"/>
          </w:tcPr>
          <w:p>
            <w:r>
              <w:t>培養モデル監査/修復</w:t>
              <w:br/>
              <w:t>(MODEL_AUDIT/REPAIR)</w:t>
            </w:r>
          </w:p>
        </w:tc>
        <w:tc>
          <w:tcPr>
            <w:tcW w:type="dxa" w:w="3118"/>
          </w:tcPr>
          <w:p>
            <w:r>
              <w:t>41項目の実装修正後、基準細刻みで-2.600%、</w:t>
              <w:br/>
              <w:t>低kLa最細刻みで+3.712%。5%超基準は非該当</w:t>
            </w:r>
          </w:p>
        </w:tc>
        <w:tc>
          <w:tcPr>
            <w:tcW w:type="dxa" w:w="2268"/>
          </w:tcPr>
          <w:p>
            <w:r>
              <w:t>実装の不整合(PHA上限処理・酸素配分等)を是正</w:t>
            </w:r>
          </w:p>
        </w:tc>
      </w:tr>
      <w:tr>
        <w:tc>
          <w:tcPr>
            <w:tcW w:type="dxa" w:w="1247"/>
          </w:tcPr>
          <w:p>
            <w:r>
              <w:t>2026-09-08</w:t>
            </w:r>
          </w:p>
        </w:tc>
        <w:tc>
          <w:tcPr>
            <w:tcW w:type="dxa" w:w="2268"/>
          </w:tcPr>
          <w:p>
            <w:r>
              <w:t>生理モデル実装/長期検証</w:t>
              <w:br/>
              <w:t>(PHYSIOLOGY_IMPLEMENTATION/</w:t>
              <w:br/>
              <w:t>LONG_VALIDATION)</w:t>
            </w:r>
          </w:p>
        </w:tc>
        <w:tc>
          <w:tcPr>
            <w:tcW w:type="dxa" w:w="3118"/>
          </w:tcPr>
          <w:p>
            <w:r>
              <w:t>dt収束は良好(終点PHA差0.2%前後)。</w:t>
              <w:br/>
              <w:t>3HV最大差0.09485ポイント(基準0.1に近接)</w:t>
            </w:r>
          </w:p>
        </w:tc>
        <w:tc>
          <w:tcPr>
            <w:tcW w:type="dxa" w:w="2268"/>
          </w:tcPr>
          <w:p>
            <w:r>
              <w:t>維持代謝・死滅・元素会計を実装、収束確認</w:t>
            </w:r>
          </w:p>
        </w:tc>
      </w:tr>
      <w:tr>
        <w:tc>
          <w:tcPr>
            <w:tcW w:type="dxa" w:w="1247"/>
          </w:tcPr>
          <w:p>
            <w:r>
              <w:t>2026-09-08</w:t>
            </w:r>
          </w:p>
        </w:tc>
        <w:tc>
          <w:tcPr>
            <w:tcW w:type="dxa" w:w="2268"/>
          </w:tcPr>
          <w:p>
            <w:r>
              <w:t>同一資源予算での供給探索</w:t>
              <w:br/>
              <w:t>(EQUAL_BUDGET_COMPARISON)</w:t>
            </w:r>
          </w:p>
        </w:tc>
        <w:tc>
          <w:tcPr>
            <w:tcW w:type="dxa" w:w="3118"/>
          </w:tcPr>
          <w:p>
            <w:r>
              <w:t>5%超増産・ゴム除去低下5%以内を工学的候補とする</w:t>
              <w:br/>
              <w:t>設計を固定(結果は次段で実行)</w:t>
            </w:r>
          </w:p>
        </w:tc>
        <w:tc>
          <w:tcPr>
            <w:tcW w:type="dxa" w:w="2268"/>
          </w:tcPr>
          <w:p>
            <w:r>
              <w:t>評価基準・候補設計の事前登録</w:t>
            </w:r>
          </w:p>
        </w:tc>
      </w:tr>
      <w:tr>
        <w:tc>
          <w:tcPr>
            <w:tcW w:type="dxa" w:w="1247"/>
          </w:tcPr>
          <w:p>
            <w:r>
              <w:t>2026-09-10</w:t>
            </w:r>
          </w:p>
        </w:tc>
        <w:tc>
          <w:tcPr>
            <w:tcW w:type="dxa" w:w="2268"/>
          </w:tcPr>
          <w:p>
            <w:r>
              <w:t>酸素スケジュールと第3菌種の価値</w:t>
              <w:br/>
              <w:t>(OXYGEN_SCHEDULE_THIRD_SPECIES)</w:t>
            </w:r>
          </w:p>
        </w:tc>
        <w:tc>
          <w:tcPr>
            <w:tcW w:type="dxa" w:w="3118"/>
          </w:tcPr>
          <w:p>
            <w:r>
              <w:t>kLa4/6/8一定、パルス条件で+1.8%〜+25.4%。</w:t>
              <w:br/>
              <w:t>kLa2一定で-51.6%、kLa50一定で-1.7%</w:t>
            </w:r>
          </w:p>
        </w:tc>
        <w:tc>
          <w:tcPr>
            <w:tcW w:type="dxa" w:w="2268"/>
          </w:tcPr>
          <w:p>
            <w:r>
              <w:t>現時点で最も整理された比較。dt収束済み</w:t>
            </w:r>
          </w:p>
        </w:tc>
      </w:tr>
    </w:tbl>
    <w:p>
      <w:r>
        <w:rPr>
          <w:i/>
          <w:color w:val="5B6573"/>
          <w:sz w:val="19"/>
        </w:rPr>
        <w:t>「陽性」の判定基準(同一総接種量の2種に対しPHAが5%超増加、ゴム除去の低下が5%以内)はAUDITED_SYMBIOSIS_INTERPRETATION_20260908.md で定義された探索用の基準であり、測定誤差から導いた統計的有意水準ではない。</w:t>
      </w:r>
    </w:p>
    <w:p>
      <w:pPr>
        <w:pStyle w:val="Heading1"/>
      </w:pPr>
      <w:r>
        <w:rPr>
          <w:color w:val="0B2545"/>
        </w:rPr>
        <w:t>4. 酸素条件ごとの3種−2種比較(最新・dt収束済み)</w:t>
      </w:r>
    </w:p>
    <w:p>
      <w:r>
        <w:t>OXYGEN_SCHEDULE_THIRD_SPECIES_20260910.md より、時間刻み収束を確認した条件のみを示す(3HV差が未収束の kLa 2一定・kLa 10一定は組成差を割愛)。</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814"/>
            <w:shd w:val="clear" w:color="auto" w:fill="1F4D78"/>
          </w:tcPr>
          <w:p>
            <w:r>
              <w:rPr>
                <w:b/>
                <w:color w:val="FFFFFF"/>
              </w:rPr>
              <w:t>酸素条件</w:t>
            </w:r>
          </w:p>
        </w:tc>
        <w:tc>
          <w:tcPr>
            <w:tcW w:type="dxa" w:w="1247"/>
            <w:shd w:val="clear" w:color="auto" w:fill="1F4D78"/>
          </w:tcPr>
          <w:p>
            <w:r>
              <w:rPr>
                <w:b/>
                <w:color w:val="FFFFFF"/>
              </w:rPr>
              <w:t>kLa積分(h)</w:t>
            </w:r>
          </w:p>
        </w:tc>
        <w:tc>
          <w:tcPr>
            <w:tcW w:type="dxa" w:w="1474"/>
            <w:shd w:val="clear" w:color="auto" w:fill="1F4D78"/>
          </w:tcPr>
          <w:p>
            <w:r>
              <w:rPr>
                <w:b/>
                <w:color w:val="FFFFFF"/>
              </w:rPr>
              <w:t>2種PHA(g/L)</w:t>
            </w:r>
          </w:p>
        </w:tc>
        <w:tc>
          <w:tcPr>
            <w:tcW w:type="dxa" w:w="1474"/>
            <w:shd w:val="clear" w:color="auto" w:fill="1F4D78"/>
          </w:tcPr>
          <w:p>
            <w:r>
              <w:rPr>
                <w:b/>
                <w:color w:val="FFFFFF"/>
              </w:rPr>
              <w:t>3種PHA(g/L)</w:t>
            </w:r>
          </w:p>
        </w:tc>
        <w:tc>
          <w:tcPr>
            <w:tcW w:type="dxa" w:w="1247"/>
            <w:shd w:val="clear" w:color="auto" w:fill="1F4D78"/>
          </w:tcPr>
          <w:p>
            <w:r>
              <w:rPr>
                <w:b/>
                <w:color w:val="FFFFFF"/>
              </w:rPr>
              <w:t>PHA差(%)</w:t>
            </w:r>
          </w:p>
        </w:tc>
        <w:tc>
          <w:tcPr>
            <w:tcW w:type="dxa" w:w="1474"/>
            <w:shd w:val="clear" w:color="auto" w:fill="1F4D78"/>
          </w:tcPr>
          <w:p>
            <w:r>
              <w:rPr>
                <w:b/>
                <w:color w:val="FFFFFF"/>
              </w:rPr>
              <w:t>ゴム除去差(%)</w:t>
            </w:r>
          </w:p>
        </w:tc>
      </w:tr>
      <w:tr>
        <w:tc>
          <w:tcPr>
            <w:tcW w:type="dxa" w:w="1814"/>
          </w:tcPr>
          <w:p>
            <w:r>
              <w:t>kLa 2 一定</w:t>
            </w:r>
          </w:p>
        </w:tc>
        <w:tc>
          <w:tcPr>
            <w:tcW w:type="dxa" w:w="1247"/>
          </w:tcPr>
          <w:p>
            <w:r>
              <w:t>48</w:t>
            </w:r>
          </w:p>
        </w:tc>
        <w:tc>
          <w:tcPr>
            <w:tcW w:type="dxa" w:w="1474"/>
          </w:tcPr>
          <w:p>
            <w:r>
              <w:t>0.048818</w:t>
            </w:r>
          </w:p>
        </w:tc>
        <w:tc>
          <w:tcPr>
            <w:tcW w:type="dxa" w:w="1474"/>
          </w:tcPr>
          <w:p>
            <w:r>
              <w:t>0.023622</w:t>
            </w:r>
          </w:p>
        </w:tc>
        <w:tc>
          <w:tcPr>
            <w:tcW w:type="dxa" w:w="1247"/>
          </w:tcPr>
          <w:p>
            <w:r>
              <w:t>-51.612</w:t>
            </w:r>
          </w:p>
        </w:tc>
        <w:tc>
          <w:tcPr>
            <w:tcW w:type="dxa" w:w="1474"/>
          </w:tcPr>
          <w:p>
            <w:r>
              <w:t>-0.260</w:t>
            </w:r>
          </w:p>
        </w:tc>
      </w:tr>
      <w:tr>
        <w:tc>
          <w:tcPr>
            <w:tcW w:type="dxa" w:w="1814"/>
          </w:tcPr>
          <w:p>
            <w:r>
              <w:t>kLa 4 一定</w:t>
            </w:r>
          </w:p>
        </w:tc>
        <w:tc>
          <w:tcPr>
            <w:tcW w:type="dxa" w:w="1247"/>
          </w:tcPr>
          <w:p>
            <w:r>
              <w:t>96</w:t>
            </w:r>
          </w:p>
        </w:tc>
        <w:tc>
          <w:tcPr>
            <w:tcW w:type="dxa" w:w="1474"/>
          </w:tcPr>
          <w:p>
            <w:r>
              <w:t>0.188870</w:t>
            </w:r>
          </w:p>
        </w:tc>
        <w:tc>
          <w:tcPr>
            <w:tcW w:type="dxa" w:w="1474"/>
          </w:tcPr>
          <w:p>
            <w:r>
              <w:t>0.196861</w:t>
            </w:r>
          </w:p>
        </w:tc>
        <w:tc>
          <w:tcPr>
            <w:tcW w:type="dxa" w:w="1247"/>
          </w:tcPr>
          <w:p>
            <w:r>
              <w:t>+4.231</w:t>
            </w:r>
          </w:p>
        </w:tc>
        <w:tc>
          <w:tcPr>
            <w:tcW w:type="dxa" w:w="1474"/>
          </w:tcPr>
          <w:p>
            <w:r>
              <w:t>+3.504</w:t>
            </w:r>
          </w:p>
        </w:tc>
      </w:tr>
      <w:tr>
        <w:tc>
          <w:tcPr>
            <w:tcW w:type="dxa" w:w="1814"/>
          </w:tcPr>
          <w:p>
            <w:r>
              <w:t>kLa 6 一定</w:t>
            </w:r>
          </w:p>
        </w:tc>
        <w:tc>
          <w:tcPr>
            <w:tcW w:type="dxa" w:w="1247"/>
          </w:tcPr>
          <w:p>
            <w:r>
              <w:t>144</w:t>
            </w:r>
          </w:p>
        </w:tc>
        <w:tc>
          <w:tcPr>
            <w:tcW w:type="dxa" w:w="1474"/>
          </w:tcPr>
          <w:p>
            <w:r>
              <w:t>0.429802</w:t>
            </w:r>
          </w:p>
        </w:tc>
        <w:tc>
          <w:tcPr>
            <w:tcW w:type="dxa" w:w="1474"/>
          </w:tcPr>
          <w:p>
            <w:r>
              <w:t>0.444764</w:t>
            </w:r>
          </w:p>
        </w:tc>
        <w:tc>
          <w:tcPr>
            <w:tcW w:type="dxa" w:w="1247"/>
          </w:tcPr>
          <w:p>
            <w:r>
              <w:t>+3.481</w:t>
            </w:r>
          </w:p>
        </w:tc>
        <w:tc>
          <w:tcPr>
            <w:tcW w:type="dxa" w:w="1474"/>
          </w:tcPr>
          <w:p>
            <w:r>
              <w:t>+0.718</w:t>
            </w:r>
          </w:p>
        </w:tc>
      </w:tr>
      <w:tr>
        <w:tc>
          <w:tcPr>
            <w:tcW w:type="dxa" w:w="1814"/>
          </w:tcPr>
          <w:p>
            <w:r>
              <w:t>kLa 8 一定</w:t>
            </w:r>
          </w:p>
        </w:tc>
        <w:tc>
          <w:tcPr>
            <w:tcW w:type="dxa" w:w="1247"/>
          </w:tcPr>
          <w:p>
            <w:r>
              <w:t>192</w:t>
            </w:r>
          </w:p>
        </w:tc>
        <w:tc>
          <w:tcPr>
            <w:tcW w:type="dxa" w:w="1474"/>
          </w:tcPr>
          <w:p>
            <w:r>
              <w:t>0.594276</w:t>
            </w:r>
          </w:p>
        </w:tc>
        <w:tc>
          <w:tcPr>
            <w:tcW w:type="dxa" w:w="1474"/>
          </w:tcPr>
          <w:p>
            <w:r>
              <w:t>0.612011</w:t>
            </w:r>
          </w:p>
        </w:tc>
        <w:tc>
          <w:tcPr>
            <w:tcW w:type="dxa" w:w="1247"/>
          </w:tcPr>
          <w:p>
            <w:r>
              <w:t>+2.984</w:t>
            </w:r>
          </w:p>
        </w:tc>
        <w:tc>
          <w:tcPr>
            <w:tcW w:type="dxa" w:w="1474"/>
          </w:tcPr>
          <w:p>
            <w:r>
              <w:t>-0.876</w:t>
            </w:r>
          </w:p>
        </w:tc>
      </w:tr>
      <w:tr>
        <w:tc>
          <w:tcPr>
            <w:tcW w:type="dxa" w:w="1814"/>
          </w:tcPr>
          <w:p>
            <w:r>
              <w:t>kLa 10 一定</w:t>
            </w:r>
          </w:p>
        </w:tc>
        <w:tc>
          <w:tcPr>
            <w:tcW w:type="dxa" w:w="1247"/>
          </w:tcPr>
          <w:p>
            <w:r>
              <w:t>240</w:t>
            </w:r>
          </w:p>
        </w:tc>
        <w:tc>
          <w:tcPr>
            <w:tcW w:type="dxa" w:w="1474"/>
          </w:tcPr>
          <w:p>
            <w:r>
              <w:t>0.691782</w:t>
            </w:r>
          </w:p>
        </w:tc>
        <w:tc>
          <w:tcPr>
            <w:tcW w:type="dxa" w:w="1474"/>
          </w:tcPr>
          <w:p>
            <w:r>
              <w:t>0.697130</w:t>
            </w:r>
          </w:p>
        </w:tc>
        <w:tc>
          <w:tcPr>
            <w:tcW w:type="dxa" w:w="1247"/>
          </w:tcPr>
          <w:p>
            <w:r>
              <w:t>+0.773</w:t>
            </w:r>
          </w:p>
        </w:tc>
        <w:tc>
          <w:tcPr>
            <w:tcW w:type="dxa" w:w="1474"/>
          </w:tcPr>
          <w:p>
            <w:r>
              <w:t>-2.139</w:t>
            </w:r>
          </w:p>
        </w:tc>
      </w:tr>
      <w:tr>
        <w:tc>
          <w:tcPr>
            <w:tcW w:type="dxa" w:w="1814"/>
          </w:tcPr>
          <w:p>
            <w:r>
              <w:t>kLa 50 一定</w:t>
            </w:r>
          </w:p>
        </w:tc>
        <w:tc>
          <w:tcPr>
            <w:tcW w:type="dxa" w:w="1247"/>
          </w:tcPr>
          <w:p>
            <w:r>
              <w:t>1200</w:t>
            </w:r>
          </w:p>
        </w:tc>
        <w:tc>
          <w:tcPr>
            <w:tcW w:type="dxa" w:w="1474"/>
          </w:tcPr>
          <w:p>
            <w:r>
              <w:t>0.750835</w:t>
            </w:r>
          </w:p>
        </w:tc>
        <w:tc>
          <w:tcPr>
            <w:tcW w:type="dxa" w:w="1474"/>
          </w:tcPr>
          <w:p>
            <w:r>
              <w:t>0.738437</w:t>
            </w:r>
          </w:p>
        </w:tc>
        <w:tc>
          <w:tcPr>
            <w:tcW w:type="dxa" w:w="1247"/>
          </w:tcPr>
          <w:p>
            <w:r>
              <w:t>-1.651</w:t>
            </w:r>
          </w:p>
        </w:tc>
        <w:tc>
          <w:tcPr>
            <w:tcW w:type="dxa" w:w="1474"/>
          </w:tcPr>
          <w:p>
            <w:r>
              <w:t>-3.902</w:t>
            </w:r>
          </w:p>
        </w:tc>
      </w:tr>
      <w:tr>
        <w:tc>
          <w:tcPr>
            <w:tcW w:type="dxa" w:w="1814"/>
          </w:tcPr>
          <w:p>
            <w:r>
              <w:t>2→10 半日パルス</w:t>
            </w:r>
          </w:p>
        </w:tc>
        <w:tc>
          <w:tcPr>
            <w:tcW w:type="dxa" w:w="1247"/>
          </w:tcPr>
          <w:p>
            <w:r>
              <w:t>144</w:t>
            </w:r>
          </w:p>
        </w:tc>
        <w:tc>
          <w:tcPr>
            <w:tcW w:type="dxa" w:w="1474"/>
          </w:tcPr>
          <w:p>
            <w:r>
              <w:t>0.394558</w:t>
            </w:r>
          </w:p>
        </w:tc>
        <w:tc>
          <w:tcPr>
            <w:tcW w:type="dxa" w:w="1474"/>
          </w:tcPr>
          <w:p>
            <w:r>
              <w:t>0.401599</w:t>
            </w:r>
          </w:p>
        </w:tc>
        <w:tc>
          <w:tcPr>
            <w:tcW w:type="dxa" w:w="1247"/>
          </w:tcPr>
          <w:p>
            <w:r>
              <w:t>+1.784</w:t>
            </w:r>
          </w:p>
        </w:tc>
        <w:tc>
          <w:tcPr>
            <w:tcW w:type="dxa" w:w="1474"/>
          </w:tcPr>
          <w:p>
            <w:r>
              <w:t>+3.160</w:t>
            </w:r>
          </w:p>
        </w:tc>
      </w:tr>
      <w:tr>
        <w:tc>
          <w:tcPr>
            <w:tcW w:type="dxa" w:w="1814"/>
          </w:tcPr>
          <w:p>
            <w:r>
              <w:t>10→2 半日パルス</w:t>
            </w:r>
          </w:p>
        </w:tc>
        <w:tc>
          <w:tcPr>
            <w:tcW w:type="dxa" w:w="1247"/>
          </w:tcPr>
          <w:p>
            <w:r>
              <w:t>144</w:t>
            </w:r>
          </w:p>
        </w:tc>
        <w:tc>
          <w:tcPr>
            <w:tcW w:type="dxa" w:w="1474"/>
          </w:tcPr>
          <w:p>
            <w:r>
              <w:t>0.387878</w:t>
            </w:r>
          </w:p>
        </w:tc>
        <w:tc>
          <w:tcPr>
            <w:tcW w:type="dxa" w:w="1474"/>
          </w:tcPr>
          <w:p>
            <w:r>
              <w:t>0.409681</w:t>
            </w:r>
          </w:p>
        </w:tc>
        <w:tc>
          <w:tcPr>
            <w:tcW w:type="dxa" w:w="1247"/>
          </w:tcPr>
          <w:p>
            <w:r>
              <w:t>+5.621</w:t>
            </w:r>
          </w:p>
        </w:tc>
        <w:tc>
          <w:tcPr>
            <w:tcW w:type="dxa" w:w="1474"/>
          </w:tcPr>
          <w:p>
            <w:r>
              <w:t>+1.665</w:t>
            </w:r>
          </w:p>
        </w:tc>
      </w:tr>
      <w:tr>
        <w:tc>
          <w:tcPr>
            <w:tcW w:type="dxa" w:w="1814"/>
          </w:tcPr>
          <w:p>
            <w:r>
              <w:t>2/10 6時間4分割</w:t>
            </w:r>
          </w:p>
        </w:tc>
        <w:tc>
          <w:tcPr>
            <w:tcW w:type="dxa" w:w="1247"/>
          </w:tcPr>
          <w:p>
            <w:r>
              <w:t>144</w:t>
            </w:r>
          </w:p>
        </w:tc>
        <w:tc>
          <w:tcPr>
            <w:tcW w:type="dxa" w:w="1474"/>
          </w:tcPr>
          <w:p>
            <w:r>
              <w:t>0.346469</w:t>
            </w:r>
          </w:p>
        </w:tc>
        <w:tc>
          <w:tcPr>
            <w:tcW w:type="dxa" w:w="1474"/>
          </w:tcPr>
          <w:p>
            <w:r>
              <w:t>0.434311</w:t>
            </w:r>
          </w:p>
        </w:tc>
        <w:tc>
          <w:tcPr>
            <w:tcW w:type="dxa" w:w="1247"/>
          </w:tcPr>
          <w:p>
            <w:r>
              <w:t>+25.354</w:t>
            </w:r>
          </w:p>
        </w:tc>
        <w:tc>
          <w:tcPr>
            <w:tcW w:type="dxa" w:w="1474"/>
          </w:tcPr>
          <w:p>
            <w:r>
              <w:t>+20.493</w:t>
            </w:r>
          </w:p>
        </w:tc>
      </w:tr>
      <w:tr>
        <w:tc>
          <w:tcPr>
            <w:tcW w:type="dxa" w:w="1814"/>
          </w:tcPr>
          <w:p>
            <w:r>
              <w:t>10/2 6時間4分割</w:t>
            </w:r>
          </w:p>
        </w:tc>
        <w:tc>
          <w:tcPr>
            <w:tcW w:type="dxa" w:w="1247"/>
          </w:tcPr>
          <w:p>
            <w:r>
              <w:t>144</w:t>
            </w:r>
          </w:p>
        </w:tc>
        <w:tc>
          <w:tcPr>
            <w:tcW w:type="dxa" w:w="1474"/>
          </w:tcPr>
          <w:p>
            <w:r>
              <w:t>0.364902</w:t>
            </w:r>
          </w:p>
        </w:tc>
        <w:tc>
          <w:tcPr>
            <w:tcW w:type="dxa" w:w="1474"/>
          </w:tcPr>
          <w:p>
            <w:r>
              <w:t>0.385758</w:t>
            </w:r>
          </w:p>
        </w:tc>
        <w:tc>
          <w:tcPr>
            <w:tcW w:type="dxa" w:w="1247"/>
          </w:tcPr>
          <w:p>
            <w:r>
              <w:t>+5.716</w:t>
            </w:r>
          </w:p>
        </w:tc>
        <w:tc>
          <w:tcPr>
            <w:tcW w:type="dxa" w:w="1474"/>
          </w:tcPr>
          <w:p>
            <w:r>
              <w:t>+1.894</w:t>
            </w:r>
          </w:p>
        </w:tc>
      </w:tr>
    </w:tbl>
    <w:p/>
    <w:p>
      <w:r>
        <w:t>同じ曝気予算(kLa積分144 h)にそろえた5候補で見ると、2種のPHAは0.346〜0.430 g/L(幅24.1%)、3種は0.386〜0.445 g/L(幅15.3%)に分布する。3種−2種の差が最大になる「2/10 6時間4分割」は、同時に2種のPHAが最も低くなる条件でもある。つまりこの候補集合の範囲では、3種は生産量の上限を押し上げるというより、曝気の時間配分が悪い場合の落ち込みを緩和する方向に働いている。絶対量が最大になるのは「kLa 6 一定」の3種(0.444764 g/L)であり、どのパルス条件も一定kLaを上回っていない。</w:t>
      </w:r>
    </w:p>
    <w:p>
      <w:pPr>
        <w:pStyle w:val="Heading1"/>
      </w:pPr>
      <w:r>
        <w:rPr>
          <w:color w:val="0B2545"/>
        </w:rPr>
        <w:t>5. なぜ条件依存になるのか：現時点の解釈</w:t>
      </w:r>
    </w:p>
    <w:p>
      <w:pPr>
        <w:pStyle w:val="ListBullet"/>
      </w:pPr>
      <w:r>
        <w:t>Pfは乳酸をプロピオン酸へ変換し、系内でNS21に3HV前駆体を供給できる代謝経路を持つ。この経路自体は計算上確認されている。</w:t>
      </w:r>
    </w:p>
    <w:p>
      <w:pPr>
        <w:pStyle w:val="ListBullet"/>
      </w:pPr>
      <w:r>
        <w:t>しかし3種を加えることは同時に、酸素・窒素・培地成分を3菌で分配することでもある。酸素供給が乏しい条件(kLa 2)では、この分配コストがプロピオン酸供給の利益を上回り、3種が大きく不利になる。</w:t>
      </w:r>
    </w:p>
    <w:p>
      <w:pPr>
        <w:pStyle w:val="ListBullet"/>
      </w:pPr>
      <w:r>
        <w:t>酸素供給が十分すぎる条件(kLa 50)でも3種の優位は消える。優位が見られるのは中間的な酸素供給域、特に供給の時間配分が非効率な場合に限られる。</w:t>
      </w:r>
    </w:p>
    <w:p>
      <w:pPr>
        <w:pStyle w:val="ListBullet"/>
      </w:pPr>
      <w:r>
        <w:t>3HV組成の上昇はPfの専売特許ではない。2種にプロピオン酸を直接投与しても3HVは上昇するため、Pfの本質的な価値は「3HVを作れること」ではなく「乳酸からプロピオン酸を系内合成できること」に求めるべきである。</w:t>
      </w:r>
    </w:p>
    <w:p>
      <w:pPr>
        <w:pStyle w:val="Heading1"/>
      </w:pPr>
      <w:r>
        <w:rPr>
          <w:color w:val="0B2545"/>
        </w:rPr>
        <w:t>6. 横断的な注意点</w:t>
      </w:r>
    </w:p>
    <w:p>
      <w:pPr>
        <w:pStyle w:val="Heading2"/>
      </w:pPr>
      <w:r>
        <w:rPr>
          <w:color w:val="1F4D78"/>
        </w:rPr>
        <w:t>6.1 時間刻み依存性</w:t>
      </w:r>
    </w:p>
    <w:p>
      <w:r>
        <w:t>3種優位の大きさは時間刻みに強く依存する。1時間刻みでの+20.19%は、細分化するにつれて縮小・反転し(45秒刻みで3種0.482322 g/L対2種0.496733 g/L、22.5秒刻みで3種が-2.62%〜-5.55%劣位)、その後の実装修正を経た比較でも「基準細刻みで-2.600%、低kLa最細刻みで+3.712%」と、5%超の探索基準を安定して満たす条件は当初確認されなかった。2026-09-10の酸素スケジュール研究で、dt収束を確認したうえで初めて+25.4%までの明確な優位条件が複数見つかっている。</w:t>
      </w:r>
    </w:p>
    <w:p>
      <w:pPr>
        <w:pStyle w:val="Heading2"/>
      </w:pPr>
      <w:r>
        <w:rPr>
          <w:color w:val="1F4D78"/>
        </w:rPr>
        <w:t>6.2 未校正パラメータ</w:t>
      </w:r>
    </w:p>
    <w:p>
      <w:r>
        <w:t>維持代謝要求、飢餓死滅率、PHA再利用、B12依存性、kLa、酸素飽和濃度、Pfの酸素表現型、ゴム分解酵素の発現動態など、結果を左右する多数のパラメータが実測値による校正を受けていない。これらはすべて「校正待ち」であり、現在の結論はこの校正が完了するまで保留扱いとするのが適切である。</w:t>
      </w:r>
    </w:p>
    <w:p>
      <w:pPr>
        <w:pStyle w:val="Heading2"/>
      </w:pPr>
      <w:r>
        <w:rPr>
          <w:color w:val="1F4D78"/>
        </w:rPr>
        <w:t>6.3 背景培地とB12の扱い</w:t>
      </w:r>
    </w:p>
    <w:p>
      <w:r>
        <w:t>初期培地からグルコースと酵母エキスを除いても、アミノ酸・核酸関連物質・ビタミン等が残存し、無視できない炭素・窒素源となる(背景有機炭素 約8.89 mmol-C/L、既知全窒素約3.06 mmol-N/L)。したがって「外部乳酸0」は「ゴムのみが炭素源」を意味しない。また、Pf由来B12をOR16/NS21が受け取る明示的な経路はモデルに実装されていないため、現行モデルからB12媒介の共生効果を主張することはできない。</w:t>
      </w:r>
    </w:p>
    <w:p>
      <w:pPr>
        <w:pStyle w:val="Heading2"/>
      </w:pPr>
      <w:r>
        <w:rPr>
          <w:color w:val="1F4D78"/>
        </w:rPr>
        <w:t>6.4 周辺モデル・インフラの状況</w:t>
      </w:r>
    </w:p>
    <w:p>
      <w:pPr>
        <w:pStyle w:val="ListBullet"/>
      </w:pPr>
      <w:r>
        <w:t>L. plantarum(WCFS1)GEMを2022年版に更新・修復。定義10成分+協調LPにより、完全16成分×4条件に比べ供給質量78.0%減・成分数37.5%減で三種の終点/初期比を約1.121へ揃えることに成功。ただし旧iNF517/iBT721で学習したGPUサロゲートとは非互換であり、新モデルでの再学習が必要。</w:t>
      </w:r>
    </w:p>
    <w:p>
      <w:pPr>
        <w:pStyle w:val="ListBullet"/>
      </w:pPr>
      <w:r>
        <w:t>4ポンプ・pH制御付き1Lジャーファーメンターの制御設計とスモークテストを実施(17/17実行で局所判定合格)。ただしfeedは濃度加算のみで液量変化・希釈を扱わず、kLaも未校正であるため、現状はソフトウェア経路の疎通確認にとどまる。</w:t>
      </w:r>
    </w:p>
    <w:p>
      <w:pPr>
        <w:pStyle w:val="ListBullet"/>
      </w:pPr>
      <w:r>
        <w:t>強化学習による三種共培養・流加制御のマイルストーンを設計中。低流加・最大酸素移動の固定ルールを強い対照とし、RLがこれを下回る場合は「RLの利点」を主張しない方針が明記されている。</w:t>
      </w:r>
    </w:p>
    <w:p>
      <w:pPr>
        <w:pStyle w:val="Heading1"/>
      </w:pPr>
      <w:r>
        <w:rPr>
          <w:color w:val="0B2545"/>
        </w:rPr>
        <w:t>7. 科学的な面白さ・新規性の評価</w:t>
      </w:r>
    </w:p>
    <w:p>
      <w:r>
        <w:rPr>
          <w:i/>
          <w:color w:val="5B6573"/>
          <w:sz w:val="19"/>
        </w:rPr>
        <w:t>本章は、DeepSeek V4 Flash(OpenRouter経由)にドキュメント・生データ・シミュレータのソースコード(src/audited_dfba.py, physiology_dfba.py, cultivation_numerics.py, resolved_dfba.py, b12_evidence.py 等)を精査させ、得られた指摘のうちClaudeが原文・コードと突き合わせて検証できたものだけを採用して構成している。具体的な行番号の引用は、モデルが不正確な番号を挙げる傾向が確認されたため用いず、関数名・変数名で参照する。</w:t>
      </w:r>
    </w:p>
    <w:p>
      <w:pPr>
        <w:pStyle w:val="Heading2"/>
      </w:pPr>
      <w:r>
        <w:rPr>
          <w:color w:val="1F4D78"/>
        </w:rPr>
        <w:t>7.1 面白いと言える理由</w:t>
      </w:r>
    </w:p>
    <w:p>
      <w:pPr>
        <w:pStyle w:val="ListBullet"/>
      </w:pPr>
      <w:r>
        <w:t>酸素供給に対する非単調な共生価値: 3種優位はkLa中間域(4〜8 h⁻¹)や曝気配分の悪いパルス条件で最大+25.4%に達する一方、酸素が極端に少ない条件(kLa 2)では-51.6%まで逆転する。同じ曝気予算(kLa積分144 h)でも時間配分だけで結果が変わる点は、微生物生態学の資源比理論・ストレス勾配仮説(競争と協力が資源条件に応じて転換するという考え方)と関連しうる現象である。</w:t>
      </w:r>
    </w:p>
    <w:p>
      <w:pPr>
        <w:pStyle w:val="ListBullet"/>
      </w:pPr>
      <w:r>
        <w:t>Pfの役割の明確な切り分け: 「PHA生産の上限を押し上げる」のではなく「曝気配分が悪い場合の落ち込みを緩和する」というロバスト性向上効果としての位置づけは、コンソーシアム設計における共生パートナーの価値の測り方として一般性のある視点。</w:t>
      </w:r>
    </w:p>
    <w:p>
      <w:pPr>
        <w:pStyle w:val="ListBullet"/>
      </w:pPr>
      <w:r>
        <w:t>計算科学としての誠実さ: 時間刻み収束の徹底確認、SHA256によるソース一致照合、否定的結果(kLa 2で-51.6%等)や自らの初期の楽観的シグナル(1時間刻みで+20%)が細分化で崩れたことを隠さず報告する姿勢は、この分野の計算研究として模範的。</w:t>
      </w:r>
    </w:p>
    <w:p>
      <w:pPr>
        <w:pStyle w:val="Heading2"/>
      </w:pPr>
      <w:r>
        <w:rPr>
          <w:color w:val="1F4D78"/>
        </w:rPr>
        <w:t>7.2 面白さを割り引く理由</w:t>
      </w:r>
    </w:p>
    <w:p>
      <w:pPr>
        <w:pStyle w:val="ListBullet"/>
      </w:pPr>
      <w:r>
        <w:t>結論はすべて未校正パラメータの上に成り立っている。維持代謝、死滅率、kLa、Pfの酸素表現型、B12授受など、結果の符号を反転させうるパラメータが未校正のまま使われており、現時点の「発見」は特定の仮定群のもとでの計算上の観測にとどまる。</w:t>
      </w:r>
    </w:p>
    <w:p>
      <w:pPr>
        <w:pStyle w:val="ListBullet"/>
      </w:pPr>
      <w:r>
        <w:t>手法自体(プロピオン酸添加によるPHBV組成制御)は、Cupriavidus necator等で報告例のある比較的古典的な戦略であり、新規性は主に「天然ゴム分解菌×プロピオン酸産生菌」という組み合わせに由来する。</w:t>
      </w:r>
    </w:p>
    <w:p>
      <w:pPr>
        <w:pStyle w:val="ListBullet"/>
      </w:pPr>
      <w:r>
        <w:t>B12媒介共生など、想定されうる主要な生物学的機構がモデルに実装されていない(b12_evidence.py はGPRからpseudo遺伝子を除去するのみで、B12の授受経路自体は追加されていない)。</w:t>
      </w:r>
    </w:p>
    <w:p>
      <w:pPr>
        <w:pStyle w:val="ListBullet"/>
      </w:pPr>
      <w:r>
        <w:t>反復・統計検定を伴わない決定論的な1軌道比較であり、湿式実験による検証はまだ行われていない。</w:t>
      </w:r>
    </w:p>
    <w:p>
      <w:pPr>
        <w:pStyle w:val="Heading2"/>
      </w:pPr>
      <w:r>
        <w:rPr>
          <w:color w:val="1F4D78"/>
        </w:rPr>
        <w:t>7.3 総合評価</w:t>
      </w:r>
    </w:p>
    <w:p>
      <w:r>
        <w:t>方法論の質は高く、「酸素条件・時間配分に対する非単調な共生価値」という発見は、理論的にも実務的にも追いかける価値がある。しかし現時点では仮説生成段階にあり、説得力を増すには次章で挙げる未校正パラメータの実測、少なくとも1条件での湿式実験による再現、パラメータ感度解析が必要である。これらが揃えば、微生物生態学と合成生物学の境界領域での貢献になり得る、というのがバランスの取れた評価である。</w:t>
      </w:r>
    </w:p>
    <w:p>
      <w:pPr>
        <w:pStyle w:val="Heading1"/>
      </w:pPr>
      <w:r>
        <w:rPr>
          <w:color w:val="0B2545"/>
        </w:rPr>
        <w:t>8. 実験で校正すべき主要パラメータ</w:t>
      </w:r>
    </w:p>
    <w:p>
      <w:r>
        <w:t>シミュレータのソースコード(dfba_simulator.py, physiology_dfba.py, audited_dfba.py, resolved_dfba.py, cultivation_numerics.py, b12_evidence.py, one_l_jar.py)と関連監査ドキュメントを精査し、3種共存の結論に影響しうる未校正パラメータを洗い出した。値・定義箇所はすべてコードと照合済みである。</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1F4D78"/>
          </w:tcPr>
          <w:p>
            <w:r>
              <w:rPr>
                <w:b/>
                <w:color w:val="FFFFFF"/>
              </w:rPr>
              <w:t>パラメータ</w:t>
            </w:r>
          </w:p>
        </w:tc>
        <w:tc>
          <w:tcPr>
            <w:tcW w:type="dxa" w:w="1814"/>
            <w:shd w:val="clear" w:color="auto" w:fill="1F4D78"/>
          </w:tcPr>
          <w:p>
            <w:r>
              <w:rPr>
                <w:b/>
                <w:color w:val="FFFFFF"/>
              </w:rPr>
              <w:t>現在の仮定値</w:t>
            </w:r>
          </w:p>
        </w:tc>
        <w:tc>
          <w:tcPr>
            <w:tcW w:type="dxa" w:w="1814"/>
            <w:shd w:val="clear" w:color="auto" w:fill="1F4D78"/>
          </w:tcPr>
          <w:p>
            <w:r>
              <w:rPr>
                <w:b/>
                <w:color w:val="FFFFFF"/>
              </w:rPr>
              <w:t>定義箇所</w:t>
            </w:r>
          </w:p>
        </w:tc>
        <w:tc>
          <w:tcPr>
            <w:tcW w:type="dxa" w:w="2041"/>
            <w:shd w:val="clear" w:color="auto" w:fill="1F4D78"/>
          </w:tcPr>
          <w:p>
            <w:r>
              <w:rPr>
                <w:b/>
                <w:color w:val="FFFFFF"/>
              </w:rPr>
              <w:t>影響</w:t>
            </w:r>
          </w:p>
        </w:tc>
        <w:tc>
          <w:tcPr>
            <w:tcW w:type="dxa" w:w="2154"/>
            <w:shd w:val="clear" w:color="auto" w:fill="1F4D78"/>
          </w:tcPr>
          <w:p>
            <w:r>
              <w:rPr>
                <w:b/>
                <w:color w:val="FFFFFF"/>
              </w:rPr>
              <w:t>測定方法(概要)</w:t>
            </w:r>
          </w:p>
        </w:tc>
      </w:tr>
      <w:tr>
        <w:tc>
          <w:tcPr>
            <w:tcW w:type="dxa" w:w="1701"/>
          </w:tcPr>
          <w:p>
            <w:r>
              <w:t>DEFAULT_POLYMER_RATES</w:t>
              <w:br/>
              <w:t>(ゴム分解速度定数)</w:t>
            </w:r>
          </w:p>
        </w:tc>
        <w:tc>
          <w:tcPr>
            <w:tcW w:type="dxa" w:w="1814"/>
          </w:tcPr>
          <w:p>
            <w:r>
              <w:t>lcp_c5=2.5,</w:t>
              <w:br/>
              <w:t>roxb_c5=roxa_direct_c5=0.75,</w:t>
              <w:br/>
              <w:t>roxa_oligo_c30=0.25</w:t>
              <w:br/>
              <w:t>(mmol/gDW/h)</w:t>
            </w:r>
          </w:p>
        </w:tc>
        <w:tc>
          <w:tcPr>
            <w:tcW w:type="dxa" w:w="1814"/>
          </w:tcPr>
          <w:p>
            <w:r>
              <w:t>dfba_simulator.py</w:t>
              <w:br/>
              <w:t>dFBASimulator</w:t>
            </w:r>
          </w:p>
        </w:tc>
        <w:tc>
          <w:tcPr>
            <w:tcW w:type="dxa" w:w="2041"/>
          </w:tcPr>
          <w:p>
            <w:r>
              <w:t>ゴム分解速度、C30/ODTD供給量、</w:t>
              <w:br/>
              <w:t>3種の炭素フロー全体の起点</w:t>
            </w:r>
          </w:p>
        </w:tc>
        <w:tc>
          <w:tcPr>
            <w:tcW w:type="dxa" w:w="2154"/>
          </w:tcPr>
          <w:p>
            <w:r>
              <w:t>精製Lcp/Rox酵素のin vitroアッセイ、</w:t>
              <w:br/>
              <w:t>または単離菌のゴム分解培養</w:t>
            </w:r>
          </w:p>
        </w:tc>
      </w:tr>
      <w:tr>
        <w:tc>
          <w:tcPr>
            <w:tcW w:type="dxa" w:w="1701"/>
          </w:tcPr>
          <w:p>
            <w:r>
              <w:t>maintenance</w:t>
              <w:br/>
              <w:t>(維持ATP要求量)</w:t>
            </w:r>
          </w:p>
        </w:tc>
        <w:tc>
          <w:tcPr>
            <w:tcW w:type="dxa" w:w="1814"/>
          </w:tcPr>
          <w:p>
            <w:r>
              <w:t>未設定(空dict)</w:t>
              <w:br/>
              <w:t>→実質0</w:t>
            </w:r>
          </w:p>
        </w:tc>
        <w:tc>
          <w:tcPr>
            <w:tcW w:type="dxa" w:w="1814"/>
          </w:tcPr>
          <w:p>
            <w:r>
              <w:t>physiology_dfba.py</w:t>
              <w:br/>
              <w:t>PhysiologyDFBASimulator</w:t>
            </w:r>
          </w:p>
        </w:tc>
        <w:tc>
          <w:tcPr>
            <w:tcW w:type="dxa" w:w="2041"/>
          </w:tcPr>
          <w:p>
            <w:r>
              <w:t>ゼロ増殖時の生存・飢餓耐性。</w:t>
              <w:br/>
              <w:t>長期共存の評価に直結</w:t>
            </w:r>
          </w:p>
        </w:tc>
        <w:tc>
          <w:tcPr>
            <w:tcW w:type="dxa" w:w="2154"/>
          </w:tcPr>
          <w:p>
            <w:r>
              <w:t>連続培養/休止細胞実験でPirt式から</w:t>
              <w:br/>
              <w:t>維持係数を決定</w:t>
            </w:r>
          </w:p>
        </w:tc>
      </w:tr>
      <w:tr>
        <w:tc>
          <w:tcPr>
            <w:tcW w:type="dxa" w:w="1701"/>
          </w:tcPr>
          <w:p>
            <w:r>
              <w:t>basal_death_rates /</w:t>
              <w:br/>
              <w:t>starvation_death_rates</w:t>
            </w:r>
          </w:p>
        </w:tc>
        <w:tc>
          <w:tcPr>
            <w:tcW w:type="dxa" w:w="1814"/>
          </w:tcPr>
          <w:p>
            <w:r>
              <w:t>未設定(空dict)</w:t>
              <w:br/>
              <w:t>→実質0 h⁻¹</w:t>
            </w:r>
          </w:p>
        </w:tc>
        <w:tc>
          <w:tcPr>
            <w:tcW w:type="dxa" w:w="1814"/>
          </w:tcPr>
          <w:p>
            <w:r>
              <w:t>physiology_dfba.py</w:t>
              <w:br/>
              <w:t>PhysiologyDFBASimulator</w:t>
            </w:r>
          </w:p>
        </w:tc>
        <w:tc>
          <w:tcPr>
            <w:tcW w:type="dxa" w:w="2041"/>
          </w:tcPr>
          <w:p>
            <w:r>
              <w:t>菌体量減少・長期安定性。</w:t>
              <w:br/>
              <w:t>ゼロだと共存を人為的に安定化</w:t>
            </w:r>
          </w:p>
        </w:tc>
        <w:tc>
          <w:tcPr>
            <w:tcW w:type="dxa" w:w="2154"/>
          </w:tcPr>
          <w:p>
            <w:r>
              <w:t>長期培養での生菌数(CFU)の</w:t>
              <w:br/>
              <w:t>経時変化(飢餓/非飢餓条件)</w:t>
            </w:r>
          </w:p>
        </w:tc>
      </w:tr>
      <w:tr>
        <w:tc>
          <w:tcPr>
            <w:tcW w:type="dxa" w:w="1701"/>
          </w:tcPr>
          <w:p>
            <w:r>
              <w:t>polymer_oxygen_fraction</w:t>
            </w:r>
          </w:p>
        </w:tc>
        <w:tc>
          <w:tcPr>
            <w:tcW w:type="dxa" w:w="1814"/>
          </w:tcPr>
          <w:p>
            <w:r>
              <w:t>0.25</w:t>
            </w:r>
          </w:p>
        </w:tc>
        <w:tc>
          <w:tcPr>
            <w:tcW w:type="dxa" w:w="1814"/>
          </w:tcPr>
          <w:p>
            <w:r>
              <w:t>dfba_simulator.py</w:t>
              <w:br/>
              <w:t>dFBASimulator</w:t>
            </w:r>
          </w:p>
        </w:tc>
        <w:tc>
          <w:tcPr>
            <w:tcW w:type="dxa" w:w="2041"/>
          </w:tcPr>
          <w:p>
            <w:r>
              <w:t>ゴム分解に割く酸素比率。</w:t>
              <w:br/>
              <w:t>低DO時の分解速度・酸素競合</w:t>
            </w:r>
          </w:p>
        </w:tc>
        <w:tc>
          <w:tcPr>
            <w:tcW w:type="dxa" w:w="2154"/>
          </w:tcPr>
          <w:p>
            <w:r>
              <w:t>OUR測定とゴム分解速度の同時計測</w:t>
            </w:r>
          </w:p>
        </w:tc>
      </w:tr>
      <w:tr>
        <w:tc>
          <w:tcPr>
            <w:tcW w:type="dxa" w:w="1701"/>
          </w:tcPr>
          <w:p>
            <w:r>
              <w:t>polymer_oxygen_half_saturation</w:t>
            </w:r>
          </w:p>
        </w:tc>
        <w:tc>
          <w:tcPr>
            <w:tcW w:type="dxa" w:w="1814"/>
          </w:tcPr>
          <w:p>
            <w:r>
              <w:t>0.01 mmol/L</w:t>
            </w:r>
          </w:p>
        </w:tc>
        <w:tc>
          <w:tcPr>
            <w:tcW w:type="dxa" w:w="1814"/>
          </w:tcPr>
          <w:p>
            <w:r>
              <w:t>audited_dfba.py</w:t>
              <w:br/>
              <w:t>AuditedDFBASimulator</w:t>
            </w:r>
          </w:p>
        </w:tc>
        <w:tc>
          <w:tcPr>
            <w:tcW w:type="dxa" w:w="2041"/>
          </w:tcPr>
          <w:p>
            <w:r>
              <w:t>ゴム分解酵素の酸素親和性</w:t>
            </w:r>
          </w:p>
        </w:tc>
        <w:tc>
          <w:tcPr>
            <w:tcW w:type="dxa" w:w="2154"/>
          </w:tcPr>
          <w:p>
            <w:r>
              <w:t>DO制御下での分解速度のDO依存性</w:t>
            </w:r>
          </w:p>
        </w:tc>
      </w:tr>
      <w:tr>
        <w:tc>
          <w:tcPr>
            <w:tcW w:type="dxa" w:w="1701"/>
          </w:tcPr>
          <w:p>
            <w:r>
              <w:t>nitrogen_half_saturation</w:t>
            </w:r>
          </w:p>
        </w:tc>
        <w:tc>
          <w:tcPr>
            <w:tcW w:type="dxa" w:w="1814"/>
          </w:tcPr>
          <w:p>
            <w:r>
              <w:t>0.1 mmol/L</w:t>
            </w:r>
          </w:p>
        </w:tc>
        <w:tc>
          <w:tcPr>
            <w:tcW w:type="dxa" w:w="1814"/>
          </w:tcPr>
          <w:p>
            <w:r>
              <w:t>resolved_dfba.py</w:t>
              <w:br/>
              <w:t>ResolvedDFBASimulator</w:t>
            </w:r>
          </w:p>
        </w:tc>
        <w:tc>
          <w:tcPr>
            <w:tcW w:type="dxa" w:w="2041"/>
          </w:tcPr>
          <w:p>
            <w:r>
              <w:t>NH4取り込みのMonod定数。</w:t>
              <w:br/>
              <w:t>窒素制限応答とPHA配分</w:t>
            </w:r>
          </w:p>
        </w:tc>
        <w:tc>
          <w:tcPr>
            <w:tcW w:type="dxa" w:w="2154"/>
          </w:tcPr>
          <w:p>
            <w:r>
              <w:t>NH4制限連続培養での希釈率-</w:t>
              <w:br/>
              <w:t>残留NH4濃度の関係</w:t>
            </w:r>
          </w:p>
        </w:tc>
      </w:tr>
      <w:tr>
        <w:tc>
          <w:tcPr>
            <w:tcW w:type="dxa" w:w="1701"/>
          </w:tcPr>
          <w:p>
            <w:r>
              <w:t>max_pha_fraction_g_gdcw</w:t>
            </w:r>
          </w:p>
        </w:tc>
        <w:tc>
          <w:tcPr>
            <w:tcW w:type="dxa" w:w="1814"/>
          </w:tcPr>
          <w:p>
            <w:r>
              <w:t>0.80 g/g</w:t>
              <w:br/>
              <w:t>(数値暴走防止の安全上限)</w:t>
            </w:r>
          </w:p>
        </w:tc>
        <w:tc>
          <w:tcPr>
            <w:tcW w:type="dxa" w:w="1814"/>
          </w:tcPr>
          <w:p>
            <w:r>
              <w:t>dfba_simulator.py</w:t>
              <w:br/>
              <w:t>dFBASimulator</w:t>
            </w:r>
          </w:p>
        </w:tc>
        <w:tc>
          <w:tcPr>
            <w:tcW w:type="dxa" w:w="2041"/>
          </w:tcPr>
          <w:p>
            <w:r>
              <w:t>PHA蓄積上限。生産量の</w:t>
              <w:br/>
              <w:t>理論上限を規定</w:t>
            </w:r>
          </w:p>
        </w:tc>
        <w:tc>
          <w:tcPr>
            <w:tcW w:type="dxa" w:w="2154"/>
          </w:tcPr>
          <w:p>
            <w:r>
              <w:t>窒素制限培養でのPHA含有率の</w:t>
              <w:br/>
              <w:t>経時変化(GC/重量法)</w:t>
            </w:r>
          </w:p>
        </w:tc>
      </w:tr>
      <w:tr>
        <w:tc>
          <w:tcPr>
            <w:tcW w:type="dxa" w:w="1701"/>
          </w:tcPr>
          <w:p>
            <w:r>
              <w:t>kLa・KLaCalibration</w:t>
            </w:r>
          </w:p>
        </w:tc>
        <w:tc>
          <w:tcPr>
            <w:tcW w:type="dxa" w:w="1814"/>
          </w:tcPr>
          <w:p>
            <w:r>
              <w:t>デフォルト50 h⁻¹</w:t>
              <w:br/>
              <w:t>(校正パラメータは仮想値)</w:t>
            </w:r>
          </w:p>
        </w:tc>
        <w:tc>
          <w:tcPr>
            <w:tcW w:type="dxa" w:w="1814"/>
          </w:tcPr>
          <w:p>
            <w:r>
              <w:t>dfba_simulator.py</w:t>
              <w:br/>
              <w:t>one_l_jar.py KLaCalibration</w:t>
            </w:r>
          </w:p>
        </w:tc>
        <w:tc>
          <w:tcPr>
            <w:tcW w:type="dxa" w:w="2041"/>
          </w:tcPr>
          <w:p>
            <w:r>
              <w:t>酸素供給速度。好気代謝・分解・</w:t>
              <w:br/>
              <w:t>PHA生産すべての律速要因</w:t>
            </w:r>
          </w:p>
        </w:tc>
        <w:tc>
          <w:tcPr>
            <w:tcW w:type="dxa" w:w="2154"/>
          </w:tcPr>
          <w:p>
            <w:r>
              <w:t>動的ガス抜き法/亜硫酸塩酸化法</w:t>
            </w:r>
          </w:p>
        </w:tc>
      </w:tr>
      <w:tr>
        <w:tc>
          <w:tcPr>
            <w:tcW w:type="dxa" w:w="1701"/>
          </w:tcPr>
          <w:p>
            <w:r>
              <w:t>oxygen_saturation</w:t>
            </w:r>
          </w:p>
        </w:tc>
        <w:tc>
          <w:tcPr>
            <w:tcW w:type="dxa" w:w="1814"/>
          </w:tcPr>
          <w:p>
            <w:r>
              <w:t>0.25 mmol/L</w:t>
            </w:r>
          </w:p>
        </w:tc>
        <w:tc>
          <w:tcPr>
            <w:tcW w:type="dxa" w:w="1814"/>
          </w:tcPr>
          <w:p>
            <w:r>
              <w:t>resolved_dfba.py</w:t>
              <w:br/>
              <w:t>ResolvedDFBASimulator</w:t>
            </w:r>
          </w:p>
        </w:tc>
        <w:tc>
          <w:tcPr>
            <w:tcW w:type="dxa" w:w="2041"/>
          </w:tcPr>
          <w:p>
            <w:r>
              <w:t>培地への酸素溶解度</w:t>
            </w:r>
          </w:p>
        </w:tc>
        <w:tc>
          <w:tcPr>
            <w:tcW w:type="dxa" w:w="2154"/>
          </w:tcPr>
          <w:p>
            <w:r>
              <w:t>Winkler法またはDOプローブ校正</w:t>
            </w:r>
          </w:p>
        </w:tc>
      </w:tr>
      <w:tr>
        <w:tc>
          <w:tcPr>
            <w:tcW w:type="dxa" w:w="1701"/>
          </w:tcPr>
          <w:p>
            <w:r>
              <w:t>max_uptake_rate</w:t>
            </w:r>
          </w:p>
        </w:tc>
        <w:tc>
          <w:tcPr>
            <w:tcW w:type="dxa" w:w="1814"/>
          </w:tcPr>
          <w:p>
            <w:r>
              <w:t>20.0 mmol/gDW/h</w:t>
              <w:br/>
              <w:t>(全菌共通)</w:t>
            </w:r>
          </w:p>
        </w:tc>
        <w:tc>
          <w:tcPr>
            <w:tcW w:type="dxa" w:w="1814"/>
          </w:tcPr>
          <w:p>
            <w:r>
              <w:t>dfba_simulator.py</w:t>
              <w:br/>
              <w:t>dFBASimulator</w:t>
            </w:r>
          </w:p>
        </w:tc>
        <w:tc>
          <w:tcPr>
            <w:tcW w:type="dxa" w:w="2041"/>
          </w:tcPr>
          <w:p>
            <w:r>
              <w:t>基質取り込み上限。競争下の</w:t>
              <w:br/>
              <w:t>資源配分・増殖速度</w:t>
            </w:r>
          </w:p>
        </w:tc>
        <w:tc>
          <w:tcPr>
            <w:tcW w:type="dxa" w:w="2154"/>
          </w:tcPr>
          <w:p>
            <w:r>
              <w:t>基質飽和実験(消費速度と</w:t>
              <w:br/>
              <w:t>菌体量から算出)</w:t>
            </w:r>
          </w:p>
        </w:tc>
      </w:tr>
      <w:tr>
        <w:tc>
          <w:tcPr>
            <w:tcW w:type="dxa" w:w="1701"/>
          </w:tcPr>
          <w:p>
            <w:r>
              <w:t>ph_control_target /</w:t>
              <w:br/>
              <w:t>buffer_mmol_l / pKa</w:t>
            </w:r>
          </w:p>
        </w:tc>
        <w:tc>
          <w:tcPr>
            <w:tcW w:type="dxa" w:w="1814"/>
          </w:tcPr>
          <w:p>
            <w:r>
              <w:t>target=6.5,</w:t>
              <w:br/>
              <w:t>buffer=50 mmol/L, pKa=7.21</w:t>
            </w:r>
          </w:p>
        </w:tc>
        <w:tc>
          <w:tcPr>
            <w:tcW w:type="dxa" w:w="1814"/>
          </w:tcPr>
          <w:p>
            <w:r>
              <w:t>dfba_simulator.py /</w:t>
              <w:br/>
              <w:t>audited_dfba.py</w:t>
            </w:r>
          </w:p>
        </w:tc>
        <w:tc>
          <w:tcPr>
            <w:tcW w:type="dxa" w:w="2041"/>
          </w:tcPr>
          <w:p>
            <w:r>
              <w:t>pH制御・酸塩基添加量。</w:t>
              <w:br/>
              <w:t>各菌の増殖・代謝活性</w:t>
            </w:r>
          </w:p>
        </w:tc>
        <w:tc>
          <w:tcPr>
            <w:tcW w:type="dxa" w:w="2154"/>
          </w:tcPr>
          <w:p>
            <w:r>
              <w:t>培養中のpH滴定曲線、</w:t>
              <w:br/>
              <w:t>各菌の至適/阻害pH域</w:t>
            </w:r>
          </w:p>
        </w:tc>
      </w:tr>
      <w:tr>
        <w:tc>
          <w:tcPr>
            <w:tcW w:type="dxa" w:w="1701"/>
          </w:tcPr>
          <w:p>
            <w:r>
              <w:t>B12授受パラメータ</w:t>
            </w:r>
          </w:p>
        </w:tc>
        <w:tc>
          <w:tcPr>
            <w:tcW w:type="dxa" w:w="1814"/>
          </w:tcPr>
          <w:p>
            <w:r>
              <w:t>未校正(注釈のみ、</w:t>
              <w:br/>
              <w:t>授受経路は未実装)</w:t>
            </w:r>
          </w:p>
        </w:tc>
        <w:tc>
          <w:tcPr>
            <w:tcW w:type="dxa" w:w="1814"/>
          </w:tcPr>
          <w:p>
            <w:r>
              <w:t>b12_evidence.py</w:t>
              <w:br/>
              <w:t>inspect_and_curate</w:t>
            </w:r>
          </w:p>
        </w:tc>
        <w:tc>
          <w:tcPr>
            <w:tcW w:type="dxa" w:w="2041"/>
          </w:tcPr>
          <w:p>
            <w:r>
              <w:t>B12供給による代謝補助の</w:t>
              <w:br/>
              <w:t>有無・大きさ</w:t>
            </w:r>
          </w:p>
        </w:tc>
        <w:tc>
          <w:tcPr>
            <w:tcW w:type="dxa" w:w="2154"/>
          </w:tcPr>
          <w:p>
            <w:r>
              <w:t>最小培地でのB12要求性、</w:t>
              <w:br/>
              <w:t>添加有無での増殖比較</w:t>
            </w:r>
          </w:p>
        </w:tc>
      </w:tr>
      <w:tr>
        <w:tc>
          <w:tcPr>
            <w:tcW w:type="dxa" w:w="1701"/>
          </w:tcPr>
          <w:p>
            <w:r>
              <w:t>Pfの酸素表現型</w:t>
            </w:r>
          </w:p>
        </w:tc>
        <w:tc>
          <w:tcPr>
            <w:tcW w:type="dxa" w:w="1814"/>
          </w:tcPr>
          <w:p>
            <w:r>
              <w:t>閉鎖(嫌気的)と仮定</w:t>
            </w:r>
          </w:p>
        </w:tc>
        <w:tc>
          <w:tcPr>
            <w:tcW w:type="dxa" w:w="1814"/>
          </w:tcPr>
          <w:p>
            <w:r>
              <w:t>CULTIVATION_MODEL_AUDIT</w:t>
              <w:br/>
              <w:t>B02(コード上は交換境界で表現)</w:t>
            </w:r>
          </w:p>
        </w:tc>
        <w:tc>
          <w:tcPr>
            <w:tcW w:type="dxa" w:w="2041"/>
          </w:tcPr>
          <w:p>
            <w:r>
              <w:t>低DO条件での競争・生存。</w:t>
              <w:br/>
              <w:t>酸素分配の妥当性</w:t>
            </w:r>
          </w:p>
        </w:tc>
        <w:tc>
          <w:tcPr>
            <w:tcW w:type="dxa" w:w="2154"/>
          </w:tcPr>
          <w:p>
            <w:r>
              <w:t>Pf単離株の微好気/嫌気培養での</w:t>
              <w:br/>
              <w:t>増殖・生存確認</w:t>
            </w:r>
          </w:p>
        </w:tc>
      </w:tr>
    </w:tbl>
    <w:p/>
    <w:p>
      <w:pPr>
        <w:pStyle w:val="Heading2"/>
      </w:pPr>
      <w:r>
        <w:rPr>
          <w:color w:val="1F4D78"/>
        </w:rPr>
        <w:t>優先順位(結論を反転させうる可能性が高い順)</w:t>
      </w:r>
    </w:p>
    <w:p>
      <w:pPr>
        <w:pStyle w:val="ListBullet"/>
      </w:pPr>
      <w:r>
        <w:t>① DEFAULT_POLYMER_RATES(ゴム分解速度) — 全炭素フローの起点。OR16/NS21の分解速度バランスがNS21へのPHA原料供給とPfへの有機酸供給を決める。</w:t>
      </w:r>
    </w:p>
    <w:p>
      <w:pPr>
        <w:pStyle w:val="ListBullet"/>
      </w:pPr>
      <w:r>
        <w:t>② maintenance(維持ATP要求量) — 実質ゼロだと飢餓耐性を過大評価し、低基質条件でのPf・OR16の早期死滅を見逃す。</w:t>
      </w:r>
    </w:p>
    <w:p>
      <w:pPr>
        <w:pStyle w:val="ListBullet"/>
      </w:pPr>
      <w:r>
        <w:t>③ polymer_oxygen_fraction と polymer_oxygen_half_saturation(酸素分配・親和性) — 低DO条件でのゴム分解と呼吸の酸素競合を決め、低kLaでの3種優位性の符号を左右しうる。</w:t>
      </w:r>
    </w:p>
    <w:p>
      <w:pPr>
        <w:pStyle w:val="ListBullet"/>
      </w:pPr>
      <w:r>
        <w:t>④ basal_death_rates / starvation_death_rates(死滅率) — ゼロのままでは、競争に負けた菌(特に低接種量のPf)も生き残り続け、共存が人為的に安定化する。</w:t>
      </w:r>
    </w:p>
    <w:p>
      <w:pPr>
        <w:pStyle w:val="ListBullet"/>
      </w:pPr>
      <w:r>
        <w:t>⑤ nitrogen_half_saturation(NH4半飽和定数) — NH4枯渇タイミングとPHA蓄積開始時期を左右し、3種のPHA優位性の大きさに影響する。</w:t>
      </w:r>
    </w:p>
    <w:p>
      <w:pPr>
        <w:pStyle w:val="ListBullet"/>
      </w:pPr>
      <w:r>
        <w:t>⑥ max_pha_fraction_g_gdcw(PHA上限) — 現在の80%はNS21の実測値ではなく数値暴走防止の安全上限であり、実際の上限次第でPHA優位の大きさが変わる。</w:t>
      </w:r>
    </w:p>
    <w:p>
      <w:pPr>
        <w:pStyle w:val="ListBullet"/>
      </w:pPr>
      <w:r>
        <w:t>⑦ kLa・酸素飽和濃度 — 酸素供給は好気代謝全体の律速因子であり、実機のkLaが校正されない限り、酸素条件依存の3種優位性を実培養へ外挿できない。</w:t>
      </w:r>
    </w:p>
    <w:p>
      <w:pPr>
        <w:pStyle w:val="Heading1"/>
      </w:pPr>
      <w:r>
        <w:rPr>
          <w:color w:val="0B2545"/>
        </w:rPr>
        <w:t>9. 次の課題</w:t>
      </w:r>
    </w:p>
    <w:p>
      <w:pPr>
        <w:pStyle w:val="ListBullet"/>
      </w:pPr>
      <w:r>
        <w:t>kLa 4〜8 h⁻¹の間をさらに細かく刻み、3種が有利になる窓の境界を特定する。</w:t>
      </w:r>
    </w:p>
    <w:p>
      <w:pPr>
        <w:pStyle w:val="ListBullet"/>
      </w:pPr>
      <w:r>
        <w:t>3分割以上の高頻度パルスで、結果が一定kLaに収束するかを確認する。</w:t>
      </w:r>
    </w:p>
    <w:p>
      <w:pPr>
        <w:pStyle w:val="ListBullet"/>
      </w:pPr>
      <w:r>
        <w:t>3種が有利な条件で供給プロファイルも再最適化し、構成差が供給最適化後も残るかを検証する。</w:t>
      </w:r>
    </w:p>
    <w:p>
      <w:pPr>
        <w:pStyle w:val="ListBullet"/>
      </w:pPr>
      <w:r>
        <w:t>kLa、酸素飽和、維持代謝、死滅率、Pf表現型の実測値による校正。ここまでの結論はすべてこの校正待ちの状態にある。</w:t>
      </w:r>
    </w:p>
    <w:p>
      <w:pPr>
        <w:pStyle w:val="ListBullet"/>
      </w:pPr>
      <w:r>
        <w:t>上記の校正・境界探索が完了した後に、大量教師データ収集とRL学習フェーズへ進む。</w:t>
      </w:r>
    </w:p>
    <w:p>
      <w:pPr>
        <w:pStyle w:val="Heading1"/>
      </w:pPr>
      <w:r>
        <w:rPr>
          <w:color w:val="0B2545"/>
        </w:rPr>
        <w:t>10. 方法論に関する注記</w:t>
      </w:r>
    </w:p>
    <w:p>
      <w:r>
        <w:t>本書で扱う結果はすべて、ゲノムスケール代謝モデル(GEM)と動的フラックスバランス解析(dFBA)による計算機内シミュレーションである。各比較は決定論的な1軌道であり、反復実験のばらつきや統計的検定は含まれない。多くの研究で、比較前に評価基準・条件設計を固定し、共有ソース(シミュレータ・GEM・監査コード)のSHA256ハッシュが全研究で一致することを事前に照合してから集計する運用がとられている。</w:t>
      </w:r>
    </w:p>
    <w:p>
      <w:pPr>
        <w:pStyle w:val="Heading1"/>
      </w:pPr>
      <w:r>
        <w:rPr>
          <w:color w:val="0B2545"/>
        </w:rPr>
        <w:t>11. 図(酸素スケジュールと第3菌種の価値, 2026-09-10)</w:t>
      </w:r>
    </w:p>
    <w:p>
      <w:r>
        <w:t>図1: 酸素条件に対するPHA差(全条件)と3HVモル分率の2種→3種の変化</w:t>
      </w:r>
    </w:p>
    <w:p>
      <w:r>
        <w:drawing>
          <wp:inline xmlns:a="http://schemas.openxmlformats.org/drawingml/2006/main" xmlns:pic="http://schemas.openxmlformats.org/drawingml/2006/picture">
            <wp:extent cx="5760000" cy="5033647"/>
            <wp:docPr id="1" name="Picture 1"/>
            <wp:cNvGraphicFramePr>
              <a:graphicFrameLocks noChangeAspect="1"/>
            </wp:cNvGraphicFramePr>
            <a:graphic>
              <a:graphicData uri="http://schemas.openxmlformats.org/drawingml/2006/picture">
                <pic:pic>
                  <pic:nvPicPr>
                    <pic:cNvPr id="0" name="fig1_third_species_axis.png"/>
                    <pic:cNvPicPr/>
                  </pic:nvPicPr>
                  <pic:blipFill>
                    <a:blip r:embed="rId9"/>
                    <a:stretch>
                      <a:fillRect/>
                    </a:stretch>
                  </pic:blipFill>
                  <pic:spPr>
                    <a:xfrm>
                      <a:off x="0" y="0"/>
                      <a:ext cx="5760000" cy="5033647"/>
                    </a:xfrm>
                    <a:prstGeom prst="rect"/>
                  </pic:spPr>
                </pic:pic>
              </a:graphicData>
            </a:graphic>
          </wp:inline>
        </w:drawing>
      </w:r>
    </w:p>
    <w:p>
      <w:r>
        <w:t>図2: 同一曝気予算(kLa積分144 h)でそろえた5候補のPHA比較</w:t>
      </w:r>
    </w:p>
    <w:p>
      <w:r>
        <w:drawing>
          <wp:inline xmlns:a="http://schemas.openxmlformats.org/drawingml/2006/main" xmlns:pic="http://schemas.openxmlformats.org/drawingml/2006/picture">
            <wp:extent cx="5760000" cy="2408727"/>
            <wp:docPr id="2" name="Picture 2"/>
            <wp:cNvGraphicFramePr>
              <a:graphicFrameLocks noChangeAspect="1"/>
            </wp:cNvGraphicFramePr>
            <a:graphic>
              <a:graphicData uri="http://schemas.openxmlformats.org/drawingml/2006/picture">
                <pic:pic>
                  <pic:nvPicPr>
                    <pic:cNvPr id="0" name="fig2_equal_budget_family.png"/>
                    <pic:cNvPicPr/>
                  </pic:nvPicPr>
                  <pic:blipFill>
                    <a:blip r:embed="rId10"/>
                    <a:stretch>
                      <a:fillRect/>
                    </a:stretch>
                  </pic:blipFill>
                  <pic:spPr>
                    <a:xfrm>
                      <a:off x="0" y="0"/>
                      <a:ext cx="5760000" cy="2408727"/>
                    </a:xfrm>
                    <a:prstGeom prst="rect"/>
                  </pic:spPr>
                </pic:pic>
              </a:graphicData>
            </a:graphic>
          </wp:inline>
        </w:drawing>
      </w:r>
    </w:p>
    <w:p>
      <w:r>
        <w:t>図3: 代表軌道(PHA/3HV/溶存O2/Pf生菌量。実線=3種、破線=2種)</w:t>
      </w:r>
    </w:p>
    <w:p>
      <w:r>
        <w:drawing>
          <wp:inline xmlns:a="http://schemas.openxmlformats.org/drawingml/2006/main" xmlns:pic="http://schemas.openxmlformats.org/drawingml/2006/picture">
            <wp:extent cx="5760000" cy="7069091"/>
            <wp:docPr id="3" name="Picture 3"/>
            <wp:cNvGraphicFramePr>
              <a:graphicFrameLocks noChangeAspect="1"/>
            </wp:cNvGraphicFramePr>
            <a:graphic>
              <a:graphicData uri="http://schemas.openxmlformats.org/drawingml/2006/picture">
                <pic:pic>
                  <pic:nvPicPr>
                    <pic:cNvPr id="0" name="fig3_representative_trajectories.png"/>
                    <pic:cNvPicPr/>
                  </pic:nvPicPr>
                  <pic:blipFill>
                    <a:blip r:embed="rId11"/>
                    <a:stretch>
                      <a:fillRect/>
                    </a:stretch>
                  </pic:blipFill>
                  <pic:spPr>
                    <a:xfrm>
                      <a:off x="0" y="0"/>
                      <a:ext cx="5760000" cy="7069091"/>
                    </a:xfrm>
                    <a:prstGeom prst="rect"/>
                  </pic:spPr>
                </pic:pic>
              </a:graphicData>
            </a:graphic>
          </wp:inline>
        </w:drawing>
      </w:r>
    </w:p>
    <w:p>
      <w:r>
        <w:rPr>
          <w:i/>
          <w:color w:val="5B6573"/>
          <w:sz w:val="19"/>
        </w:rPr>
        <w:t>図の白抜きマーカーおよび元図中の注記は時間刻み未収束・未評価を示す(詳細は OXYGEN_SCHEDULE_THIRD_SPECIES_20260910.md を参照)。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