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79"/>
        <w:tblW w:w="151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439" w:type="dxa"/>
            <w:gridSpan w:val="2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628" w:type="dxa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68" w:type="dxa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517" w:type="dxa"/>
            <w:shd w:val="clear" w:color="auto" w:fill="E7E6E6"/>
            <w:noWrap w:val="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415" w:type="dxa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696" w:type="dxa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TANGGAL PENYUSUNAN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439" w:type="dxa"/>
            <w:gridSpan w:val="2"/>
            <w:shd w:val="clear" w:color="auto" w:fill="auto"/>
            <w:noWrap w:val="0"/>
          </w:tcPr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Forensika Suara</w:t>
            </w:r>
          </w:p>
        </w:tc>
        <w:tc>
          <w:tcPr>
            <w:tcW w:w="1628" w:type="dxa"/>
            <w:shd w:val="clear" w:color="auto" w:fill="auto"/>
            <w:noWrap w:val="0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TE201582</w:t>
            </w:r>
          </w:p>
        </w:tc>
        <w:tc>
          <w:tcPr>
            <w:tcW w:w="3468" w:type="dxa"/>
            <w:shd w:val="clear" w:color="auto" w:fill="auto"/>
            <w:noWrap w:val="0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Mifta Nur Farid, S.T., M.T.</w:t>
            </w:r>
          </w:p>
        </w:tc>
        <w:tc>
          <w:tcPr>
            <w:tcW w:w="1517" w:type="dxa"/>
            <w:shd w:val="clear" w:color="auto" w:fill="auto"/>
            <w:noWrap w:val="0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 SKS</w:t>
            </w:r>
          </w:p>
        </w:tc>
        <w:tc>
          <w:tcPr>
            <w:tcW w:w="1415" w:type="dxa"/>
            <w:shd w:val="clear" w:color="auto" w:fill="auto"/>
            <w:noWrap w:val="0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Pilihan</w:t>
            </w:r>
          </w:p>
        </w:tc>
        <w:tc>
          <w:tcPr>
            <w:tcW w:w="2696" w:type="dxa"/>
            <w:shd w:val="clear" w:color="auto" w:fill="auto"/>
            <w:noWrap w:val="0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4439" w:type="dxa"/>
            <w:gridSpan w:val="2"/>
            <w:vMerge w:val="restart"/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OTORISASI</w:t>
            </w:r>
          </w:p>
        </w:tc>
        <w:tc>
          <w:tcPr>
            <w:tcW w:w="5096" w:type="dxa"/>
            <w:gridSpan w:val="2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KOORDINATOR MK</w:t>
            </w:r>
          </w:p>
        </w:tc>
        <w:tc>
          <w:tcPr>
            <w:tcW w:w="5628" w:type="dxa"/>
            <w:gridSpan w:val="3"/>
            <w:shd w:val="clear" w:color="auto" w:fill="E7E6E6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KOORDINATOR PROGRAM STUDI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4439" w:type="dxa"/>
            <w:gridSpan w:val="2"/>
            <w:vMerge w:val="continue"/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b/>
              </w:rPr>
            </w:pPr>
          </w:p>
        </w:tc>
        <w:tc>
          <w:tcPr>
            <w:tcW w:w="5096" w:type="dxa"/>
            <w:gridSpan w:val="2"/>
            <w:tcBorders>
              <w:bottom w:val="single" w:color="000000" w:sz="4" w:space="0"/>
            </w:tcBorders>
            <w:shd w:val="clear" w:color="auto" w:fill="auto"/>
            <w:noWrap w:val="0"/>
          </w:tcPr>
          <w:p>
            <w:pPr>
              <w:jc w:val="left"/>
              <w:rPr>
                <w:b/>
              </w:rPr>
            </w:pPr>
            <w:r>
              <w:rPr>
                <w:rFonts w:hint="default"/>
                <w:sz w:val="22"/>
                <w:szCs w:val="22"/>
              </w:rPr>
              <w:t>Mifta Nur Farid, S.T., M.T.</w:t>
            </w:r>
          </w:p>
        </w:tc>
        <w:tc>
          <w:tcPr>
            <w:tcW w:w="5628" w:type="dxa"/>
            <w:gridSpan w:val="3"/>
            <w:tcBorders>
              <w:bottom w:val="single" w:color="000000" w:sz="4" w:space="0"/>
            </w:tcBorders>
            <w:shd w:val="clear" w:color="auto" w:fill="auto"/>
            <w:noWrap w:val="0"/>
          </w:tcPr>
          <w:p>
            <w:pPr>
              <w:rPr>
                <w:rFonts w:hint="default"/>
                <w:b/>
              </w:rPr>
            </w:pPr>
            <w:r>
              <w:rPr>
                <w:rFonts w:hint="default"/>
                <w:b w:val="0"/>
                <w:bCs/>
              </w:rPr>
              <w:t>Barokatun Hasanah, S.T., M.T.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restart"/>
            <w:tcBorders>
              <w:right w:val="single" w:color="auto" w:sz="4" w:space="0"/>
            </w:tcBorders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CAPAIAN PEMBELAJARAN (CP)</w:t>
            </w:r>
          </w:p>
        </w:tc>
        <w:tc>
          <w:tcPr>
            <w:tcW w:w="13183" w:type="dxa"/>
            <w:gridSpan w:val="6"/>
            <w:tcBorders>
              <w:left w:val="single" w:color="auto" w:sz="4" w:space="0"/>
              <w:bottom w:val="single" w:color="auto" w:sz="8" w:space="0"/>
            </w:tcBorders>
            <w:shd w:val="clear" w:color="auto" w:fill="E7E6E6"/>
            <w:noWrap w:val="0"/>
          </w:tcPr>
          <w:p>
            <w:pPr>
              <w:tabs>
                <w:tab w:val="left" w:pos="1806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7" w:hRule="atLeast"/>
          <w:jc w:val="center"/>
        </w:trPr>
        <w:tc>
          <w:tcPr>
            <w:tcW w:w="1980" w:type="dxa"/>
            <w:vMerge w:val="continue"/>
            <w:tcBorders>
              <w:right w:val="single" w:color="auto" w:sz="4" w:space="0"/>
            </w:tcBorders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425" w:hanging="425"/>
              <w:rPr>
                <w:rFonts w:hint="default"/>
              </w:rPr>
            </w:pPr>
            <w:r>
              <w:rPr>
                <w:rFonts w:hint="default"/>
              </w:rPr>
              <w:t>Sikap</w:t>
            </w:r>
          </w:p>
          <w:p>
            <w:pPr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Menginternalisasi nilai, norma, dan etika akademik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(S.8)</w:t>
            </w:r>
            <w:r>
              <w:rPr>
                <w:rFonts w:hint="default"/>
              </w:rPr>
              <w:t>;</w:t>
            </w:r>
          </w:p>
          <w:p>
            <w:pPr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840" w:leftChars="0" w:hanging="420" w:firstLineChars="0"/>
            </w:pPr>
            <w:r>
              <w:rPr>
                <w:rFonts w:hint="default"/>
              </w:rPr>
              <w:t>Menunjukkan sikap bertanggungjawab atas pekerjaan di bidang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keahliannya secara mandiri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(S.9)</w:t>
            </w:r>
            <w:r>
              <w:rPr>
                <w:rFonts w:hint="default"/>
              </w:rPr>
              <w:t>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425" w:hanging="425"/>
            </w:pPr>
            <w:r>
              <w:rPr>
                <w:rFonts w:hint="default"/>
              </w:rPr>
              <w:t>Keterampilan Umum</w:t>
            </w:r>
          </w:p>
          <w:p>
            <w:pPr>
              <w:numPr>
                <w:ilvl w:val="1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845" w:hanging="425"/>
            </w:pPr>
            <w:r>
              <w:t xml:space="preserve">Mampu menerapkan pemikiran logis, kritis, sistematis, dan inovatif dalam konteks pengembangan atau implementasi ilmu pengetahuan dan teknologi yang memperhatikan dan menerapkan nilai humaniora yang sesuai dengan bidang keahliannya </w:t>
            </w:r>
            <w:r>
              <w:rPr>
                <w:b/>
              </w:rPr>
              <w:t>(KU.1)</w:t>
            </w:r>
            <w:r>
              <w:t>;</w:t>
            </w:r>
          </w:p>
          <w:p>
            <w:pPr>
              <w:numPr>
                <w:ilvl w:val="1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845" w:hanging="425"/>
            </w:pPr>
            <w:r>
              <w:t xml:space="preserve">Mampu menunjukkan kinerja mandiri, bermutu, dan terukur </w:t>
            </w:r>
            <w:r>
              <w:rPr>
                <w:b/>
              </w:rPr>
              <w:t>(KU.2)</w:t>
            </w:r>
            <w:r>
              <w:t>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425" w:hanging="425"/>
              <w:rPr>
                <w:rFonts w:hint="default"/>
              </w:rPr>
            </w:pPr>
            <w:r>
              <w:rPr>
                <w:rFonts w:hint="default"/>
              </w:rPr>
              <w:t>Pengetahuan</w:t>
            </w:r>
          </w:p>
          <w:p>
            <w:pPr>
              <w:numPr>
                <w:ilvl w:val="1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840" w:leftChars="0" w:hanging="420" w:firstLineChars="0"/>
            </w:pPr>
            <w:r>
              <w:rPr>
                <w:rFonts w:hint="default"/>
                <w:highlight w:val="none"/>
              </w:rPr>
              <w:t>Menguasai konsep dasar sistem tenaga, sistem pengaturan,</w:t>
            </w:r>
            <w:r>
              <w:rPr>
                <w:rFonts w:hint="default"/>
                <w:highlight w:val="none"/>
              </w:rPr>
              <w:t xml:space="preserve"> </w:t>
            </w:r>
            <w:r>
              <w:rPr>
                <w:rFonts w:hint="default"/>
                <w:highlight w:val="none"/>
              </w:rPr>
              <w:t>elektronika, telekomunikasi dan sistem komputer</w:t>
            </w:r>
            <w:r>
              <w:rPr>
                <w:rFonts w:hint="default"/>
                <w:highlight w:val="none"/>
              </w:rPr>
              <w:t xml:space="preserve"> </w:t>
            </w:r>
            <w:r>
              <w:rPr>
                <w:rFonts w:hint="default"/>
                <w:b/>
                <w:bCs/>
                <w:highlight w:val="none"/>
              </w:rPr>
              <w:t>(P.3)</w:t>
            </w:r>
            <w:r>
              <w:rPr>
                <w:rFonts w:hint="default"/>
                <w:highlight w:val="none"/>
              </w:rPr>
              <w:t>;</w:t>
            </w:r>
          </w:p>
          <w:p>
            <w:pPr>
              <w:numPr>
                <w:ilvl w:val="1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840" w:leftChars="0" w:hanging="420" w:firstLineChars="0"/>
            </w:pPr>
            <w:r>
              <w:rPr>
                <w:rFonts w:hint="default"/>
                <w:highlight w:val="none"/>
              </w:rPr>
              <w:t>Menguasai dasar teknik komputasi dan teknologi informasi dalam</w:t>
            </w:r>
            <w:r>
              <w:rPr>
                <w:rFonts w:hint="default"/>
                <w:highlight w:val="none"/>
              </w:rPr>
              <w:t xml:space="preserve"> </w:t>
            </w:r>
            <w:r>
              <w:rPr>
                <w:rFonts w:hint="default"/>
                <w:highlight w:val="none"/>
              </w:rPr>
              <w:t>bidang sistem tenaga, sistem pengaturan, elektronika,</w:t>
            </w:r>
            <w:r>
              <w:rPr>
                <w:rFonts w:hint="default"/>
                <w:highlight w:val="none"/>
              </w:rPr>
              <w:t xml:space="preserve"> </w:t>
            </w:r>
            <w:r>
              <w:rPr>
                <w:rFonts w:hint="default"/>
                <w:highlight w:val="none"/>
              </w:rPr>
              <w:t>telekomunikasi, dan sistem komputer</w:t>
            </w:r>
            <w:r>
              <w:rPr>
                <w:rFonts w:hint="default"/>
                <w:highlight w:val="none"/>
              </w:rPr>
              <w:t xml:space="preserve"> </w:t>
            </w:r>
            <w:r>
              <w:rPr>
                <w:rFonts w:hint="default"/>
                <w:b/>
                <w:bCs/>
                <w:highlight w:val="none"/>
              </w:rPr>
              <w:t>(P.4)</w:t>
            </w:r>
            <w:r>
              <w:rPr>
                <w:rFonts w:hint="default"/>
                <w:highlight w:val="none"/>
              </w:rPr>
              <w:t>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425" w:hanging="425"/>
            </w:pPr>
            <w:r>
              <w:rPr>
                <w:rFonts w:hint="default"/>
              </w:rPr>
              <w:t>Keterampilan Khusus</w:t>
            </w:r>
          </w:p>
          <w:p>
            <w:pPr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ind w:left="840" w:leftChars="0" w:hanging="420" w:firstLineChars="0"/>
            </w:pPr>
            <w:r>
              <w:rPr>
                <w:rFonts w:hint="default"/>
              </w:rPr>
              <w:t>Kemampuan mendesain sistem untuk memberikan solusi teknik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dalam bidang sistem tenaga, sistem pengaturan, elektronika,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telekomunikasi dan sistem komputer dengan mempertimbangkan</w:t>
            </w:r>
            <w:r>
              <w:rPr>
                <w:rFonts w:hint="default"/>
              </w:rPr>
              <w:t xml:space="preserve"> standar teknis, kesehatan dan keselamatan kerja, kemudahan penerapan, dan aplikasi keberlanjutan </w:t>
            </w:r>
            <w:r>
              <w:rPr>
                <w:rFonts w:hint="default"/>
                <w:b/>
                <w:bCs/>
              </w:rPr>
              <w:t>(KK.2)</w:t>
            </w:r>
            <w:r>
              <w:rPr>
                <w:rFonts w:hint="default"/>
              </w:rPr>
              <w:t>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  <w:jc w:val="center"/>
        </w:trPr>
        <w:tc>
          <w:tcPr>
            <w:tcW w:w="1980" w:type="dxa"/>
            <w:vMerge w:val="continue"/>
            <w:tcBorders>
              <w:right w:val="single" w:color="auto" w:sz="4" w:space="0"/>
            </w:tcBorders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E7E6E6"/>
            <w:noWrap w:val="0"/>
          </w:tcPr>
          <w:p>
            <w:r>
              <w:rPr>
                <w:b/>
              </w:rPr>
              <w:t>CAPAIAN PEMBELAJARAN MATA KULIAH (CPMK)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continue"/>
            <w:tcBorders>
              <w:right w:val="single" w:color="auto" w:sz="4" w:space="0"/>
            </w:tcBorders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nil"/>
              <w:left w:val="single" w:color="auto" w:sz="4" w:space="0"/>
              <w:bottom w:val="single" w:color="000000" w:sz="4" w:space="0"/>
            </w:tcBorders>
            <w:shd w:val="clear" w:color="auto" w:fill="auto"/>
            <w:noWrap w:val="0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Mahasiswa mampu menganalisis forensika suara sesuai dengan standard.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DESKRIPSI SINGKAT MK</w:t>
            </w:r>
          </w:p>
        </w:tc>
        <w:tc>
          <w:tcPr>
            <w:tcW w:w="13183" w:type="dxa"/>
            <w:gridSpan w:val="6"/>
            <w:tcBorders>
              <w:top w:val="single" w:color="000000" w:sz="4" w:space="0"/>
            </w:tcBorders>
            <w:shd w:val="clear" w:color="auto" w:fill="auto"/>
            <w:noWrap w:val="0"/>
          </w:tcPr>
          <w:p>
            <w:pPr>
              <w:jc w:val="both"/>
            </w:pPr>
            <w:r>
              <w:rPr>
                <w:rFonts w:hint="default"/>
              </w:rPr>
              <w:t>Perkembangan teknologi multimedia telah memberikan kemudahan dalam menghasilkan rekaman suara.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Sebagai contoh adalah fitur dan aplikasi pada handphone yang memberikan kemudahan untuk melakukan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berbagai jenis rekaman, baik berupa percakapan telepon ataupun rekaman pribadi lainnya. Kemudahan ini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pada satu sisi akan membantu upaya pengumpulan barang bukti digital. Karena itu tidaklah heran bila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sejumlah kasus yang ditangani oleh penegak hukum saat ini telah mulai melibatkan rekaman sebagai salah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barang bukti penting bagi penyidikan dan pengungkapan kasus. Dalam hal ini, permasalahan umum yang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dihadapi dalam kasus yang melibatkan barang bukti rekaman adalah bagaimana memastikan orisinalitas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dari suara pelaku yang menjadi kunci dalam penyidikan dan pengungkapan kasus. Untuk itu, teknik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forensika suara akan menjadi semakin penting untuk dikuasai. Pada mata kuliah ini akan membahas teori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suara, sejarah forensika suara dan tahapan-tahapan dalam forensika suara, mulai dari authentication,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enhancement, hingga interpretation. Pada akhir perkuliahan, diharapkan mahasiswa mampu melakukan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analisis forensika suara sesuai dengan standard.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  <w:jc w:val="center"/>
        </w:trPr>
        <w:tc>
          <w:tcPr>
            <w:tcW w:w="1980" w:type="dxa"/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BAHAN KAJIAN</w:t>
            </w:r>
          </w:p>
        </w:tc>
        <w:tc>
          <w:tcPr>
            <w:tcW w:w="13183" w:type="dxa"/>
            <w:gridSpan w:val="6"/>
            <w:tcBorders>
              <w:top w:val="single" w:color="000000" w:sz="4" w:space="0"/>
            </w:tcBorders>
            <w:shd w:val="clear" w:color="auto" w:fill="auto"/>
            <w:noWrap w:val="0"/>
          </w:tcPr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Konsep dasar sinyal suara dan sistem</w:t>
            </w:r>
          </w:p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Sejarah forensika suara</w:t>
            </w:r>
          </w:p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Penanganan barang bukti forensik</w:t>
            </w:r>
          </w:p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Authenticity asssessment</w:t>
            </w:r>
          </w:p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Audio signal enhancement</w:t>
            </w:r>
          </w:p>
          <w:p>
            <w:pPr>
              <w:pStyle w:val="18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Forensic interpretation</w:t>
            </w:r>
          </w:p>
          <w:p>
            <w:pPr>
              <w:pStyle w:val="184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restart"/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PUSTAKA</w:t>
            </w:r>
          </w:p>
        </w:tc>
        <w:tc>
          <w:tcPr>
            <w:tcW w:w="13183" w:type="dxa"/>
            <w:gridSpan w:val="6"/>
            <w:tcBorders>
              <w:bottom w:val="single" w:color="000000" w:sz="8" w:space="0"/>
            </w:tcBorders>
            <w:shd w:val="clear" w:color="auto" w:fill="E7E6E6"/>
            <w:noWrap w:val="0"/>
          </w:tcPr>
          <w:p>
            <w:pPr>
              <w:ind w:left="26"/>
              <w:rPr>
                <w:b/>
              </w:rPr>
            </w:pPr>
            <w:r>
              <w:rPr>
                <w:b/>
              </w:rPr>
              <w:t>UTAMA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continue"/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color="FFFFFF" w:sz="4" w:space="0"/>
              <w:bottom w:val="single" w:color="FFFFFF" w:sz="8" w:space="0"/>
            </w:tcBorders>
            <w:shd w:val="clear" w:color="auto" w:fill="auto"/>
            <w:noWrap w:val="0"/>
          </w:tcPr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Maher, R.C., (2018). Principles of Forensic Audio Analysis. New York: Springer.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Wang, D. &amp; Brown, G. J., (2006). Computational Auditory Scene Analysis. New Jersey: John Wiley &amp;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Sons.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continue"/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</w:p>
        </w:tc>
        <w:tc>
          <w:tcPr>
            <w:tcW w:w="13183" w:type="dxa"/>
            <w:gridSpan w:val="6"/>
            <w:tcBorders>
              <w:top w:val="single" w:color="000000" w:sz="8" w:space="0"/>
            </w:tcBorders>
            <w:shd w:val="clear" w:color="auto" w:fill="E7E6E6"/>
            <w:noWrap w:val="0"/>
          </w:tcPr>
          <w:p>
            <w:r>
              <w:rPr>
                <w:b/>
                <w:color w:val="000000"/>
              </w:rPr>
              <w:t>PENDUKUNG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vMerge w:val="continue"/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color="FFFFFF" w:sz="4" w:space="0"/>
            </w:tcBorders>
            <w:shd w:val="clear" w:color="auto" w:fill="auto"/>
            <w:noWrap w:val="0"/>
          </w:tcPr>
          <w:p>
            <w:pPr>
              <w:pStyle w:val="184"/>
              <w:numPr>
                <w:ilvl w:val="3"/>
                <w:numId w:val="5"/>
              </w:numPr>
              <w:tabs>
                <w:tab w:val="left" w:pos="0"/>
              </w:tabs>
              <w:spacing w:line="240" w:lineRule="auto"/>
              <w:ind w:left="416" w:hanging="416"/>
            </w:pPr>
            <w:r>
              <w:rPr>
                <w:rFonts w:hint="default"/>
              </w:rPr>
              <w:t>Al-Azhar, M. N. (2011). Audio Forensic: Theory And Analysis. Jakarta: Pusat Laboratorium Forensik Polri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Bidang Fisika Dan Komputer Forensik.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noWrap w:val="0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MEDIA PEMBELAJARAN</w:t>
            </w:r>
          </w:p>
        </w:tc>
        <w:tc>
          <w:tcPr>
            <w:tcW w:w="13183" w:type="dxa"/>
            <w:gridSpan w:val="6"/>
            <w:tcBorders>
              <w:top w:val="single" w:color="FFFFFF" w:sz="4" w:space="0"/>
            </w:tcBorders>
            <w:shd w:val="clear" w:color="auto" w:fill="auto"/>
            <w:noWrap w:val="0"/>
          </w:tcPr>
          <w:p>
            <w:pPr>
              <w:pStyle w:val="184"/>
              <w:numPr>
                <w:ilvl w:val="6"/>
                <w:numId w:val="5"/>
              </w:numPr>
              <w:tabs>
                <w:tab w:val="left" w:pos="0"/>
              </w:tabs>
              <w:ind w:left="416" w:hanging="416"/>
            </w:pPr>
            <w:r>
              <w:rPr>
                <w:rFonts w:hint="default"/>
              </w:rPr>
              <w:t>Bahan Tayang (Slide Materi, Buku Referensi)</w:t>
            </w:r>
          </w:p>
          <w:p>
            <w:pPr>
              <w:pStyle w:val="184"/>
              <w:numPr>
                <w:ilvl w:val="6"/>
                <w:numId w:val="5"/>
              </w:numPr>
              <w:tabs>
                <w:tab w:val="left" w:pos="0"/>
              </w:tabs>
              <w:ind w:left="416" w:hanging="416"/>
            </w:pPr>
            <w:r>
              <w:rPr>
                <w:rFonts w:hint="default"/>
              </w:rPr>
              <w:t>Python IDE (Spyder, Google Colab)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noWrap w:val="0"/>
          </w:tcPr>
          <w:p>
            <w:pPr>
              <w:rPr>
                <w:b/>
              </w:rPr>
            </w:pPr>
            <w:r>
              <w:rPr>
                <w:b/>
              </w:rPr>
              <w:t>MATA KULIAH PRASYARAT</w:t>
            </w:r>
          </w:p>
        </w:tc>
        <w:tc>
          <w:tcPr>
            <w:tcW w:w="13183" w:type="dxa"/>
            <w:gridSpan w:val="6"/>
            <w:shd w:val="clear" w:color="auto" w:fill="auto"/>
            <w:noWrap w:val="0"/>
          </w:tcPr>
          <w:p>
            <w:pPr>
              <w:numPr>
                <w:ilvl w:val="0"/>
                <w:numId w:val="6"/>
              </w:numPr>
              <w:ind w:left="300" w:leftChars="0" w:hanging="360" w:firstLineChars="0"/>
            </w:pPr>
            <w:r>
              <w:rPr>
                <w:rFonts w:hint="default"/>
              </w:rPr>
              <w:t>TE201416 - Sinyal dan Sistem</w:t>
            </w:r>
            <w:bookmarkStart w:id="0" w:name="_GoBack"/>
            <w:bookmarkEnd w:id="0"/>
          </w:p>
        </w:tc>
      </w:tr>
    </w:tbl>
    <w:p>
      <w:pPr>
        <w:spacing w:after="0" w:line="360" w:lineRule="auto"/>
        <w:rPr>
          <w:rFonts w:ascii="Quattrocento Sans" w:hAnsi="Quattrocento Sans" w:eastAsia="Quattrocento Sans" w:cs="Quattrocento Sans"/>
          <w:b/>
        </w:rPr>
      </w:pPr>
    </w:p>
    <w:p>
      <w:pPr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</w:rPr>
        <w:br w:type="page"/>
      </w:r>
    </w:p>
    <w:p>
      <w:pPr>
        <w:spacing w:after="0" w:line="360" w:lineRule="auto"/>
        <w:ind w:left="90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</w:rPr>
        <w:t>PETA KONSEP</w:t>
      </w:r>
    </w:p>
    <w:p>
      <w:pPr>
        <w:jc w:val="center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</w:rPr>
        <w:drawing>
          <wp:inline distT="0" distB="0" distL="0" distR="0">
            <wp:extent cx="6054090" cy="5309870"/>
            <wp:effectExtent l="0" t="0" r="3810" b="508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Quattrocento Sans" w:hAnsi="Quattrocento Sans" w:eastAsia="Quattrocento Sans" w:cs="Quattrocento Sans"/>
          <w:b/>
        </w:rPr>
        <w:br w:type="page"/>
      </w:r>
    </w:p>
    <w:p>
      <w:pPr>
        <w:spacing w:after="0" w:line="360" w:lineRule="auto"/>
        <w:ind w:left="180" w:hanging="90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</w:rPr>
        <w:t>PETA KOMPETENSI</w:t>
      </w:r>
    </w:p>
    <w:p>
      <w:pPr>
        <w:spacing w:after="0" w:line="360" w:lineRule="auto"/>
        <w:jc w:val="center"/>
        <w:rPr>
          <w:rFonts w:ascii="Quattrocento Sans" w:hAnsi="Quattrocento Sans" w:eastAsia="Quattrocento Sans" w:cs="Quattrocento Sans"/>
          <w:b/>
        </w:rPr>
      </w:pPr>
      <w:r>
        <w:drawing>
          <wp:inline distT="0" distB="0" distL="0" distR="0">
            <wp:extent cx="5341620" cy="532892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59" cy="53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"/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</w:rPr>
        <w:t>RENCANA PEMBELAJARAN SEMESTER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1077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909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Minggu ke-</w:t>
            </w:r>
          </w:p>
        </w:tc>
        <w:tc>
          <w:tcPr>
            <w:tcW w:w="1885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Sub-CPMK (Kemampuan akhir yg direncanakan)</w:t>
            </w:r>
          </w:p>
        </w:tc>
        <w:tc>
          <w:tcPr>
            <w:tcW w:w="1800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Bahan Kajian</w:t>
            </w:r>
          </w:p>
        </w:tc>
        <w:tc>
          <w:tcPr>
            <w:tcW w:w="1887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Bentuk/ Metode Pembelajaran</w:t>
            </w:r>
          </w:p>
        </w:tc>
        <w:tc>
          <w:tcPr>
            <w:tcW w:w="2019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Aktivitas Belajar</w:t>
            </w:r>
          </w:p>
        </w:tc>
        <w:tc>
          <w:tcPr>
            <w:tcW w:w="4777" w:type="dxa"/>
            <w:gridSpan w:val="3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Penilaian</w:t>
            </w:r>
          </w:p>
        </w:tc>
        <w:tc>
          <w:tcPr>
            <w:tcW w:w="1010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Durasi (menit)</w:t>
            </w:r>
          </w:p>
        </w:tc>
        <w:tc>
          <w:tcPr>
            <w:tcW w:w="993" w:type="dxa"/>
            <w:vMerge w:val="restart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Pustaka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909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5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Kriteria</w:t>
            </w:r>
          </w:p>
        </w:tc>
        <w:tc>
          <w:tcPr>
            <w:tcW w:w="1660" w:type="dxa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Indikator</w:t>
            </w:r>
          </w:p>
        </w:tc>
        <w:tc>
          <w:tcPr>
            <w:tcW w:w="1497" w:type="dxa"/>
            <w:shd w:val="clear" w:color="auto" w:fill="D8D8D8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Bobot</w:t>
            </w:r>
          </w:p>
        </w:tc>
        <w:tc>
          <w:tcPr>
            <w:tcW w:w="1010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vMerge w:val="continue"/>
            <w:noWrap w:val="0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909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(1)</w:t>
            </w:r>
          </w:p>
        </w:tc>
        <w:tc>
          <w:tcPr>
            <w:tcW w:w="1885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(2)</w:t>
            </w:r>
          </w:p>
        </w:tc>
        <w:tc>
          <w:tcPr>
            <w:tcW w:w="1800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(4)</w:t>
            </w:r>
          </w:p>
        </w:tc>
        <w:tc>
          <w:tcPr>
            <w:tcW w:w="1887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(5)</w:t>
            </w:r>
          </w:p>
        </w:tc>
        <w:tc>
          <w:tcPr>
            <w:tcW w:w="2019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(6)</w:t>
            </w:r>
          </w:p>
        </w:tc>
        <w:tc>
          <w:tcPr>
            <w:tcW w:w="1620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(7)</w:t>
            </w:r>
          </w:p>
        </w:tc>
        <w:tc>
          <w:tcPr>
            <w:tcW w:w="1660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(8)</w:t>
            </w:r>
          </w:p>
        </w:tc>
        <w:tc>
          <w:tcPr>
            <w:tcW w:w="1497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(9)</w:t>
            </w:r>
          </w:p>
        </w:tc>
        <w:tc>
          <w:tcPr>
            <w:tcW w:w="1010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(10)</w:t>
            </w:r>
          </w:p>
        </w:tc>
        <w:tc>
          <w:tcPr>
            <w:tcW w:w="993" w:type="dxa"/>
            <w:noWrap w:val="0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3063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*Bentuk pembelajaran terdiri dari: kuliah, responsi, tutorial, seminar, praktikum, penelitian, pegabdian masyarakat, dll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br w:type="textWrapping"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**Metode pembelajaran terdiri dari: diskusi kelompok, simulasi, studi kasus, pembelajaran kolaboratif, pembelajaran kooperatif, pembelajaran berbasis proyek, pembelajaran berbasis masalah, dll.</w:t>
            </w: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*Kegiatan yang dilakukan dalam proses penilaian, seperti tugas dan presentasi atau cara-cara lainnya.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*standar keberhasilan mahasiswa dalam sebuah tahapan pembelajaran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*unsur yang menunjukkan kualitas kinerja mahasiswa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*persentase penilaian keberhasilan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*waktu takaran belajar yang dikonversi ke dalam satuan sks 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*buku referensi/ acuan yang digunakan sebagai sumber belajar dalam pebelajaran mata kuliah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2</w:t>
            </w:r>
          </w:p>
        </w:tc>
        <w:tc>
          <w:tcPr>
            <w:tcW w:w="1885" w:type="dxa"/>
            <w:vMerge w:val="restart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>(Contoh)</w:t>
            </w:r>
            <w:r>
              <w:rPr>
                <w:rFonts w:eastAsia="Quattrocento Sans" w:asciiTheme="majorHAnsi" w:hAnsiTheme="majorHAnsi" w:cstheme="majorHAnsi"/>
                <w:bCs/>
              </w:rPr>
              <w:br w:type="textWrapping"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Mahasiswa mampu menentukan sruktur kristal pada material keramik 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Ikatan ionik dan ikatan kovalen</w:t>
            </w:r>
          </w:p>
        </w:tc>
        <w:tc>
          <w:tcPr>
            <w:tcW w:w="1887" w:type="dxa"/>
            <w:vMerge w:val="restart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Kuliah/ studi kasus</w:t>
            </w:r>
          </w:p>
        </w:tc>
        <w:tc>
          <w:tcPr>
            <w:tcW w:w="2019" w:type="dxa"/>
            <w:vMerge w:val="restart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Tugas</w:t>
            </w: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Ketepatan dalam menjawab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Menguraikan perbedaan ikatan ionik dan kovalen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100%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100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[1]</w:t>
            </w:r>
            <w:r>
              <w:rPr>
                <w:rFonts w:eastAsia="Quattrocento Sans" w:asciiTheme="majorHAnsi" w:hAnsiTheme="majorHAnsi" w:cstheme="majorHAnsi"/>
                <w:bCs/>
              </w:rPr>
              <w:br w:type="textWrapping"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>(merujuk pada pustaka nomor 1 pada halaman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3</w:t>
            </w:r>
          </w:p>
        </w:tc>
        <w:tc>
          <w:tcPr>
            <w:tcW w:w="1885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Struktur kristal tipe AX, AmXp, dan AmBnXp berdasarkan </w:t>
            </w:r>
            <w:r>
              <w:rPr>
                <w:rFonts w:eastAsia="Quattrocento Sans" w:asciiTheme="majorHAnsi" w:hAnsiTheme="majorHAnsi" w:cstheme="majorHAnsi"/>
                <w:bCs/>
              </w:rPr>
              <w:br w:type="textWrapping"/>
            </w:r>
            <w:r>
              <w:rPr>
                <w:rFonts w:eastAsia="Quattrocento Sans" w:asciiTheme="majorHAnsi" w:hAnsiTheme="majorHAnsi" w:cstheme="majorHAnsi"/>
                <w:bCs/>
              </w:rPr>
              <w:t>perhitungan 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>c</w:t>
            </w:r>
            <w:r>
              <w:rPr>
                <w:rFonts w:eastAsia="Quattrocento Sans" w:asciiTheme="majorHAnsi" w:hAnsiTheme="majorHAnsi" w:cstheme="majorHAnsi"/>
                <w:bCs/>
              </w:rPr>
              <w:t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>a</w:t>
            </w:r>
          </w:p>
        </w:tc>
        <w:tc>
          <w:tcPr>
            <w:tcW w:w="1887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Menentukan struktur kristal yang tepat sesuai dengan perbandingan 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>c</w:t>
            </w:r>
            <w:r>
              <w:rPr>
                <w:rFonts w:eastAsia="Quattrocento Sans" w:asciiTheme="majorHAnsi" w:hAnsiTheme="majorHAnsi" w:cstheme="majorHAnsi"/>
                <w:bCs/>
              </w:rPr>
              <w:t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>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100%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100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4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Cs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5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6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7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909" w:type="dxa"/>
            <w:shd w:val="clear" w:color="auto" w:fill="D8D8D8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8</w:t>
            </w:r>
          </w:p>
        </w:tc>
        <w:tc>
          <w:tcPr>
            <w:tcW w:w="14388" w:type="dxa"/>
            <w:gridSpan w:val="10"/>
            <w:shd w:val="clear" w:color="auto" w:fill="D8D8D8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UJIAN TENGAH SEMESTER (UTS)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9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10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11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12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13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14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  <w:trHeight w:val="432" w:hRule="atLeast"/>
        </w:trPr>
        <w:tc>
          <w:tcPr>
            <w:tcW w:w="90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15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88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201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66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497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909" w:type="dxa"/>
            <w:shd w:val="clear" w:color="auto" w:fill="D8D8D8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16</w:t>
            </w:r>
          </w:p>
        </w:tc>
        <w:tc>
          <w:tcPr>
            <w:tcW w:w="14388" w:type="dxa"/>
            <w:gridSpan w:val="10"/>
            <w:shd w:val="clear" w:color="auto" w:fill="D8D8D8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>UJIAN AKHIR SEMESTER (UAS)</w:t>
            </w:r>
          </w:p>
        </w:tc>
      </w:tr>
    </w:tbl>
    <w:p>
      <w:pPr>
        <w:spacing w:after="0"/>
        <w:rPr>
          <w:rFonts w:ascii="Quattrocento Sans" w:hAnsi="Quattrocento Sans" w:eastAsia="Quattrocento Sans" w:cs="Quattrocento Sans"/>
          <w:b/>
        </w:rPr>
      </w:pPr>
    </w:p>
    <w:p>
      <w:pPr>
        <w:spacing w:after="0"/>
        <w:rPr>
          <w:rFonts w:ascii="Quattrocento Sans" w:hAnsi="Quattrocento Sans" w:eastAsia="Quattrocento Sans" w:cs="Quattrocento Sans"/>
          <w:b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sz w:val="24"/>
          <w:szCs w:val="24"/>
        </w:rPr>
        <w:t>KOMPOSISI NILAI EVALUASI</w:t>
      </w:r>
    </w:p>
    <w:p>
      <w:pPr>
        <w:numPr>
          <w:ilvl w:val="0"/>
          <w:numId w:val="7"/>
        </w:numPr>
        <w:spacing w:after="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ascii="Quattrocento Sans" w:hAnsi="Quattrocento Sans" w:eastAsia="Quattrocento Sans" w:cs="Quattrocento Sans"/>
          <w:sz w:val="24"/>
          <w:szCs w:val="24"/>
        </w:rPr>
        <w:t>Tugas Besar</w:t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>40%</w:t>
      </w:r>
    </w:p>
    <w:p>
      <w:pPr>
        <w:numPr>
          <w:ilvl w:val="0"/>
          <w:numId w:val="7"/>
        </w:numPr>
        <w:spacing w:after="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ascii="Quattrocento Sans" w:hAnsi="Quattrocento Sans" w:eastAsia="Quattrocento Sans" w:cs="Quattrocento Sans"/>
          <w:sz w:val="24"/>
          <w:szCs w:val="24"/>
        </w:rPr>
        <w:t xml:space="preserve">Quiz </w:t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>10%</w:t>
      </w:r>
    </w:p>
    <w:p>
      <w:pPr>
        <w:numPr>
          <w:ilvl w:val="0"/>
          <w:numId w:val="7"/>
        </w:numPr>
        <w:spacing w:after="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ascii="Quattrocento Sans" w:hAnsi="Quattrocento Sans" w:eastAsia="Quattrocento Sans" w:cs="Quattrocento Sans"/>
          <w:sz w:val="24"/>
          <w:szCs w:val="24"/>
        </w:rPr>
        <w:t>UTS</w:t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>25%</w:t>
      </w:r>
    </w:p>
    <w:p>
      <w:pPr>
        <w:numPr>
          <w:ilvl w:val="0"/>
          <w:numId w:val="7"/>
        </w:numPr>
        <w:spacing w:after="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ascii="Quattrocento Sans" w:hAnsi="Quattrocento Sans" w:eastAsia="Quattrocento Sans" w:cs="Quattrocento Sans"/>
          <w:sz w:val="24"/>
          <w:szCs w:val="24"/>
        </w:rPr>
        <w:t>Tugas Harian 25%</w:t>
      </w:r>
    </w:p>
    <w:p/>
    <w:p>
      <w:pPr>
        <w:rPr>
          <w:rFonts w:ascii="Quattrocento Sans" w:hAnsi="Quattrocento Sans" w:eastAsia="Quattrocento Sans" w:cs="Quattrocento Sans"/>
          <w:b/>
        </w:rPr>
      </w:pPr>
      <w:r>
        <w:rPr>
          <w:rFonts w:ascii="Quattrocento Sans" w:hAnsi="Quattrocento Sans" w:eastAsia="Quattrocento Sans" w:cs="Quattrocento Sans"/>
          <w:b/>
          <w:sz w:val="24"/>
          <w:szCs w:val="24"/>
        </w:rPr>
        <w:t>KONTRAK KULIAH</w:t>
      </w:r>
      <w:r>
        <w:rPr>
          <w:rFonts w:ascii="Quattrocento Sans" w:hAnsi="Quattrocento Sans" w:eastAsia="Quattrocento Sans" w:cs="Quattrocento Sans"/>
          <w:sz w:val="24"/>
          <w:szCs w:val="24"/>
        </w:rPr>
        <w:tab/>
      </w:r>
      <w:r>
        <w:rPr>
          <w:rFonts w:ascii="Quattrocento Sans" w:hAnsi="Quattrocento Sans" w:eastAsia="Quattrocento Sans" w:cs="Quattrocento Sans"/>
          <w:sz w:val="24"/>
          <w:szCs w:val="24"/>
        </w:rPr>
        <w:t xml:space="preserve">: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KETERLAMBATAN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kehadiran dalam kelas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LEBIH DARI 15 MENIT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setelah jam masuk kelas akan diberikan sanksi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TIDAK DIIJINKAN MENGIKUTI PERKULIAHAN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kepada mahasiswa yang bersangkutan.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kehadiran dosen lebih dari 10 menit setelah jam masuk kelas maka kelas pada hari itu ditiadakan namun mahasiswa dianggap hadir.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KECURANGAN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yang meliputi kegiatan plagiat, curang, dan/atau menyontek dalam setiap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(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UJIAN TULIS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) akan diberikan sanksi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NILAI 0 ATAU E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kepada mahasiswa yang bersangkutan.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KETIDAKHADIRAN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pada waktu tugas kelompok (presentasi) akan diberikan sanksi nilai 0 kepada mahasiswa yang bersangkutan.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pengumpulan tugas individu dan tugas kelompok akan diberikan sanksi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PENGURANGAN NILAI EVALUASI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sebesar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(maks 20 poin) kepada mahasiswa atau kelompok tugas mahasiswa yang bersangkutan.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Jika ada laporan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KEKURANG-AKTIFAN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/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KETIDAK-AKTIFAN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satu atau lebih mahasiswa dalam satu kelompok oleh pimpinan kelompok (kepada dosen pengajar) maka akan diberikan sanksi pengurangan nilai tugas kelompok sebesar maksimal 50% kepada mahasiswa yang bersangkutan.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Mahasiswa yang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TIDAK MEMENUHI SYARAT KEHADIRAN 80%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akan mendapat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NILAI E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Mahasiswa yang melakukan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akan diberikan sanksi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TIDAK LULUS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Mahasiswa yang membantu mahasiswa lain untuk melakukan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akan diberikan sanksi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PENGURANGAN 20% SELURUH NILAI EVALUASI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>.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Mahasiswa yang </w:t>
      </w:r>
      <w:r>
        <w:rPr>
          <w:rFonts w:ascii="Quattrocento Sans" w:hAnsi="Quattrocento Sans" w:eastAsia="Quattrocento Sans" w:cs="Quattrocento Sans"/>
          <w:b/>
          <w:color w:val="000000"/>
          <w:sz w:val="24"/>
          <w:szCs w:val="24"/>
        </w:rPr>
        <w:t>TIDAK HADIR</w:t>
      </w:r>
      <w:r>
        <w:rPr>
          <w:rFonts w:ascii="Quattrocento Sans" w:hAnsi="Quattrocento Sans" w:eastAsia="Quattrocento Sans" w:cs="Quattrocento Sans"/>
          <w:color w:val="000000"/>
          <w:sz w:val="24"/>
          <w:szCs w:val="24"/>
        </w:rPr>
        <w:t xml:space="preserve"> pada waktu kuliah maupun presentasi tugas karena alasan yang jelas harus membawa surat keterangan dari instansi yang berwenang. Surat ijin harus diserahkan kepada Tata Usaha paling lambat 1 (satu) minggu sejak ketidakhadiran mahasiswa yang bersangkutan.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88" w:lineRule="auto"/>
        <w:rPr>
          <w:rFonts w:ascii="Quattrocento Sans" w:hAnsi="Quattrocento Sans" w:eastAsia="Quattrocento Sans" w:cs="Quattrocento Sans"/>
          <w:color w:val="000000"/>
          <w:sz w:val="24"/>
          <w:szCs w:val="24"/>
        </w:rPr>
      </w:pPr>
    </w:p>
    <w:sectPr>
      <w:headerReference r:id="rId5" w:type="default"/>
      <w:footerReference r:id="rId6" w:type="default"/>
      <w:type w:val="continuous"/>
      <w:pgSz w:w="16839" w:h="11907" w:orient="landscape"/>
      <w:pgMar w:top="1616" w:right="720" w:bottom="720" w:left="720" w:header="14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eastAsia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Quattrocento Sans" w:hAnsi="Quattrocento Sans" w:eastAsia="Quattrocento Sans" w:cs="Quattrocento Sans"/>
        <w:color w:val="000000"/>
        <w:sz w:val="24"/>
        <w:szCs w:val="24"/>
      </w:rPr>
    </w:pPr>
  </w:p>
  <w:tbl>
    <w:tblPr>
      <w:tblStyle w:val="181"/>
      <w:tblW w:w="15120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880"/>
      <w:gridCol w:w="8550"/>
      <w:gridCol w:w="1874"/>
      <w:gridCol w:w="286"/>
      <w:gridCol w:w="153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0" w:hRule="atLeast"/>
        <w:jc w:val="center"/>
      </w:trPr>
      <w:tc>
        <w:tcPr>
          <w:tcW w:w="2880" w:type="dxa"/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ind w:left="-291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drawing>
              <wp:inline distT="0" distB="0" distL="0" distR="0">
                <wp:extent cx="1167130" cy="756285"/>
                <wp:effectExtent l="0" t="0" r="0" b="5715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53" cy="765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RENCANA PEMBELAJARAN SEMESTER</w:t>
          </w:r>
        </w:p>
        <w:p>
          <w:pPr>
            <w:spacing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</w:t>
          </w:r>
          <w:r>
            <w:rPr>
              <w:rFonts w:hint="default"/>
              <w:b/>
              <w:sz w:val="24"/>
              <w:szCs w:val="24"/>
            </w:rPr>
            <w:t xml:space="preserve"> FORENSIKA SUARA</w:t>
          </w:r>
        </w:p>
        <w:p>
          <w:pPr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</w:rPr>
            <w:t>Tahun Ajaran 2020 - 2025</w:t>
          </w:r>
        </w:p>
      </w:tc>
      <w:tc>
        <w:tcPr>
          <w:tcW w:w="1874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No. Dok.</w:t>
          </w:r>
        </w:p>
      </w:tc>
      <w:tc>
        <w:tcPr>
          <w:tcW w:w="286" w:type="dxa"/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ind w:right="-60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60" w:hRule="atLeast"/>
        <w:jc w:val="center"/>
      </w:trPr>
      <w:tc>
        <w:tcPr>
          <w:tcW w:w="288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Tgl. Terbit</w:t>
          </w:r>
        </w:p>
      </w:tc>
      <w:tc>
        <w:tcPr>
          <w:tcW w:w="286" w:type="dxa"/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…./08/2017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0" w:hRule="atLeast"/>
        <w:jc w:val="center"/>
      </w:trPr>
      <w:tc>
        <w:tcPr>
          <w:tcW w:w="288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ind w:left="175" w:hanging="17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Revisi </w:t>
          </w:r>
        </w:p>
      </w:tc>
      <w:tc>
        <w:tcPr>
          <w:tcW w:w="286" w:type="dxa"/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20" w:hRule="atLeast"/>
        <w:jc w:val="center"/>
      </w:trPr>
      <w:tc>
        <w:tcPr>
          <w:tcW w:w="288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286" w:type="dxa"/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noWrap w:val="0"/>
          <w:vAlign w:val="center"/>
        </w:tcPr>
        <w:p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E7304"/>
    <w:multiLevelType w:val="singleLevel"/>
    <w:tmpl w:val="B6DE73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5C749B"/>
    <w:multiLevelType w:val="singleLevel"/>
    <w:tmpl w:val="BF5C74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3FE4CF7"/>
    <w:multiLevelType w:val="singleLevel"/>
    <w:tmpl w:val="F3FE4CF7"/>
    <w:lvl w:ilvl="0" w:tentative="0">
      <w:start w:val="1"/>
      <w:numFmt w:val="decimal"/>
      <w:lvlText w:val="%1."/>
      <w:lvlJc w:val="left"/>
      <w:pPr>
        <w:tabs>
          <w:tab w:val="left" w:pos="5"/>
        </w:tabs>
        <w:ind w:left="5" w:leftChars="0" w:hanging="425" w:firstLineChars="0"/>
      </w:pPr>
      <w:rPr>
        <w:rFonts w:hint="default"/>
      </w:rPr>
    </w:lvl>
  </w:abstractNum>
  <w:abstractNum w:abstractNumId="3">
    <w:nsid w:val="F5EFE122"/>
    <w:multiLevelType w:val="multilevel"/>
    <w:tmpl w:val="F5EFE1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FDBE181B"/>
    <w:multiLevelType w:val="multilevel"/>
    <w:tmpl w:val="FDBE18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FDFA9515"/>
    <w:multiLevelType w:val="multilevel"/>
    <w:tmpl w:val="FDFA95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FF7FB953"/>
    <w:multiLevelType w:val="multilevel"/>
    <w:tmpl w:val="FF7FB9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81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FE9EE"/>
    <w:multiLevelType w:val="multilevel"/>
    <w:tmpl w:val="76DFE9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DFA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hint="default"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40" w:after="0"/>
      <w:outlineLvl w:val="3"/>
    </w:pPr>
    <w:rPr>
      <w:rFonts w:ascii="Cambria" w:hAnsi="Cambria" w:eastAsia="Cambria" w:cs="Cambria"/>
      <w:i/>
      <w:color w:val="366091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7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6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pPr>
      <w:spacing w:before="0" w:after="0" w:line="240" w:lineRule="auto"/>
    </w:pPr>
    <w:rPr>
      <w:rFonts w:hint="default" w:ascii="Calibri" w:hAnsi="Calibri" w:eastAsia="Calibri" w:cs="Calibri"/>
    </w:rPr>
  </w:style>
  <w:style w:type="character" w:customStyle="1" w:styleId="44">
    <w:name w:val="Title Char"/>
    <w:basedOn w:val="11"/>
    <w:qFormat/>
    <w:uiPriority w:val="10"/>
    <w:rPr>
      <w:sz w:val="48"/>
      <w:szCs w:val="48"/>
    </w:rPr>
  </w:style>
  <w:style w:type="character" w:customStyle="1" w:styleId="45">
    <w:name w:val="Subtitle Char"/>
    <w:basedOn w:val="11"/>
    <w:qFormat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qFormat/>
    <w:uiPriority w:val="30"/>
    <w:rPr>
      <w:i/>
    </w:rPr>
  </w:style>
  <w:style w:type="character" w:customStyle="1" w:styleId="50">
    <w:name w:val="Caption Char"/>
    <w:qFormat/>
    <w:uiPriority w:val="99"/>
  </w:style>
  <w:style w:type="table" w:customStyle="1" w:styleId="51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3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4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5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6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7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8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9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0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1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2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3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4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5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66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67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68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69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0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1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2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3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4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5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6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7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8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9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0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1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2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3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4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5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6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87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88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89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0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1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92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3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5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6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7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98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99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2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3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4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6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07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08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09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0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1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12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13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4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15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16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17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18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19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0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1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2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3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4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5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6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7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8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9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0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1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32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33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34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5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36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37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38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39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0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1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2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3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4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5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49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0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1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6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57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58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59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0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1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2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3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4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5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6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7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8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9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0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1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2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3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4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5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6">
    <w:name w:val="Footnote Text Char"/>
    <w:link w:val="18"/>
    <w:uiPriority w:val="99"/>
    <w:rPr>
      <w:sz w:val="18"/>
    </w:rPr>
  </w:style>
  <w:style w:type="character" w:customStyle="1" w:styleId="177">
    <w:name w:val="Endnote Text Char"/>
    <w:link w:val="15"/>
    <w:uiPriority w:val="99"/>
    <w:rPr>
      <w:sz w:val="20"/>
    </w:rPr>
  </w:style>
  <w:style w:type="paragraph" w:customStyle="1" w:styleId="178">
    <w:name w:val="TOC Heading"/>
    <w:unhideWhenUsed/>
    <w:uiPriority w:val="39"/>
    <w:rPr>
      <w:rFonts w:hint="default" w:ascii="Calibri" w:hAnsi="Calibri" w:eastAsia="Calibri" w:cs="Calibri"/>
    </w:rPr>
  </w:style>
  <w:style w:type="table" w:customStyle="1" w:styleId="179">
    <w:name w:val="_Style 11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180">
    <w:name w:val="_Style 12"/>
    <w:basedOn w:val="12"/>
    <w:qFormat/>
    <w:uiPriority w:val="0"/>
    <w:pPr>
      <w:spacing w:after="0" w:line="240" w:lineRule="auto"/>
    </w:pPr>
  </w:style>
  <w:style w:type="table" w:customStyle="1" w:styleId="181">
    <w:name w:val="_Style 13"/>
    <w:basedOn w:val="12"/>
    <w:uiPriority w:val="0"/>
    <w:tblPr>
      <w:tblCellMar>
        <w:left w:w="115" w:type="dxa"/>
        <w:right w:w="115" w:type="dxa"/>
      </w:tblCellMar>
    </w:tblPr>
  </w:style>
  <w:style w:type="character" w:customStyle="1" w:styleId="182">
    <w:name w:val="Header Char"/>
    <w:basedOn w:val="11"/>
    <w:link w:val="19"/>
    <w:uiPriority w:val="99"/>
  </w:style>
  <w:style w:type="character" w:customStyle="1" w:styleId="183">
    <w:name w:val="Footer Char"/>
    <w:basedOn w:val="11"/>
    <w:link w:val="16"/>
    <w:uiPriority w:val="99"/>
  </w:style>
  <w:style w:type="paragraph" w:styleId="18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2020-03-10T19:01:00Z</dcterms:created>
  <dc:creator>GUSTI UNT</dc:creator>
  <cp:lastModifiedBy>fafa</cp:lastModifiedBy>
  <dcterms:modified xsi:type="dcterms:W3CDTF">2021-09-13T09:03:59Z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