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19.0" w:type="dxa"/>
        <w:jc w:val="left"/>
        <w:tblInd w:w="-185.0" w:type="dxa"/>
        <w:tblLayout w:type="fixed"/>
        <w:tblLook w:val="0400"/>
      </w:tblPr>
      <w:tblGrid>
        <w:gridCol w:w="2875"/>
        <w:gridCol w:w="1355"/>
        <w:gridCol w:w="5489"/>
        <w:tblGridChange w:id="0">
          <w:tblGrid>
            <w:gridCol w:w="2875"/>
            <w:gridCol w:w="1355"/>
            <w:gridCol w:w="5489"/>
          </w:tblGrid>
        </w:tblGridChange>
      </w:tblGrid>
      <w:tr>
        <w:tc>
          <w:tcPr>
            <w:gridSpan w:val="2"/>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2">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MATA KULIAH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4">
            <w:pPr>
              <w:pStyle w:val="Heading1"/>
              <w:ind w:left="720" w:hanging="360"/>
              <w:jc w:val="both"/>
              <w:rPr>
                <w:sz w:val="22"/>
                <w:szCs w:val="22"/>
              </w:rPr>
            </w:pPr>
            <w:r w:rsidDel="00000000" w:rsidR="00000000" w:rsidRPr="00000000">
              <w:rPr>
                <w:color w:val="000000"/>
                <w:sz w:val="22"/>
                <w:szCs w:val="22"/>
                <w:rtl w:val="0"/>
              </w:rPr>
              <w:t xml:space="preserve">TE20158</w:t>
            </w:r>
            <w:r w:rsidDel="00000000" w:rsidR="00000000" w:rsidRPr="00000000">
              <w:rPr>
                <w:sz w:val="22"/>
                <w:szCs w:val="22"/>
                <w:rtl w:val="0"/>
              </w:rPr>
              <w:t xml:space="preserve">2</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FORENSIKA SUARA</w:t>
            </w:r>
            <w:r w:rsidDel="00000000" w:rsidR="00000000" w:rsidRPr="00000000">
              <w:rPr>
                <w:rtl w:val="0"/>
              </w:rPr>
            </w:r>
          </w:p>
        </w:tc>
      </w:tr>
      <w:tr>
        <w:tc>
          <w:tcPr>
            <w:gridSpan w:val="2"/>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spacing w:after="200" w:before="0" w:lineRule="auto"/>
              <w:ind w:left="340" w:firstLine="0"/>
              <w:jc w:val="both"/>
              <w:rPr>
                <w:sz w:val="22"/>
                <w:szCs w:val="22"/>
              </w:rPr>
            </w:pPr>
            <w:r w:rsidDel="00000000" w:rsidR="00000000" w:rsidRPr="00000000">
              <w:rPr>
                <w:sz w:val="22"/>
                <w:szCs w:val="22"/>
                <w:rtl w:val="0"/>
              </w:rPr>
              <w:t xml:space="preserve">PILIHAN / 2 SKS</w:t>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08">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Deskripsi Mata Kuliah</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spacing w:after="200" w:before="0" w:lineRule="auto"/>
              <w:jc w:val="both"/>
              <w:rPr>
                <w:rFonts w:ascii="Calibri" w:cs="Calibri" w:eastAsia="Calibri" w:hAnsi="Calibri"/>
                <w:sz w:val="22"/>
                <w:szCs w:val="22"/>
              </w:rPr>
            </w:pPr>
            <w:r w:rsidDel="00000000" w:rsidR="00000000" w:rsidRPr="00000000">
              <w:rPr>
                <w:sz w:val="22"/>
                <w:szCs w:val="22"/>
                <w:rtl w:val="0"/>
              </w:rPr>
              <w:t xml:space="preserve">Perkembangan teknologi multimedia telah memberikan kemudahan dalam menghasilkan rekaman suara. Sebagai contoh adalah fitur dan aplikasi pada </w:t>
            </w:r>
            <w:r w:rsidDel="00000000" w:rsidR="00000000" w:rsidRPr="00000000">
              <w:rPr>
                <w:i w:val="1"/>
                <w:sz w:val="22"/>
                <w:szCs w:val="22"/>
                <w:rtl w:val="0"/>
              </w:rPr>
              <w:t xml:space="preserve">handphone</w:t>
            </w:r>
            <w:r w:rsidDel="00000000" w:rsidR="00000000" w:rsidRPr="00000000">
              <w:rPr>
                <w:sz w:val="22"/>
                <w:szCs w:val="22"/>
                <w:rtl w:val="0"/>
              </w:rPr>
              <w:t xml:space="preserve"> yang memberikan kemudahan untuk melakukan berbagai jenis rekaman, baik berupa percakapan telepon ataupun rekaman pribadi lainnya. Kemudahan ini pada satu sisi akan membantu upaya pengumpulan barang bukti digital. Karena itu tidaklah heran bila sejumlah kasus yang ditangani oleh penegak hukum saat ini telah mulai melibatkan rekaman sebagai salah barang bukti penting bagi penyidikan dan pengungkapan kasus. Dalam hal ini, permasalahan umum yang dihadapi dalam kasus yang melibatkan barang bukti rekaman adalah bagaimana memastikan orisinalitas dari suara pelaku yang menjadi kunci dalam penyidikan dan pengungkapan kasus. Untuk itu, teknik forensika </w:t>
            </w:r>
            <w:r w:rsidDel="00000000" w:rsidR="00000000" w:rsidRPr="00000000">
              <w:rPr>
                <w:color w:val="000000"/>
                <w:sz w:val="22"/>
                <w:szCs w:val="22"/>
                <w:rtl w:val="0"/>
              </w:rPr>
              <w:t xml:space="preserve">suara</w:t>
            </w:r>
            <w:r w:rsidDel="00000000" w:rsidR="00000000" w:rsidRPr="00000000">
              <w:rPr>
                <w:sz w:val="22"/>
                <w:szCs w:val="22"/>
                <w:rtl w:val="0"/>
              </w:rPr>
              <w:t xml:space="preserve"> akan menjadi semakin penting untuk dikuasai. Pada mata kuliah ini akan membahas teori suara, sejarah forensika suara dan tahapan-tahapan dalam forensika suara, mulai dari </w:t>
            </w:r>
            <w:r w:rsidDel="00000000" w:rsidR="00000000" w:rsidRPr="00000000">
              <w:rPr>
                <w:i w:val="1"/>
                <w:sz w:val="22"/>
                <w:szCs w:val="22"/>
                <w:rtl w:val="0"/>
              </w:rPr>
              <w:t xml:space="preserve">authentication, enhancement, </w:t>
            </w:r>
            <w:r w:rsidDel="00000000" w:rsidR="00000000" w:rsidRPr="00000000">
              <w:rPr>
                <w:i w:val="0"/>
                <w:sz w:val="22"/>
                <w:szCs w:val="22"/>
                <w:rtl w:val="0"/>
              </w:rPr>
              <w:t xml:space="preserve">hingga </w:t>
            </w:r>
            <w:r w:rsidDel="00000000" w:rsidR="00000000" w:rsidRPr="00000000">
              <w:rPr>
                <w:i w:val="1"/>
                <w:sz w:val="22"/>
                <w:szCs w:val="22"/>
                <w:rtl w:val="0"/>
              </w:rPr>
              <w:t xml:space="preserve">interpretation</w:t>
            </w:r>
            <w:r w:rsidDel="00000000" w:rsidR="00000000" w:rsidRPr="00000000">
              <w:rPr>
                <w:i w:val="0"/>
                <w:sz w:val="22"/>
                <w:szCs w:val="22"/>
                <w:rtl w:val="0"/>
              </w:rPr>
              <w:t xml:space="preserve">. Pada akhir perkuliahan, diharapkan mahasiswa mampu melakukan analisis </w:t>
            </w:r>
            <w:r w:rsidDel="00000000" w:rsidR="00000000" w:rsidRPr="00000000">
              <w:rPr>
                <w:i w:val="0"/>
                <w:color w:val="000000"/>
                <w:sz w:val="22"/>
                <w:szCs w:val="22"/>
                <w:rtl w:val="0"/>
              </w:rPr>
              <w:t xml:space="preserve">forensika suara sesuai dengan standard.</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0E">
            <w:pPr>
              <w:spacing w:after="200" w:before="0" w:lineRule="auto"/>
              <w:jc w:val="both"/>
              <w:rPr>
                <w:rFonts w:ascii="Calibri" w:cs="Calibri" w:eastAsia="Calibri" w:hAnsi="Calibri"/>
                <w:b w:val="1"/>
                <w:color w:val="000000"/>
                <w:sz w:val="22"/>
                <w:szCs w:val="22"/>
              </w:rPr>
            </w:pPr>
            <w:r w:rsidDel="00000000" w:rsidR="00000000" w:rsidRPr="00000000">
              <w:rPr>
                <w:b w:val="1"/>
                <w:color w:val="000000"/>
                <w:sz w:val="22"/>
                <w:szCs w:val="22"/>
                <w:rtl w:val="0"/>
              </w:rPr>
              <w:t xml:space="preserve">Capaian Pembelajaran Lulusan (CPL) yang dibebankan pada mata kuliah</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Sikap</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sz w:val="22"/>
                <w:szCs w:val="22"/>
                <w:rtl w:val="0"/>
              </w:rPr>
              <w:t xml:space="preserve">S.8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Menginternalisasi nilai, norma, dan etika akademik;</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Menunjukkan sikap bertanggungjawab atas pekerjaan di bidang keahliannya secara mandiri.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Keterampilan Umum</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sz w:val="22"/>
                <w:szCs w:val="22"/>
                <w:rtl w:val="0"/>
              </w:rPr>
              <w:t xml:space="preserve">KU.1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menerapkan pemikiran logis, kritis, sistematis, dan inovatif dalam konteks pengembangan atau implementasi ilmu pengetahuan dan teknologi yang memperhatikan dan menerapkan nilai humaniora yang sesuai dengan bidang keahliannya;</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sz w:val="22"/>
                <w:szCs w:val="22"/>
                <w:rtl w:val="0"/>
              </w:rPr>
              <w:t xml:space="preserve">KU.2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menunjukkan kinerja mandiri, bermutu, dan terukur</w:t>
            </w:r>
            <w:r w:rsidDel="00000000" w:rsidR="00000000" w:rsidRPr="00000000">
              <w:rPr>
                <w:sz w:val="22"/>
                <w:szCs w:val="22"/>
                <w:rtl w:val="0"/>
              </w:rPr>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Pengetahuan</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rPr>
                <w:sz w:val="22"/>
                <w:szCs w:val="22"/>
              </w:rPr>
            </w:pPr>
            <w:r w:rsidDel="00000000" w:rsidR="00000000" w:rsidRPr="00000000">
              <w:rPr>
                <w:sz w:val="22"/>
                <w:szCs w:val="22"/>
                <w:rtl w:val="0"/>
              </w:rPr>
              <w:t xml:space="preserve">P.3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Menguasai konsep dasar sistem tenaga, sistem pengaturan, elektronika, telekomunikasi dan sistem komputer;</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Menguasai dasar teknik komputasi dan teknologi informasi dalam bidang sistem tenaga, sistem pengaturan, elektronika, telekomunikasi, dan sistem komputer.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both"/>
              <w:rPr>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Keterampilan Khusus</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540" w:right="0" w:hanging="5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KK.2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Kemampuan mendesain sistem untuk memberikan solusi teknik dalam bidang sistem tenaga, sistem pengaturan, elektronika, telekomunikasi dan sistem komputer dengan mempertimbangkan standar teknis, kesehatan dan keselamatan kerja, kemudahan penerapan, dan aplikasi keberlanjutan.</w:t>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23">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Capaian Pembelajaran Mata Kuliah (CPMK)</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Mahasiswa mampu menganalisis forensika suara sesuai dengan standard.</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29">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Bahan Kajian</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Konsep dasar sinyal suara dan sistem</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Sejarah forensika suara</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Penanganan barang bukti forensik</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Authenticity asssessment</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Audio signal enhancement</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Forensic interpretation</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34">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Mata Kuliah Prasyarat</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shd w:fill="auto" w:val="clear"/>
                <w:vertAlign w:val="baseline"/>
              </w:rPr>
            </w:pPr>
            <w:r w:rsidDel="00000000" w:rsidR="00000000" w:rsidRPr="00000000">
              <w:rPr>
                <w:sz w:val="22"/>
                <w:szCs w:val="22"/>
                <w:rtl w:val="0"/>
              </w:rPr>
              <w:t xml:space="preserve">TE201416 - Sinyal dan Sistem</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3A">
            <w:pPr>
              <w:spacing w:after="200" w:before="0" w:lineRule="auto"/>
              <w:jc w:val="both"/>
              <w:rPr>
                <w:rFonts w:ascii="Calibri" w:cs="Calibri" w:eastAsia="Calibri" w:hAnsi="Calibri"/>
                <w:b w:val="1"/>
                <w:sz w:val="22"/>
                <w:szCs w:val="22"/>
              </w:rPr>
            </w:pPr>
            <w:r w:rsidDel="00000000" w:rsidR="00000000" w:rsidRPr="00000000">
              <w:rPr>
                <w:b w:val="1"/>
                <w:sz w:val="22"/>
                <w:szCs w:val="22"/>
                <w:rtl w:val="0"/>
              </w:rPr>
              <w:t xml:space="preserve">Pustaka Utama</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Maher, R.C., (2018). Principles of Forensic Audio Analysis. New York: Springer.</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Wang, D. &amp; Brown, G. J., (2006). Computational Auditory Scene Analysis. New Jersey: John Wiley &amp; Sons.</w:t>
            </w:r>
          </w:p>
        </w:tc>
      </w:tr>
      <w:tr>
        <w:tc>
          <w:tcPr>
            <w:gridSpan w:val="3"/>
            <w:tcBorders>
              <w:top w:color="000000" w:space="0" w:sz="4" w:val="single"/>
              <w:left w:color="000000" w:space="0" w:sz="4" w:val="single"/>
              <w:bottom w:color="000000" w:space="0" w:sz="4" w:val="single"/>
              <w:right w:color="000000" w:space="0" w:sz="4" w:val="single"/>
            </w:tcBorders>
            <w:shd w:fill="b7dde8" w:val="clear"/>
          </w:tcPr>
          <w:p w:rsidR="00000000" w:rsidDel="00000000" w:rsidP="00000000" w:rsidRDefault="00000000" w:rsidRPr="00000000" w14:paraId="00000041">
            <w:pPr>
              <w:spacing w:after="200" w:before="0" w:lineRule="auto"/>
              <w:rPr>
                <w:rFonts w:ascii="Calibri" w:cs="Calibri" w:eastAsia="Calibri" w:hAnsi="Calibri"/>
                <w:color w:val="000000"/>
                <w:sz w:val="22"/>
                <w:szCs w:val="22"/>
              </w:rPr>
            </w:pPr>
            <w:r w:rsidDel="00000000" w:rsidR="00000000" w:rsidRPr="00000000">
              <w:rPr>
                <w:b w:val="1"/>
                <w:sz w:val="22"/>
                <w:szCs w:val="22"/>
                <w:rtl w:val="0"/>
              </w:rPr>
              <w:t xml:space="preserve">Pustaka Pendukung</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Al-Azhar, M. N. (2011). Audio Forensic: Theory And Analysis. Jakarta: Pusat Laboratorium Forensik Polri Bidang Fisika Dan Komputer Forensik.</w:t>
            </w:r>
          </w:p>
        </w:tc>
      </w:tr>
    </w:tbl>
    <w:p w:rsidR="00000000" w:rsidDel="00000000" w:rsidP="00000000" w:rsidRDefault="00000000" w:rsidRPr="00000000" w14:paraId="00000047">
      <w:pPr>
        <w:spacing w:after="0"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spacing w:after="200" w:before="0" w:lineRule="auto"/>
        <w:rPr>
          <w:rFonts w:ascii="Calibri" w:cs="Calibri" w:eastAsia="Calibri" w:hAnsi="Calibri"/>
          <w:sz w:val="22"/>
          <w:szCs w:val="22"/>
        </w:rPr>
      </w:pPr>
      <w:r w:rsidDel="00000000" w:rsidR="00000000" w:rsidRPr="00000000">
        <w:rPr>
          <w:rtl w:val="0"/>
        </w:rPr>
      </w:r>
    </w:p>
    <w:sectPr>
      <w:headerReference r:id="rId7" w:type="default"/>
      <w:pgSz w:h="15840" w:w="12240"/>
      <w:pgMar w:bottom="1440" w:top="1440" w:left="1440" w:right="1440" w:header="720" w:foot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widowControl w:val="0"/>
      <w:spacing w:after="0" w:before="0" w:lineRule="auto"/>
      <w:rPr>
        <w:color w:val="000000"/>
      </w:rPr>
    </w:pPr>
    <w:r w:rsidDel="00000000" w:rsidR="00000000" w:rsidRPr="00000000">
      <w:rPr>
        <w:rtl w:val="0"/>
      </w:rPr>
    </w:r>
  </w:p>
  <w:tbl>
    <w:tblPr>
      <w:tblStyle w:val="Table2"/>
      <w:tblW w:w="9715.0" w:type="dxa"/>
      <w:jc w:val="center"/>
      <w:tblLayout w:type="fixed"/>
      <w:tblLook w:val="0000"/>
    </w:tblPr>
    <w:tblGrid>
      <w:gridCol w:w="2172"/>
      <w:gridCol w:w="4303"/>
      <w:gridCol w:w="1167"/>
      <w:gridCol w:w="548"/>
      <w:gridCol w:w="1525"/>
      <w:tblGridChange w:id="0">
        <w:tblGrid>
          <w:gridCol w:w="2172"/>
          <w:gridCol w:w="4303"/>
          <w:gridCol w:w="1167"/>
          <w:gridCol w:w="548"/>
          <w:gridCol w:w="1525"/>
        </w:tblGrid>
      </w:tblGridChange>
    </w:tblGrid>
    <w:tr>
      <w:trPr>
        <w:trHeight w:val="2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before="0" w:line="240" w:lineRule="auto"/>
            <w:ind w:left="-120" w:firstLine="0"/>
            <w:jc w:val="center"/>
            <w:rPr>
              <w:b w:val="1"/>
            </w:rPr>
          </w:pPr>
          <w:r w:rsidDel="00000000" w:rsidR="00000000" w:rsidRPr="00000000">
            <w:rPr/>
            <w:drawing>
              <wp:inline distB="0" distT="0" distL="0" distR="0">
                <wp:extent cx="832485" cy="5397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2485" cy="539750"/>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before="0" w:line="240" w:lineRule="auto"/>
            <w:jc w:val="center"/>
            <w:rPr>
              <w:sz w:val="24"/>
              <w:szCs w:val="24"/>
            </w:rPr>
          </w:pPr>
          <w:r w:rsidDel="00000000" w:rsidR="00000000" w:rsidRPr="00000000">
            <w:rPr>
              <w:b w:val="1"/>
              <w:sz w:val="32"/>
              <w:szCs w:val="32"/>
              <w:rtl w:val="0"/>
            </w:rPr>
            <w:t xml:space="preserve">SILABUS</w:t>
          </w:r>
          <w:r w:rsidDel="00000000" w:rsidR="00000000" w:rsidRPr="00000000">
            <w:rPr>
              <w:rtl w:val="0"/>
            </w:rPr>
          </w:r>
        </w:p>
        <w:p w:rsidR="00000000" w:rsidDel="00000000" w:rsidP="00000000" w:rsidRDefault="00000000" w:rsidRPr="00000000" w14:paraId="0000004C">
          <w:pPr>
            <w:spacing w:after="0" w:before="0" w:line="240" w:lineRule="auto"/>
            <w:jc w:val="center"/>
            <w:rPr/>
          </w:pPr>
          <w:r w:rsidDel="00000000" w:rsidR="00000000" w:rsidRPr="00000000">
            <w:rPr>
              <w:b w:val="1"/>
              <w:sz w:val="24"/>
              <w:szCs w:val="24"/>
              <w:rtl w:val="0"/>
            </w:rPr>
            <w:t xml:space="preserve">PROGRAM STUDI  TEKNIK ELEKTRO</w:t>
          </w:r>
          <w:r w:rsidDel="00000000" w:rsidR="00000000" w:rsidRPr="00000000">
            <w:rPr>
              <w:rtl w:val="0"/>
            </w:rPr>
          </w:r>
        </w:p>
        <w:p w:rsidR="00000000" w:rsidDel="00000000" w:rsidP="00000000" w:rsidRDefault="00000000" w:rsidRPr="00000000" w14:paraId="0000004D">
          <w:pPr>
            <w:spacing w:after="0" w:before="0" w:line="240" w:lineRule="auto"/>
            <w:jc w:val="center"/>
            <w:rPr>
              <w:b w:val="1"/>
            </w:rPr>
          </w:pPr>
          <w:r w:rsidDel="00000000" w:rsidR="00000000" w:rsidRPr="00000000">
            <w:rPr>
              <w:b w:val="1"/>
              <w:rtl w:val="0"/>
            </w:rPr>
            <w:t xml:space="preserve">Tahun ajaran 2020 - 2025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4E">
          <w:pPr>
            <w:spacing w:after="0" w:before="0" w:line="240" w:lineRule="auto"/>
            <w:rPr/>
          </w:pPr>
          <w:r w:rsidDel="00000000" w:rsidR="00000000" w:rsidRPr="00000000">
            <w:rPr>
              <w:rtl w:val="0"/>
            </w:rPr>
            <w:t xml:space="preserve">No. Dok.</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4F">
          <w:pPr>
            <w:spacing w:after="0" w:before="0" w:line="240" w:lineRule="auto"/>
            <w:rPr/>
          </w:pPr>
          <w:r w:rsidDel="00000000" w:rsidR="00000000" w:rsidRPr="00000000">
            <w:rPr>
              <w:rtl w:val="0"/>
            </w:rPr>
            <w:t xml:space="preserve">:</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before="0" w:line="240" w:lineRule="auto"/>
            <w:ind w:right="-60" w:firstLine="0"/>
            <w:rPr>
              <w:highlight w:val="red"/>
            </w:rPr>
          </w:pPr>
          <w:r w:rsidDel="00000000" w:rsidR="00000000" w:rsidRPr="00000000">
            <w:rPr>
              <w:rtl w:val="0"/>
            </w:rPr>
          </w:r>
        </w:p>
      </w:tc>
    </w:tr>
    <w:tr>
      <w:trPr>
        <w:trHeight w:val="2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3">
          <w:pPr>
            <w:spacing w:after="0" w:before="0" w:line="240" w:lineRule="auto"/>
            <w:rPr/>
          </w:pPr>
          <w:r w:rsidDel="00000000" w:rsidR="00000000" w:rsidRPr="00000000">
            <w:rPr>
              <w:rtl w:val="0"/>
            </w:rPr>
            <w:t xml:space="preserve">Tgl. Terbit</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54">
          <w:pPr>
            <w:spacing w:after="0" w:before="0" w:line="240" w:lineRule="auto"/>
            <w:rPr/>
          </w:pPr>
          <w:r w:rsidDel="00000000" w:rsidR="00000000" w:rsidRPr="00000000">
            <w:rPr>
              <w:rtl w:val="0"/>
            </w:rPr>
            <w:t xml:space="preserve">: </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before="0" w:line="240" w:lineRule="auto"/>
            <w:rPr/>
          </w:pPr>
          <w:r w:rsidDel="00000000" w:rsidR="00000000" w:rsidRPr="00000000">
            <w:rPr>
              <w:rtl w:val="0"/>
            </w:rPr>
            <w:t xml:space="preserve">dd/mm/yyyy</w:t>
          </w:r>
        </w:p>
      </w:tc>
    </w:tr>
    <w:tr>
      <w:trPr>
        <w:trHeight w:val="2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8">
          <w:pPr>
            <w:spacing w:after="0" w:before="0" w:line="240" w:lineRule="auto"/>
            <w:ind w:left="175" w:hanging="175"/>
            <w:rPr/>
          </w:pPr>
          <w:r w:rsidDel="00000000" w:rsidR="00000000" w:rsidRPr="00000000">
            <w:rPr>
              <w:rtl w:val="0"/>
            </w:rPr>
            <w:t xml:space="preserve">No. Revisi </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59">
          <w:pPr>
            <w:spacing w:after="0" w:before="0" w:line="240" w:lineRule="auto"/>
            <w:rPr/>
          </w:pPr>
          <w:r w:rsidDel="00000000" w:rsidR="00000000" w:rsidRPr="00000000">
            <w:rPr>
              <w:rtl w:val="0"/>
            </w:rPr>
            <w:t xml:space="preserve">:</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before="0" w:line="240" w:lineRule="auto"/>
            <w:rPr/>
          </w:pPr>
          <w:r w:rsidDel="00000000" w:rsidR="00000000" w:rsidRPr="00000000">
            <w:rPr>
              <w:rtl w:val="0"/>
            </w:rPr>
            <w:t xml:space="preserve">00</w:t>
          </w:r>
        </w:p>
      </w:tc>
    </w:tr>
    <w:tr>
      <w:trPr>
        <w:trHeight w:val="2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D">
          <w:pPr>
            <w:spacing w:after="0" w:before="0" w:line="240" w:lineRule="auto"/>
            <w:rPr/>
          </w:pPr>
          <w:r w:rsidDel="00000000" w:rsidR="00000000" w:rsidRPr="00000000">
            <w:rPr>
              <w:rtl w:val="0"/>
            </w:rPr>
            <w:t xml:space="preserve">Hal</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5E">
          <w:pPr>
            <w:spacing w:after="0" w:before="0" w:line="240" w:lineRule="auto"/>
            <w:rPr/>
          </w:pPr>
          <w:r w:rsidDel="00000000" w:rsidR="00000000" w:rsidRPr="00000000">
            <w:rPr>
              <w:rtl w:val="0"/>
            </w:rPr>
            <w:t xml:space="preserve">:</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before="0" w:line="240" w:lineRule="auto"/>
            <w:rPr/>
          </w:pPr>
          <w:r w:rsidDel="00000000" w:rsidR="00000000" w:rsidRPr="00000000">
            <w:rPr>
              <w:rtl w:val="0"/>
            </w:rPr>
            <w:t xml:space="preserve">2/2</w:t>
          </w:r>
        </w:p>
      </w:tc>
    </w:tr>
  </w:tbl>
  <w:p w:rsidR="00000000" w:rsidDel="00000000" w:rsidP="00000000" w:rsidRDefault="00000000" w:rsidRPr="00000000" w14:paraId="00000060">
    <w:pPr>
      <w:tabs>
        <w:tab w:val="center" w:pos="4680"/>
        <w:tab w:val="right" w:pos="9360"/>
      </w:tabs>
      <w:spacing w:after="0" w:before="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0" w:line="240" w:lineRule="auto"/>
      <w:ind w:left="720" w:hanging="360"/>
    </w:pPr>
    <w:rPr>
      <w:b w:val="1"/>
      <w:color w:val="000000"/>
      <w:sz w:val="28"/>
      <w:szCs w:val="28"/>
    </w:rPr>
  </w:style>
  <w:style w:type="paragraph" w:styleId="Heading2">
    <w:name w:val="heading 2"/>
    <w:basedOn w:val="Normal"/>
    <w:next w:val="Normal"/>
    <w:pPr>
      <w:keepNext w:val="1"/>
      <w:keepLines w:val="1"/>
      <w:spacing w:after="0" w:before="200" w:lineRule="auto"/>
    </w:pPr>
    <w:rPr>
      <w:b w:val="1"/>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Normal" w:default="1">
    <w:name w:val="Normal"/>
    <w:qFormat w:val="1"/>
    <w:pPr>
      <w:widowControl w:val="1"/>
      <w:bidi w:val="0"/>
      <w:spacing w:after="200" w:before="0" w:line="276" w:lineRule="auto"/>
      <w:jc w:val="left"/>
    </w:pPr>
    <w:rPr>
      <w:rFonts w:ascii="Calibri" w:cs="Calibri" w:eastAsia="Calibri" w:hAnsi="Calibri"/>
      <w:color w:val="auto"/>
      <w:kern w:val="0"/>
      <w:sz w:val="20"/>
      <w:szCs w:val="20"/>
      <w:lang w:bidi="ar-SA" w:eastAsia="en-US" w:val="en-US"/>
    </w:rPr>
  </w:style>
  <w:style w:type="paragraph" w:styleId="Heading1">
    <w:name w:val="Heading 1"/>
    <w:basedOn w:val="Normal"/>
    <w:next w:val="Normal"/>
    <w:uiPriority w:val="9"/>
    <w:qFormat w:val="1"/>
    <w:pPr>
      <w:spacing w:after="0" w:before="0" w:line="240" w:lineRule="auto"/>
      <w:ind w:left="720" w:hanging="360"/>
      <w:outlineLvl w:val="0"/>
    </w:pPr>
    <w:rPr>
      <w:b w:val="1"/>
      <w:color w:val="000000"/>
      <w:sz w:val="28"/>
      <w:szCs w:val="28"/>
    </w:rPr>
  </w:style>
  <w:style w:type="paragraph" w:styleId="Heading2">
    <w:name w:val="Heading 2"/>
    <w:basedOn w:val="Normal"/>
    <w:next w:val="Normal"/>
    <w:uiPriority w:val="9"/>
    <w:unhideWhenUsed w:val="1"/>
    <w:qFormat w:val="1"/>
    <w:pPr>
      <w:keepNext w:val="1"/>
      <w:keepLines w:val="1"/>
      <w:spacing w:after="0" w:before="200"/>
      <w:outlineLvl w:val="1"/>
    </w:pPr>
    <w:rPr>
      <w:b w:val="1"/>
    </w:rPr>
  </w:style>
  <w:style w:type="paragraph" w:styleId="Heading3">
    <w:name w:val="Heading 3"/>
    <w:basedOn w:val="Normal"/>
    <w:next w:val="Normal"/>
    <w:uiPriority w:val="9"/>
    <w:semiHidden w:val="1"/>
    <w:unhideWhenUsed w:val="1"/>
    <w:qFormat w:val="1"/>
    <w:pPr>
      <w:keepNext w:val="1"/>
      <w:keepLines w:val="1"/>
      <w:spacing w:after="0" w:before="200"/>
      <w:outlineLvl w:val="2"/>
    </w:pPr>
    <w:rPr>
      <w:rFonts w:ascii="Cambria" w:cs="Cambria" w:eastAsia="Cambria" w:hAnsi="Cambria"/>
      <w:b w:val="1"/>
      <w:color w:val="4f81bd"/>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sid w:val="00D72203"/>
    <w:rPr/>
  </w:style>
  <w:style w:type="character" w:styleId="FooterChar" w:customStyle="1">
    <w:name w:val="Footer Char"/>
    <w:basedOn w:val="DefaultParagraphFont"/>
    <w:link w:val="Footer"/>
    <w:uiPriority w:val="99"/>
    <w:qFormat w:val="1"/>
    <w:rsid w:val="00D72203"/>
    <w:rPr/>
  </w:style>
  <w:style w:type="paragraph" w:styleId="Heading">
    <w:name w:val="Heading"/>
    <w:basedOn w:val="Normal"/>
    <w:next w:val="TextBody"/>
    <w:qFormat w:val="1"/>
    <w:pPr>
      <w:keepNext w:val="1"/>
      <w:spacing w:after="120" w:before="240"/>
    </w:pPr>
    <w:rPr>
      <w:rFonts w:ascii="Liberation Sans" w:cs="FreeSans" w:eastAsia="AR PL KaitiM GB"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Title">
    <w:name w:val="Title"/>
    <w:basedOn w:val="Normal"/>
    <w:next w:val="Normal"/>
    <w:uiPriority w:val="10"/>
    <w:qFormat w:val="1"/>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uiPriority w:val="11"/>
    <w:qFormat w:val="1"/>
    <w:pPr/>
    <w:rPr>
      <w:rFonts w:ascii="Cambria" w:cs="Cambria" w:eastAsia="Cambria" w:hAnsi="Cambria"/>
      <w:i w:val="1"/>
      <w:color w:val="4f81bd"/>
      <w:sz w:val="24"/>
      <w:szCs w:val="24"/>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D72203"/>
    <w:pPr>
      <w:tabs>
        <w:tab w:val="clear" w:pos="408"/>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D72203"/>
    <w:pPr>
      <w:tabs>
        <w:tab w:val="clear" w:pos="408"/>
        <w:tab w:val="center" w:leader="none" w:pos="4680"/>
        <w:tab w:val="right" w:leader="none" w:pos="9360"/>
      </w:tabs>
      <w:spacing w:after="0" w:before="0" w:line="240" w:lineRule="auto"/>
    </w:pPr>
    <w:rPr/>
  </w:style>
  <w:style w:type="paragraph" w:styleId="ListParagraph">
    <w:name w:val="List Paragraph"/>
    <w:basedOn w:val="Normal"/>
    <w:uiPriority w:val="34"/>
    <w:qFormat w:val="1"/>
    <w:rsid w:val="001736CE"/>
    <w:pPr>
      <w:spacing w:after="200" w:before="0"/>
      <w:ind w:left="720" w:hanging="0"/>
      <w:contextualSpacing w:val="1"/>
    </w:pPr>
    <w:rPr>
      <w:sz w:val="22"/>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BQ5Nl7qXL/5PAygJFr9zoKmhLA==">AMUW2mXQQqe5p6rLqPnRIPpCmKheh2ydOWNJV4QfI91H1z3CStBk+S+ZEonZgrde36IJxliPv6T3VI2wAhQdOR2xg6Q5nLHIisD0E+HzYaQ0/TRdwhnGNPtsa/Xi302ZJrGUauOxfcgh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2019-08-26T03:22:00Z</dcterms:created>
  <dc:creator>GUSTI UNT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