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2"/>
        <w:tblW w:w="15164"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980"/>
        <w:gridCol w:w="620"/>
        <w:gridCol w:w="1839"/>
        <w:gridCol w:w="1627"/>
        <w:gridCol w:w="921"/>
        <w:gridCol w:w="2547"/>
        <w:gridCol w:w="1518"/>
        <w:gridCol w:w="1296"/>
        <w:gridCol w:w="119"/>
        <w:gridCol w:w="2695"/>
      </w:tblGrid>
      <w:tr>
        <w:trPr/>
        <w:tc>
          <w:tcPr>
            <w:tcW w:w="15162"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5"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2"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NAMA</w:t>
            </w:r>
          </w:p>
        </w:tc>
        <w:tc>
          <w:tcPr>
            <w:tcW w:w="183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TANDA TANGAN</w:t>
            </w:r>
          </w:p>
        </w:tc>
        <w:tc>
          <w:tcPr>
            <w:tcW w:w="254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t>Barokatun Hasanah, S.T., M.T.</w:t>
            </w:r>
          </w:p>
        </w:tc>
        <w:tc>
          <w:tcPr>
            <w:tcW w:w="18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r>
          </w:p>
        </w:tc>
        <w:tc>
          <w:tcPr>
            <w:tcW w:w="25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auto" w:val="clear"/>
          </w:tcPr>
          <w:p>
            <w:pPr>
              <w:pStyle w:val="Normal"/>
              <w:widowControl w:val="false"/>
              <w:pBdr/>
              <w:ind w:left="540" w:hanging="540"/>
              <w:jc w:val="both"/>
              <w:rPr/>
            </w:pPr>
            <w:r>
              <w:rPr>
                <w:color w:val="000000"/>
              </w:rPr>
              <w:t>S.8      Menginternalisasi nilai, norma, dan etika akademik.</w:t>
            </w:r>
          </w:p>
          <w:p>
            <w:pPr>
              <w:pStyle w:val="Normal"/>
              <w:widowControl w:val="false"/>
              <w:pBdr/>
              <w:ind w:left="540" w:hanging="540"/>
              <w:jc w:val="both"/>
              <w:rPr>
                <w:color w:val="000000"/>
              </w:rPr>
            </w:pPr>
            <w:r>
              <w:rPr>
                <w:color w:val="000000"/>
              </w:rPr>
              <w:t>S.9      Menunjukkan sikap bertanggungjawab atas pekerjaan di</w:t>
            </w:r>
            <w:r>
              <w:rPr/>
              <w:t xml:space="preserve"> </w:t>
            </w:r>
            <w:r>
              <w:rPr>
                <w:color w:val="000000"/>
              </w:rPr>
              <w:t>bidang keahliannya secara mandiri.</w:t>
            </w:r>
          </w:p>
          <w:p>
            <w:pPr>
              <w:pStyle w:val="Normal"/>
              <w:widowControl w:val="false"/>
              <w:pBdr/>
              <w:ind w:left="540" w:hanging="540"/>
              <w:jc w:val="both"/>
              <w:rPr/>
            </w:pPr>
            <w:r>
              <w:rPr>
                <w:color w:val="000000"/>
              </w:rPr>
              <w:t>KU.1  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p>
            <w:pPr>
              <w:pStyle w:val="Normal"/>
              <w:widowControl w:val="false"/>
              <w:pBdr/>
              <w:ind w:left="540" w:hanging="540"/>
              <w:jc w:val="both"/>
              <w:rPr>
                <w:color w:val="000000"/>
              </w:rPr>
            </w:pPr>
            <w:r>
              <w:rPr>
                <w:color w:val="000000"/>
              </w:rPr>
              <w:t xml:space="preserve">KU.2  Mampu menunjukkan kinerja mandiri, bermutu, dan terukur. </w:t>
            </w:r>
          </w:p>
          <w:p>
            <w:pPr>
              <w:pStyle w:val="Normal"/>
              <w:widowControl w:val="false"/>
              <w:pBdr/>
              <w:ind w:left="540" w:hanging="540"/>
              <w:rPr/>
            </w:pPr>
            <w:r>
              <w:rPr>
                <w:color w:val="000000"/>
              </w:rPr>
              <w:t>P.3     Menguasai konsep dasar sistem tenaga, sistem pengaturan,</w:t>
            </w:r>
            <w:r>
              <w:rPr/>
              <w:t xml:space="preserve"> </w:t>
            </w:r>
            <w:r>
              <w:rPr>
                <w:color w:val="000000"/>
              </w:rPr>
              <w:t>elektronika, telekomunikasi dan sistem komputer.</w:t>
            </w:r>
          </w:p>
          <w:p>
            <w:pPr>
              <w:pStyle w:val="Normal"/>
              <w:widowControl w:val="false"/>
              <w:pBdr/>
              <w:ind w:left="540" w:hanging="540"/>
              <w:jc w:val="both"/>
              <w:rPr>
                <w:color w:val="000000"/>
              </w:rPr>
            </w:pPr>
            <w:r>
              <w:rPr>
                <w:color w:val="000000"/>
              </w:rPr>
              <w:t>P.4    Menguasai dasar teknik komputasi dan teknologi informasi dala</w:t>
            </w:r>
            <w:r>
              <w:rPr/>
              <w:t xml:space="preserve">m </w:t>
            </w:r>
            <w:r>
              <w:rPr>
                <w:color w:val="000000"/>
              </w:rPr>
              <w:t>bidang sistem tenaga, sistem pengaturan, elektronika, telekomunikasi, dan sistem komputer.</w:t>
            </w:r>
          </w:p>
          <w:p>
            <w:pPr>
              <w:pStyle w:val="Normal"/>
              <w:widowControl w:val="false"/>
              <w:pBdr/>
              <w:ind w:left="540" w:hanging="540"/>
              <w:jc w:val="both"/>
              <w:rPr/>
            </w:pPr>
            <w:r>
              <w:rPr>
                <w:color w:val="000000"/>
              </w:rPr>
              <w:t>KK.2</w:t>
            </w:r>
            <w:r>
              <w:rPr/>
              <w:t xml:space="preserve">   </w:t>
            </w: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p>
            <w:pPr>
              <w:pStyle w:val="Normal"/>
              <w:widowControl w:val="false"/>
              <w:pBdr/>
              <w:spacing w:before="0" w:after="200"/>
              <w:ind w:left="540" w:hanging="540"/>
              <w:jc w:val="both"/>
              <w:rPr>
                <w:color w:val="000000"/>
              </w:rPr>
            </w:pPr>
            <w:r>
              <w:rPr>
                <w:color w:val="000000"/>
              </w:rPr>
              <w:t>KK.4  Kemampuan memanfaatkan perangkat analisis berbasis teknologi informasi dan komputasi yang sesuai untuk aktivitas teknik pada bidang sistem tenaga, sistem pengaturan, elektronika, telekomunikasi dan sistem komputer</w:t>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color w:val="000000"/>
              </w:rPr>
            </w:pPr>
            <w:r>
              <w:rPr>
                <w:color w:val="000000"/>
              </w:rPr>
              <w:t>Mahasiswa mampu menganalisis perangkat dan elemen jaringan penyusun komunikasi data (C4, A3, P3)</w:t>
            </w:r>
          </w:p>
          <w:p>
            <w:pPr>
              <w:pStyle w:val="Normal"/>
              <w:widowControl w:val="false"/>
              <w:pBdr/>
              <w:spacing w:lineRule="auto" w:line="240" w:before="0" w:after="0"/>
              <w:rPr>
                <w:color w:val="000000"/>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rPr>
                <w:b/>
                <w:b/>
              </w:rPr>
            </w:pPr>
            <w:r>
              <w:rPr>
                <w:b/>
              </w:rPr>
            </w:r>
          </w:p>
          <w:tbl>
            <w:tblPr>
              <w:tblStyle w:val="a3"/>
              <w:tblW w:w="129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987"/>
              <w:gridCol w:w="1561"/>
              <w:gridCol w:w="567"/>
              <w:gridCol w:w="567"/>
              <w:gridCol w:w="566"/>
              <w:gridCol w:w="567"/>
              <w:gridCol w:w="567"/>
              <w:gridCol w:w="566"/>
            </w:tblGrid>
            <w:tr>
              <w:trPr/>
              <w:tc>
                <w:tcPr>
                  <w:tcW w:w="798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561"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3400" w:type="dxa"/>
                  <w:gridSpan w:val="6"/>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798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1561"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66"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6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dst</w:t>
                  </w:r>
                </w:p>
              </w:tc>
            </w:tr>
            <w:tr>
              <w:trPr>
                <w:trHeight w:val="253" w:hRule="atLeast"/>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pPr>
                  <w:r>
                    <w:rPr/>
                    <w:t>Total</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sz w:val="16"/>
                      <w:szCs w:val="16"/>
                    </w:rPr>
                    <w:t>*sesuai dengan jumlah presentase penilaian</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pBdr/>
              <w:spacing w:before="0" w:after="0"/>
              <w:ind w:left="360" w:hanging="360"/>
              <w:jc w:val="both"/>
              <w:rPr>
                <w:color w:val="000000"/>
              </w:rPr>
            </w:pPr>
            <w:r>
              <w:rPr>
                <w:color w:val="000000"/>
              </w:rPr>
              <w:t>Pengantar komunikasi data</w:t>
            </w:r>
          </w:p>
          <w:p>
            <w:pPr>
              <w:pStyle w:val="Normal"/>
              <w:widowControl w:val="false"/>
              <w:numPr>
                <w:ilvl w:val="0"/>
                <w:numId w:val="1"/>
              </w:numPr>
              <w:pBdr/>
              <w:spacing w:before="0" w:after="0"/>
              <w:ind w:left="360" w:hanging="360"/>
              <w:jc w:val="both"/>
              <w:rPr>
                <w:color w:val="000000"/>
              </w:rPr>
            </w:pPr>
            <w:r>
              <w:rPr>
                <w:color w:val="000000"/>
              </w:rPr>
              <w:t>Teknik komunikasi</w:t>
            </w:r>
          </w:p>
          <w:p>
            <w:pPr>
              <w:pStyle w:val="Normal"/>
              <w:widowControl w:val="false"/>
              <w:numPr>
                <w:ilvl w:val="0"/>
                <w:numId w:val="1"/>
              </w:numPr>
              <w:pBdr/>
              <w:spacing w:before="0" w:after="0"/>
              <w:ind w:left="360" w:hanging="360"/>
              <w:jc w:val="both"/>
              <w:rPr>
                <w:color w:val="000000"/>
              </w:rPr>
            </w:pPr>
            <w:r>
              <w:rPr>
                <w:color w:val="000000"/>
              </w:rPr>
              <w:t>Pengkodean data</w:t>
            </w:r>
          </w:p>
          <w:p>
            <w:pPr>
              <w:pStyle w:val="Normal"/>
              <w:widowControl w:val="false"/>
              <w:numPr>
                <w:ilvl w:val="0"/>
                <w:numId w:val="1"/>
              </w:numPr>
              <w:pBdr/>
              <w:spacing w:before="0" w:after="0"/>
              <w:ind w:left="360" w:hanging="360"/>
              <w:jc w:val="both"/>
              <w:rPr>
                <w:color w:val="000000"/>
              </w:rPr>
            </w:pPr>
            <w:r>
              <w:rPr>
                <w:color w:val="000000"/>
              </w:rPr>
              <w:t>Teknik Iterfacing</w:t>
            </w:r>
          </w:p>
          <w:p>
            <w:pPr>
              <w:pStyle w:val="Normal"/>
              <w:widowControl w:val="false"/>
              <w:numPr>
                <w:ilvl w:val="0"/>
                <w:numId w:val="1"/>
              </w:numPr>
              <w:pBdr/>
              <w:spacing w:before="0" w:after="0"/>
              <w:ind w:left="360" w:hanging="360"/>
              <w:jc w:val="both"/>
              <w:rPr>
                <w:color w:val="000000"/>
              </w:rPr>
            </w:pPr>
            <w:r>
              <w:rPr>
                <w:color w:val="000000"/>
              </w:rPr>
              <w:t>Teknik Switching</w:t>
            </w:r>
          </w:p>
          <w:p>
            <w:pPr>
              <w:pStyle w:val="Normal"/>
              <w:widowControl w:val="false"/>
              <w:numPr>
                <w:ilvl w:val="0"/>
                <w:numId w:val="1"/>
              </w:numPr>
              <w:pBdr/>
              <w:spacing w:before="0" w:after="0"/>
              <w:ind w:left="360" w:hanging="360"/>
              <w:jc w:val="both"/>
              <w:rPr>
                <w:color w:val="000000"/>
              </w:rPr>
            </w:pPr>
            <w:r>
              <w:rPr>
                <w:color w:val="000000"/>
              </w:rPr>
              <w:t>Protokol</w:t>
            </w:r>
          </w:p>
          <w:p>
            <w:pPr>
              <w:pStyle w:val="Normal"/>
              <w:widowControl w:val="false"/>
              <w:numPr>
                <w:ilvl w:val="0"/>
                <w:numId w:val="1"/>
              </w:numPr>
              <w:pBdr/>
              <w:spacing w:before="0" w:after="0"/>
              <w:ind w:left="360" w:hanging="360"/>
              <w:jc w:val="both"/>
              <w:rPr>
                <w:color w:val="000000"/>
              </w:rPr>
            </w:pPr>
            <w:r>
              <w:rPr>
                <w:color w:val="000000"/>
              </w:rPr>
              <w:t>Model OSI</w:t>
            </w:r>
          </w:p>
          <w:p>
            <w:pPr>
              <w:pStyle w:val="Normal"/>
              <w:widowControl w:val="false"/>
              <w:numPr>
                <w:ilvl w:val="0"/>
                <w:numId w:val="1"/>
              </w:numPr>
              <w:pBdr/>
              <w:spacing w:before="0" w:after="0"/>
              <w:ind w:left="360" w:hanging="360"/>
              <w:jc w:val="both"/>
              <w:rPr>
                <w:color w:val="000000"/>
              </w:rPr>
            </w:pPr>
            <w:r>
              <w:rPr>
                <w:color w:val="000000"/>
              </w:rPr>
              <w:t xml:space="preserve">LAN </w:t>
            </w:r>
          </w:p>
          <w:p>
            <w:pPr>
              <w:pStyle w:val="Normal"/>
              <w:widowControl w:val="false"/>
              <w:numPr>
                <w:ilvl w:val="0"/>
                <w:numId w:val="0"/>
              </w:numPr>
              <w:pBdr/>
              <w:spacing w:before="0" w:after="0"/>
              <w:ind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pBd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pBd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color w:val="000000"/>
              </w:rPr>
            </w:pPr>
            <w:r>
              <w:rPr>
                <w:color w:val="000000"/>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pBdr/>
              <w:tabs>
                <w:tab w:val="clear" w:pos="720"/>
                <w:tab w:val="left" w:pos="0" w:leader="none"/>
              </w:tabs>
              <w:spacing w:lineRule="auto" w:line="276" w:before="0" w:after="200"/>
              <w:ind w:left="331" w:hanging="360"/>
              <w:contextualSpacing/>
              <w:rPr>
                <w:color w:val="000000"/>
              </w:rPr>
            </w:pPr>
            <w:r>
              <w:rPr>
                <w:color w:val="000000"/>
              </w:rPr>
              <w:t>Tanenbaum, A. S. &amp; Wetherall, D. J. (2013). Computer Networks, Fifth Edition. London: Pearson.</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b/>
              </w:rPr>
            </w:pPr>
            <w:r>
              <w:rPr>
                <w:b/>
              </w:rPr>
              <w:t>MEDIA PEMBELAJARAN</w:t>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ind w:left="416" w:hanging="416"/>
              <w:rPr/>
            </w:pPr>
            <w:r>
              <w:rPr/>
              <w:t>Sumber Referensi</w:t>
            </w:r>
          </w:p>
          <w:p>
            <w:pPr>
              <w:pStyle w:val="Normal"/>
              <w:widowControl w:val="false"/>
              <w:numPr>
                <w:ilvl w:val="6"/>
                <w:numId w:val="2"/>
              </w:numPr>
              <w:pBdr/>
              <w:tabs>
                <w:tab w:val="clear" w:pos="720"/>
                <w:tab w:val="left" w:pos="0" w:leader="none"/>
              </w:tabs>
              <w:spacing w:lineRule="auto" w:line="276" w:before="0" w:after="20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66"/>
        <w:gridCol w:w="2111"/>
        <w:gridCol w:w="2038"/>
        <w:gridCol w:w="1515"/>
        <w:gridCol w:w="1800"/>
        <w:gridCol w:w="1470"/>
        <w:gridCol w:w="1665"/>
        <w:gridCol w:w="2070"/>
        <w:gridCol w:w="780"/>
        <w:gridCol w:w="971"/>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2038"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1515"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70"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5"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7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038"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5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8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7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207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78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7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(2)</w:t>
            </w:r>
          </w:p>
        </w:tc>
        <w:tc>
          <w:tcPr>
            <w:tcW w:w="20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(4)</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(5)</w:t>
            </w:r>
          </w:p>
        </w:tc>
        <w:tc>
          <w:tcPr>
            <w:tcW w:w="18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(6)</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(7)</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(8)</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(9)</w:t>
            </w:r>
          </w:p>
        </w:tc>
        <w:tc>
          <w:tcPr>
            <w:tcW w:w="7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(10)</w:t>
            </w:r>
          </w:p>
        </w:tc>
        <w:tc>
          <w:tcPr>
            <w:tcW w:w="9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Jenis - jenis Komunikasi data</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1</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m</w:t>
            </w:r>
            <w:r>
              <w:rPr>
                <w:rFonts w:cs="Calibri" w:ascii="Calibri" w:hAnsi="Calibri"/>
                <w:color w:val="000000"/>
                <w:kern w:val="0"/>
                <w:sz w:val="22"/>
                <w:szCs w:val="22"/>
                <w:lang w:val="en-US" w:eastAsia="en-US" w:bidi="ar-SA"/>
              </w:rPr>
              <w:t>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Mampu menjelaskan j</w:t>
            </w:r>
            <w:r>
              <w:rPr>
                <w:rFonts w:cs="Calibri" w:ascii="Calibri" w:hAnsi="Calibri"/>
                <w:b w:val="false"/>
                <w:bCs w:val="false"/>
                <w:color w:val="000000"/>
                <w:kern w:val="0"/>
                <w:sz w:val="22"/>
                <w:szCs w:val="22"/>
                <w:lang w:val="en-US" w:eastAsia="en-US" w:bidi="ar-SA"/>
              </w:rPr>
              <w:t>enis - jenis Komunikasi data</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dan arsitektur protokol TCP/IP dan model OSI</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2</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w:t>
            </w:r>
            <w:r>
              <w:rPr>
                <w:rFonts w:cs="Calibri" w:ascii="Calibri" w:hAnsi="Calibri"/>
                <w:color w:val="000000"/>
                <w:kern w:val="0"/>
                <w:sz w:val="22"/>
                <w:szCs w:val="22"/>
                <w:lang w:val="en-US" w:eastAsia="en-US" w:bidi="ar-SA"/>
              </w:rPr>
              <w:t xml:space="preserve">rsitektur </w:t>
            </w:r>
            <w:r>
              <w:rPr>
                <w:rFonts w:cs="Calibri" w:ascii="Calibri" w:hAnsi="Calibri"/>
                <w:color w:val="000000"/>
                <w:kern w:val="0"/>
                <w:sz w:val="22"/>
                <w:szCs w:val="22"/>
                <w:lang w:val="en-US" w:eastAsia="en-US" w:bidi="ar-SA"/>
              </w:rPr>
              <w:t>p</w:t>
            </w:r>
            <w:r>
              <w:rPr>
                <w:rFonts w:cs="Calibri" w:ascii="Calibri" w:hAnsi="Calibri"/>
                <w:color w:val="000000"/>
                <w:kern w:val="0"/>
                <w:sz w:val="22"/>
                <w:szCs w:val="22"/>
                <w:lang w:val="en-US" w:eastAsia="en-US" w:bidi="ar-SA"/>
              </w:rPr>
              <w:t>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 xml:space="preserve">Mampu menjelaskan arsitektur </w:t>
            </w:r>
            <w:r>
              <w:rPr>
                <w:rFonts w:cs="Calibri" w:ascii="Calibri" w:hAnsi="Calibri"/>
                <w:color w:val="000000"/>
                <w:kern w:val="0"/>
                <w:sz w:val="22"/>
                <w:szCs w:val="22"/>
                <w:lang w:val="en-US" w:eastAsia="en-US" w:bidi="ar-SA"/>
              </w:rPr>
              <w:t>Model OSI</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transmisi data</w:t>
            </w:r>
          </w:p>
          <w:p>
            <w:pPr>
              <w:pStyle w:val="Normal"/>
              <w:widowControl/>
              <w:pBdr/>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Gangguan Transmisi</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Kapasitas Kanal</w:t>
            </w:r>
          </w:p>
          <w:p>
            <w:pPr>
              <w:pStyle w:val="NormalWeb"/>
              <w:widowControl/>
              <w:bidi w:val="0"/>
              <w:spacing w:lineRule="auto" w:line="240" w:beforeAutospacing="0" w:before="0" w:afterAutospacing="0" w:after="0"/>
              <w:ind w:left="180" w:right="0" w:hanging="180"/>
              <w:jc w:val="left"/>
              <w:textAlignment w:val="center"/>
              <w:rPr>
                <w:b w:val="false"/>
                <w:b w:val="false"/>
                <w:bCs w:val="false"/>
              </w:rPr>
            </w:pPr>
            <w:r>
              <w:rPr>
                <w:rFonts w:cs="Calibri" w:ascii="Calibri" w:hAnsi="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40" w:before="0" w:after="0"/>
              <w:jc w:val="center"/>
              <w:textAlignment w:val="center"/>
              <w:rPr>
                <w:b w:val="false"/>
                <w:b w:val="false"/>
                <w:bCs w:val="false"/>
                <w:sz w:val="22"/>
                <w:szCs w:val="22"/>
              </w:rPr>
            </w:pPr>
            <w:r>
              <w:rPr>
                <w:b w:val="false"/>
                <w:bCs w:val="false"/>
                <w:sz w:val="22"/>
                <w:szCs w:val="22"/>
              </w:rPr>
              <w:t>Tugas 3</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perbedaan t</w:t>
            </w:r>
            <w:r>
              <w:rPr>
                <w:rFonts w:cs="Calibri" w:ascii="Calibri" w:hAnsi="Calibri"/>
                <w:color w:val="000000"/>
                <w:kern w:val="0"/>
                <w:sz w:val="22"/>
                <w:szCs w:val="22"/>
                <w:lang w:val="en-US" w:eastAsia="en-US" w:bidi="ar-SA"/>
              </w:rPr>
              <w: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pPr>
            <w:r>
              <w:rPr>
                <w:rFonts w:cs="Calibri" w:ascii="Calibri" w:hAnsi="Calibri"/>
                <w:b w:val="false"/>
                <w:bCs w:val="false"/>
                <w:color w:val="000000"/>
                <w:kern w:val="0"/>
                <w:sz w:val="22"/>
                <w:szCs w:val="22"/>
                <w:lang w:val="en-US" w:eastAsia="en-US" w:bidi="ar-SA"/>
              </w:rPr>
              <w:t>Mampu menjelaskan k</w:t>
            </w:r>
            <w:r>
              <w:rPr>
                <w:rFonts w:cs="Calibri" w:ascii="Calibri" w:hAnsi="Calibri"/>
                <w:b w:val="false"/>
                <w:bCs w:val="false"/>
                <w:color w:val="000000"/>
                <w:kern w:val="0"/>
                <w:sz w:val="22"/>
                <w:szCs w:val="22"/>
                <w:lang w:val="en-US" w:eastAsia="en-US" w:bidi="ar-SA"/>
              </w:rPr>
              <w:t xml:space="preserve">apasitas </w:t>
            </w:r>
            <w:r>
              <w:rPr>
                <w:rFonts w:cs="Calibri" w:ascii="Calibri" w:hAnsi="Calibri"/>
                <w:b w:val="false"/>
                <w:bCs w:val="false"/>
                <w:color w:val="000000"/>
                <w:kern w:val="0"/>
                <w:sz w:val="22"/>
                <w:szCs w:val="22"/>
                <w:lang w:val="en-US" w:eastAsia="en-US" w:bidi="ar-SA"/>
              </w:rPr>
              <w:t>k</w:t>
            </w:r>
            <w:r>
              <w:rPr>
                <w:rFonts w:cs="Calibri" w:ascii="Calibri" w:hAnsi="Calibri"/>
                <w:b w:val="false"/>
                <w:bCs w:val="false"/>
                <w:color w:val="000000"/>
                <w:kern w:val="0"/>
                <w:sz w:val="22"/>
                <w:szCs w:val="22"/>
                <w:lang w:val="en-US" w:eastAsia="en-US" w:bidi="ar-SA"/>
              </w:rPr>
              <w:t>anal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4</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spacing w:lineRule="auto" w:line="240" w:before="0" w:after="0"/>
              <w:jc w:val="center"/>
              <w:textAlignment w:val="center"/>
              <w:rPr>
                <w:sz w:val="22"/>
                <w:szCs w:val="22"/>
              </w:rPr>
            </w:pPr>
            <w:r>
              <w:rPr>
                <w:sz w:val="22"/>
                <w:szCs w:val="22"/>
              </w:rPr>
              <w:t>Kuis 1</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Nirkabel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i/>
                <w:iCs/>
                <w:color w:val="000000"/>
                <w:kern w:val="0"/>
                <w:sz w:val="22"/>
                <w:szCs w:val="22"/>
                <w:lang w:val="en-US" w:eastAsia="en-US" w:bidi="ar-SA"/>
              </w:rPr>
              <w:t>Wireless propagation</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 xml:space="preserve">Transmisi </w:t>
            </w:r>
            <w:r>
              <w:rPr>
                <w:rFonts w:eastAsia="Times New Roman" w:cs="Calibri"/>
                <w:b w:val="false"/>
                <w:bCs w:val="false"/>
                <w:i/>
                <w:iCs/>
                <w:color w:val="000000"/>
                <w:kern w:val="0"/>
                <w:sz w:val="22"/>
                <w:szCs w:val="22"/>
                <w:lang w:val="en-US" w:eastAsia="en-US" w:bidi="ar-SA"/>
              </w:rPr>
              <w:t>Line Of Sight</w:t>
            </w:r>
          </w:p>
          <w:p>
            <w:pPr>
              <w:pStyle w:val="Normal"/>
              <w:widowControl/>
              <w:tabs>
                <w:tab w:val="clear" w:pos="720"/>
              </w:tabs>
              <w:bidi w:val="0"/>
              <w:spacing w:lineRule="auto" w:line="240" w:before="0" w:after="0"/>
              <w:ind w:left="180" w:right="0" w:hanging="180"/>
              <w:jc w:val="left"/>
              <w:textAlignment w:val="center"/>
              <w:rPr>
                <w:b w:val="false"/>
                <w:b w:val="false"/>
                <w:bCs w:val="false"/>
                <w:i/>
                <w:i/>
                <w:iCs/>
              </w:rPr>
            </w:pPr>
            <w:r>
              <w:rPr>
                <w:rFonts w:eastAsia="Times New Roman" w:cs="Calibri"/>
                <w:color w:val="000000"/>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4</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w:t>
            </w:r>
            <w:r>
              <w:rPr>
                <w:rFonts w:eastAsia="Times New Roman" w:cs="Calibri"/>
                <w:color w:val="000000"/>
                <w:kern w:val="0"/>
                <w:sz w:val="22"/>
                <w:szCs w:val="22"/>
                <w:lang w:val="en-US" w:eastAsia="en-US" w:bidi="ar-SA"/>
              </w:rPr>
              <w:t xml:space="preserve">enis - jenis </w:t>
            </w:r>
            <w:r>
              <w:rPr>
                <w:rFonts w:eastAsia="Times New Roman" w:cs="Calibri"/>
                <w:color w:val="000000"/>
                <w:kern w:val="0"/>
                <w:sz w:val="22"/>
                <w:szCs w:val="22"/>
                <w:lang w:val="en-US" w:eastAsia="en-US" w:bidi="ar-SA"/>
              </w:rPr>
              <w:t>m</w:t>
            </w:r>
            <w:r>
              <w:rPr>
                <w:rFonts w:eastAsia="Times New Roman" w:cs="Calibri"/>
                <w:color w:val="000000"/>
                <w:kern w:val="0"/>
                <w:sz w:val="22"/>
                <w:szCs w:val="22"/>
                <w:lang w:val="en-US" w:eastAsia="en-US" w:bidi="ar-SA"/>
              </w:rPr>
              <w:t xml:space="preserve">edia </w:t>
            </w:r>
            <w:r>
              <w:rPr>
                <w:rFonts w:eastAsia="Times New Roman" w:cs="Calibri"/>
                <w:color w:val="000000"/>
                <w:kern w:val="0"/>
                <w:sz w:val="22"/>
                <w:szCs w:val="22"/>
                <w:lang w:val="en-US" w:eastAsia="en-US" w:bidi="ar-SA"/>
              </w:rPr>
              <w:t>t</w:t>
            </w:r>
            <w:r>
              <w:rPr>
                <w:rFonts w:eastAsia="Times New Roman" w:cs="Calibri"/>
                <w:color w:val="000000"/>
                <w:kern w:val="0"/>
                <w:sz w:val="22"/>
                <w:szCs w:val="22"/>
                <w:lang w:val="en-US" w:eastAsia="en-US" w:bidi="ar-SA"/>
              </w:rPr>
              <w:t xml:space="preserve">ransmisi </w:t>
            </w:r>
            <w:r>
              <w:rPr>
                <w:rFonts w:eastAsia="Times New Roman" w:cs="Calibri"/>
                <w:color w:val="000000"/>
                <w:kern w:val="0"/>
                <w:sz w:val="22"/>
                <w:szCs w:val="22"/>
                <w:lang w:val="en-US" w:eastAsia="en-US" w:bidi="ar-SA"/>
              </w:rPr>
              <w:t>k</w:t>
            </w:r>
            <w:r>
              <w:rPr>
                <w:rFonts w:eastAsia="Times New Roman" w:cs="Calibri"/>
                <w:color w:val="000000"/>
                <w:kern w:val="0"/>
                <w:sz w:val="22"/>
                <w:szCs w:val="22"/>
                <w:lang w:val="en-US" w:eastAsia="en-US" w:bidi="ar-SA"/>
              </w:rPr>
              <w:t>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w:t>
            </w:r>
            <w:r>
              <w:rPr>
                <w:rFonts w:eastAsia="Times New Roman" w:cs="Calibri"/>
                <w:color w:val="000000"/>
                <w:kern w:val="0"/>
                <w:sz w:val="22"/>
                <w:szCs w:val="22"/>
                <w:lang w:val="en-US" w:eastAsia="en-US" w:bidi="ar-SA"/>
              </w:rPr>
              <w:t xml:space="preserve">enis - jenis </w:t>
            </w:r>
            <w:r>
              <w:rPr>
                <w:rFonts w:eastAsia="Times New Roman" w:cs="Calibri"/>
                <w:color w:val="000000"/>
                <w:kern w:val="0"/>
                <w:sz w:val="22"/>
                <w:szCs w:val="22"/>
                <w:lang w:val="en-US" w:eastAsia="en-US" w:bidi="ar-SA"/>
              </w:rPr>
              <w:t>m</w:t>
            </w:r>
            <w:r>
              <w:rPr>
                <w:rFonts w:eastAsia="Times New Roman" w:cs="Calibri"/>
                <w:color w:val="000000"/>
                <w:kern w:val="0"/>
                <w:sz w:val="22"/>
                <w:szCs w:val="22"/>
                <w:lang w:val="en-US" w:eastAsia="en-US" w:bidi="ar-SA"/>
              </w:rPr>
              <w:t xml:space="preserve">edia </w:t>
            </w:r>
            <w:r>
              <w:rPr>
                <w:rFonts w:eastAsia="Times New Roman" w:cs="Calibri"/>
                <w:color w:val="000000"/>
                <w:kern w:val="0"/>
                <w:sz w:val="22"/>
                <w:szCs w:val="22"/>
                <w:lang w:val="en-US" w:eastAsia="en-US" w:bidi="ar-SA"/>
              </w:rPr>
              <w:t>t</w:t>
            </w:r>
            <w:r>
              <w:rPr>
                <w:rFonts w:eastAsia="Times New Roman" w:cs="Calibri"/>
                <w:color w:val="000000"/>
                <w:kern w:val="0"/>
                <w:sz w:val="22"/>
                <w:szCs w:val="22"/>
                <w:lang w:val="en-US" w:eastAsia="en-US" w:bidi="ar-SA"/>
              </w:rPr>
              <w:t xml:space="preserve">ransmisi </w:t>
            </w:r>
            <w:r>
              <w:rPr>
                <w:rFonts w:eastAsia="Times New Roman" w:cs="Calibri"/>
                <w:color w:val="000000"/>
                <w:kern w:val="0"/>
                <w:sz w:val="22"/>
                <w:szCs w:val="22"/>
                <w:lang w:val="en-US" w:eastAsia="en-US" w:bidi="ar-SA"/>
              </w:rPr>
              <w:t>n</w:t>
            </w:r>
            <w:r>
              <w:rPr>
                <w:rFonts w:eastAsia="Times New Roman" w:cs="Calibri"/>
                <w:color w:val="000000"/>
                <w:kern w:val="0"/>
                <w:sz w:val="22"/>
                <w:szCs w:val="22"/>
                <w:lang w:val="en-US" w:eastAsia="en-US" w:bidi="ar-SA"/>
              </w:rPr>
              <w:t>irkabel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mengimplementasikan teknik pengkodean data (C3, P2, A2)</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Pengkodean data digital sinyal digital</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digital sinyal analog</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analog sinyal digital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5</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Mampu melakukan p</w:t>
            </w:r>
            <w:r>
              <w:rPr>
                <w:rFonts w:eastAsia="Quattrocento Sans" w:cs="Calibri" w:cstheme="majorHAnsi"/>
                <w:kern w:val="0"/>
                <w:sz w:val="22"/>
                <w:szCs w:val="22"/>
                <w:lang w:val="en-US" w:eastAsia="en-US" w:bidi="ar-SA"/>
              </w:rPr>
              <w:t xml:space="preserve">engkodean data digital </w:t>
            </w:r>
            <w:r>
              <w:rPr>
                <w:rFonts w:eastAsia="Quattrocento Sans" w:cs="Calibri" w:cstheme="majorHAnsi"/>
                <w:kern w:val="0"/>
                <w:sz w:val="22"/>
                <w:szCs w:val="22"/>
                <w:lang w:val="en-US" w:eastAsia="en-US" w:bidi="ar-SA"/>
              </w:rPr>
              <w:t xml:space="preserve">ke </w:t>
            </w:r>
            <w:r>
              <w:rPr>
                <w:rFonts w:eastAsia="Quattrocento Sans" w:cs="Calibri" w:cstheme="majorHAnsi"/>
                <w:kern w:val="0"/>
                <w:sz w:val="22"/>
                <w:szCs w:val="22"/>
                <w:lang w:val="en-US" w:eastAsia="en-US" w:bidi="ar-SA"/>
              </w:rPr>
              <w:t>sinyal digital</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w:t>
            </w:r>
            <w:r>
              <w:rPr>
                <w:rFonts w:eastAsia="Quattrocento Sans" w:cs="Calibri" w:cstheme="majorHAnsi"/>
                <w:b w:val="false"/>
                <w:bCs w:val="false"/>
                <w:kern w:val="0"/>
                <w:sz w:val="22"/>
                <w:szCs w:val="22"/>
                <w:lang w:val="en-US" w:eastAsia="en-US" w:bidi="ar-SA"/>
              </w:rPr>
              <w:t xml:space="preserve">engkodean data digital </w:t>
            </w:r>
            <w:r>
              <w:rPr>
                <w:rFonts w:eastAsia="Quattrocento Sans" w:cs="Calibri" w:cstheme="majorHAnsi"/>
                <w:b w:val="false"/>
                <w:bCs w:val="false"/>
                <w:kern w:val="0"/>
                <w:sz w:val="22"/>
                <w:szCs w:val="22"/>
                <w:lang w:val="en-US" w:eastAsia="en-US" w:bidi="ar-SA"/>
              </w:rPr>
              <w:t xml:space="preserve">ke </w:t>
            </w:r>
            <w:r>
              <w:rPr>
                <w:rFonts w:eastAsia="Quattrocento Sans" w:cs="Calibri" w:cstheme="majorHAnsi"/>
                <w:b w:val="false"/>
                <w:bCs w:val="false"/>
                <w:kern w:val="0"/>
                <w:sz w:val="22"/>
                <w:szCs w:val="22"/>
                <w:lang w:val="en-US" w:eastAsia="en-US" w:bidi="ar-SA"/>
              </w:rPr>
              <w:t>sinyal analog</w:t>
            </w:r>
          </w:p>
          <w:p>
            <w:pPr>
              <w:pStyle w:val="ListParagraph"/>
              <w:widowControl/>
              <w:numPr>
                <w:ilvl w:val="0"/>
                <w:numId w:val="7"/>
              </w:numPr>
              <w:bidi w:val="0"/>
              <w:spacing w:lineRule="auto" w:line="240" w:before="0" w:after="0"/>
              <w:ind w:left="180" w:right="0" w:hanging="180"/>
              <w:contextualSpacing w:val="false"/>
              <w:jc w:val="left"/>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w:t>
            </w:r>
            <w:r>
              <w:rPr>
                <w:rFonts w:eastAsia="Quattrocento Sans" w:cs="Calibri" w:cstheme="majorHAnsi"/>
                <w:b w:val="false"/>
                <w:bCs w:val="false"/>
                <w:kern w:val="0"/>
                <w:sz w:val="22"/>
                <w:szCs w:val="22"/>
                <w:lang w:val="en-US" w:eastAsia="en-US" w:bidi="ar-SA"/>
              </w:rPr>
              <w:t xml:space="preserve">engkodean data analog </w:t>
            </w:r>
            <w:r>
              <w:rPr>
                <w:rFonts w:eastAsia="Quattrocento Sans" w:cs="Calibri" w:cstheme="majorHAnsi"/>
                <w:b w:val="false"/>
                <w:bCs w:val="false"/>
                <w:kern w:val="0"/>
                <w:sz w:val="22"/>
                <w:szCs w:val="22"/>
                <w:lang w:val="en-US" w:eastAsia="en-US" w:bidi="ar-SA"/>
              </w:rPr>
              <w:t xml:space="preserve">ke </w:t>
            </w:r>
            <w:r>
              <w:rPr>
                <w:rFonts w:eastAsia="Quattrocento Sans" w:cs="Calibri" w:cstheme="majorHAnsi"/>
                <w:b w:val="false"/>
                <w:bCs w:val="false"/>
                <w:kern w:val="0"/>
                <w:sz w:val="22"/>
                <w:szCs w:val="22"/>
                <w:lang w:val="en-US" w:eastAsia="en-US" w:bidi="ar-SA"/>
              </w:rPr>
              <w:t>sinyal digital</w:t>
            </w:r>
          </w:p>
          <w:p>
            <w:pPr>
              <w:pStyle w:val="ListParagraph"/>
              <w:widowControl/>
              <w:bidi w:val="0"/>
              <w:spacing w:lineRule="auto" w:line="240" w:before="0" w:after="0"/>
              <w:ind w:left="180" w:right="0" w:hanging="180"/>
              <w:contextualSpacing w:val="false"/>
              <w:jc w:val="left"/>
              <w:textAlignment w:val="center"/>
              <w:rPr>
                <w:rFonts w:asciiTheme="majorHAnsi" w:cstheme="majorHAnsi" w:hAnsiTheme="majorHAnsi"/>
              </w:rPr>
            </w:pPr>
            <w:r>
              <w:rPr>
                <w:rFonts w:eastAsia="Quattrocento Sans" w:cs="Calibri"/>
                <w:b w:val="false"/>
                <w:bCs w:val="false"/>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8</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Tengah Semester (UTS)</w:t>
            </w:r>
          </w:p>
        </w:tc>
      </w:tr>
      <w:tr>
        <w:trPr>
          <w:trHeight w:val="432" w:hRule="atLeast"/>
        </w:trPr>
        <w:tc>
          <w:tcPr>
            <w:tcW w:w="9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9-10</w:t>
            </w:r>
          </w:p>
        </w:tc>
        <w:tc>
          <w:tcPr>
            <w:tcW w:w="2111"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2038"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val="false"/>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Transmisi sinkron dan asinkron</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Tipe – tipe 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Deteksi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Koreksi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i/>
                <w:kern w:val="0"/>
                <w:sz w:val="22"/>
                <w:szCs w:val="22"/>
                <w:lang w:val="en-US" w:eastAsia="en-US" w:bidi="ar-SA"/>
              </w:rPr>
              <w:t>Line configuration</w:t>
            </w:r>
          </w:p>
        </w:tc>
        <w:tc>
          <w:tcPr>
            <w:tcW w:w="1515" w:type="dxa"/>
            <w:tcBorders>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6</w:t>
            </w:r>
          </w:p>
        </w:tc>
        <w:tc>
          <w:tcPr>
            <w:tcW w:w="1470"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Mampu menganalisis </w:t>
            </w:r>
            <w:r>
              <w:rPr>
                <w:rFonts w:eastAsia="Quattrocento Sans" w:cs="Calibri" w:cstheme="majorHAnsi"/>
                <w:b w:val="false"/>
                <w:bCs w:val="false"/>
                <w:i w:val="false"/>
                <w:iCs w:val="false"/>
                <w:kern w:val="0"/>
                <w:sz w:val="22"/>
                <w:szCs w:val="22"/>
                <w:lang w:val="en-US" w:eastAsia="en-US" w:bidi="ar-SA"/>
              </w:rPr>
              <w:t xml:space="preserve">hasil dari metode-metode pendeteksi </w:t>
            </w:r>
            <w:r>
              <w:rPr>
                <w:rFonts w:eastAsia="Quattrocento Sans" w:cs="Calibri" w:cstheme="majorHAnsi"/>
                <w:b w:val="false"/>
                <w:bCs w:val="false"/>
                <w:i/>
                <w:iCs/>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dari metode pengoreksi </w:t>
            </w:r>
            <w:r>
              <w:rPr>
                <w:rFonts w:eastAsia="Quattrocento Sans" w:cs="Calibri" w:cstheme="majorHAnsi"/>
                <w:i/>
                <w:kern w:val="0"/>
                <w:sz w:val="22"/>
                <w:szCs w:val="22"/>
                <w:lang w:val="en-US" w:eastAsia="en-US" w:bidi="ar-SA"/>
              </w:rPr>
              <w:t>error</w:t>
            </w:r>
          </w:p>
          <w:p>
            <w:pPr>
              <w:pStyle w:val="ListParagraph"/>
              <w:widowControl/>
              <w:bidi w:val="0"/>
              <w:spacing w:lineRule="auto" w:line="240" w:before="0" w:after="0"/>
              <w:ind w:left="180" w:right="0" w:hanging="180"/>
              <w:contextualSpacing w:val="false"/>
              <w:jc w:val="left"/>
              <w:textAlignment w:val="center"/>
              <w:rPr>
                <w:rFonts w:ascii="Calibri" w:hAnsi="Calibri" w:cs="Calibri" w:asciiTheme="majorHAnsi" w:cstheme="majorHAnsi" w:hAnsiTheme="majorHAnsi"/>
                <w:i/>
                <w:i/>
              </w:rPr>
            </w:pPr>
            <w:r>
              <w:rPr>
                <w:rFonts w:eastAsia="Quattrocento Sans"/>
                <w:kern w:val="0"/>
                <w:sz w:val="22"/>
                <w:szCs w:val="22"/>
                <w:lang w:val="en-US" w:eastAsia="en-US" w:bidi="ar-SA"/>
              </w:rPr>
            </w:r>
          </w:p>
        </w:tc>
        <w:tc>
          <w:tcPr>
            <w:tcW w:w="78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Error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High Level Data Link control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7</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val="false"/>
                <w:iCs w:val="false"/>
                <w:kern w:val="0"/>
                <w:sz w:val="22"/>
                <w:szCs w:val="22"/>
                <w:lang w:val="en-US" w:eastAsia="en-US" w:bidi="ar-SA"/>
              </w:rPr>
              <w:t xml:space="preserve">Mampu menganalisis hasil dari salah satu metode </w:t>
            </w:r>
            <w:r>
              <w:rPr>
                <w:rFonts w:eastAsia="Quattrocento Sans" w:cs="Calibri" w:cstheme="majorHAnsi"/>
                <w:i/>
                <w:kern w:val="0"/>
                <w:sz w:val="22"/>
                <w:szCs w:val="22"/>
                <w:lang w:val="en-US" w:eastAsia="en-US" w:bidi="ar-SA"/>
              </w:rPr>
              <w:t>f</w:t>
            </w:r>
            <w:r>
              <w:rPr>
                <w:rFonts w:eastAsia="Quattrocento Sans" w:cs="Calibri" w:cstheme="majorHAnsi"/>
                <w:i/>
                <w:kern w:val="0"/>
                <w:sz w:val="22"/>
                <w:szCs w:val="22"/>
                <w:lang w:val="en-US" w:eastAsia="en-US" w:bidi="ar-SA"/>
              </w:rPr>
              <w:t>low control</w:t>
            </w:r>
          </w:p>
          <w:p>
            <w:pPr>
              <w:pStyle w:val="ListParagraph"/>
              <w:widowControl/>
              <w:numPr>
                <w:ilvl w:val="0"/>
                <w:numId w:val="9"/>
              </w:numPr>
              <w:bidi w:val="0"/>
              <w:spacing w:lineRule="auto" w:line="240" w:before="0" w:after="0"/>
              <w:ind w:left="180" w:right="0" w:hanging="180"/>
              <w:contextualSpacing w:val="false"/>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val="false"/>
                <w:iCs w:val="false"/>
                <w:kern w:val="0"/>
                <w:sz w:val="22"/>
                <w:szCs w:val="22"/>
                <w:lang w:val="en-US" w:eastAsia="en-US" w:bidi="ar-SA"/>
              </w:rPr>
              <w:t xml:space="preserve">Mampu menganalisis hasil dari salah satu metode </w:t>
            </w:r>
            <w:r>
              <w:rPr>
                <w:rFonts w:eastAsia="Quattrocento Sans" w:cs="Calibri" w:cstheme="majorHAnsi"/>
                <w:b w:val="false"/>
                <w:bCs w:val="false"/>
                <w:i/>
                <w:kern w:val="0"/>
                <w:sz w:val="22"/>
                <w:szCs w:val="22"/>
                <w:lang w:val="en-US" w:eastAsia="en-US" w:bidi="ar-SA"/>
              </w:rPr>
              <w:t>e</w:t>
            </w:r>
            <w:r>
              <w:rPr>
                <w:rFonts w:eastAsia="Quattrocento Sans" w:cs="Calibri" w:cstheme="majorHAnsi"/>
                <w:b w:val="false"/>
                <w:bCs w:val="false"/>
                <w:i/>
                <w:kern w:val="0"/>
                <w:sz w:val="22"/>
                <w:szCs w:val="22"/>
                <w:lang w:val="en-US" w:eastAsia="en-US" w:bidi="ar-SA"/>
              </w:rPr>
              <w:t>rror control</w:t>
            </w:r>
          </w:p>
          <w:p>
            <w:pPr>
              <w:pStyle w:val="ListParagraph"/>
              <w:widowControl/>
              <w:bidi w:val="0"/>
              <w:spacing w:lineRule="auto" w:line="240" w:before="0" w:after="0"/>
              <w:ind w:left="180" w:right="0" w:hanging="180"/>
              <w:contextualSpacing w:val="false"/>
              <w:jc w:val="left"/>
              <w:textAlignment w:val="center"/>
              <w:rPr>
                <w:rFonts w:asciiTheme="majorHAnsi" w:cstheme="majorHAnsi" w:hAnsiTheme="majorHAnsi"/>
                <w:b w:val="false"/>
                <w:b w:val="false"/>
                <w:bCs w:val="false"/>
              </w:rPr>
            </w:pPr>
            <w:r>
              <w:rPr>
                <w:rFonts w:eastAsia="Quattrocento Sans" w:cs="Calibri"/>
                <w:i/>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2</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Kuis 2</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3-14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 xml:space="preserve">Mahasiswa mampu </w:t>
            </w:r>
            <w:r>
              <w:rPr>
                <w:rFonts w:cs="Calibri" w:cstheme="majorHAnsi"/>
                <w:b w:val="false"/>
                <w:bCs w:val="false"/>
                <w:color w:val="000000"/>
                <w:kern w:val="0"/>
                <w:sz w:val="22"/>
                <w:szCs w:val="22"/>
                <w:lang w:val="en-US" w:eastAsia="en-US" w:bidi="ar-SA"/>
              </w:rPr>
              <w:t>menguraikan</w:t>
            </w:r>
            <w:r>
              <w:rPr>
                <w:rFonts w:cs="Calibri" w:cstheme="majorHAnsi"/>
                <w:b w:val="false"/>
                <w:bCs w:val="false"/>
                <w:color w:val="000000"/>
                <w:kern w:val="0"/>
                <w:sz w:val="22"/>
                <w:szCs w:val="22"/>
                <w:lang w:val="en-US" w:eastAsia="en-US" w:bidi="ar-SA"/>
              </w:rPr>
              <w:t xml:space="preserve"> teknik – teknik multipleksing</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w:t>
            </w:r>
            <w:r>
              <w:rPr>
                <w:rFonts w:cs="Calibri" w:cstheme="majorHAnsi"/>
                <w:b w:val="false"/>
                <w:bCs w:val="false"/>
                <w:color w:val="000000"/>
                <w:kern w:val="0"/>
                <w:sz w:val="22"/>
                <w:szCs w:val="22"/>
                <w:lang w:val="en-US" w:eastAsia="en-US" w:bidi="ar-SA"/>
              </w:rPr>
              <w:t>4</w:t>
            </w:r>
            <w:r>
              <w:rPr>
                <w:rFonts w:cs="Calibri" w:cstheme="majorHAnsi"/>
                <w:b w:val="false"/>
                <w:bCs w:val="false"/>
                <w:color w:val="000000"/>
                <w:kern w:val="0"/>
                <w:sz w:val="22"/>
                <w:szCs w:val="22"/>
                <w:lang w:val="en-US" w:eastAsia="en-US" w:bidi="ar-SA"/>
              </w:rPr>
              <w:t>, P</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 A</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Code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ADSL</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xDSL</w:t>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8</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Mahasiswa mampu menganalisis hasil metode c</w:t>
            </w:r>
            <w:r>
              <w:rPr>
                <w:rFonts w:cs="Calibri" w:ascii="Calibri" w:hAnsi="Calibri"/>
                <w:i/>
                <w:color w:val="000000"/>
                <w:kern w:val="0"/>
                <w:sz w:val="22"/>
                <w:szCs w:val="22"/>
                <w:lang w:val="en-US" w:eastAsia="en-US" w:bidi="ar-SA"/>
              </w:rPr>
              <w:t xml:space="preserve">ode </w:t>
            </w:r>
            <w:r>
              <w:rPr>
                <w:rFonts w:cs="Calibri" w:ascii="Calibri" w:hAnsi="Calibri"/>
                <w:i/>
                <w:color w:val="000000"/>
                <w:kern w:val="0"/>
                <w:sz w:val="22"/>
                <w:szCs w:val="22"/>
                <w:lang w:val="en-US" w:eastAsia="en-US" w:bidi="ar-SA"/>
              </w:rPr>
              <w:t>d</w:t>
            </w:r>
            <w:r>
              <w:rPr>
                <w:rFonts w:cs="Calibri" w:ascii="Calibri" w:hAnsi="Calibri"/>
                <w:i/>
                <w:color w:val="000000"/>
                <w:kern w:val="0"/>
                <w:sz w:val="22"/>
                <w:szCs w:val="22"/>
                <w:lang w:val="en-US" w:eastAsia="en-US" w:bidi="ar-SA"/>
              </w:rPr>
              <w:t xml:space="preserve">ivision </w:t>
            </w:r>
            <w:r>
              <w:rPr>
                <w:rFonts w:cs="Calibri" w:ascii="Calibri" w:hAnsi="Calibri"/>
                <w:i/>
                <w:color w:val="000000"/>
                <w:kern w:val="0"/>
                <w:sz w:val="22"/>
                <w:szCs w:val="22"/>
                <w:lang w:val="en-US" w:eastAsia="en-US" w:bidi="ar-SA"/>
              </w:rPr>
              <w:t>m</w:t>
            </w:r>
            <w:r>
              <w:rPr>
                <w:rFonts w:cs="Calibri" w:ascii="Calibri" w:hAnsi="Calibri"/>
                <w:i/>
                <w:color w:val="000000"/>
                <w:kern w:val="0"/>
                <w:sz w:val="22"/>
                <w:szCs w:val="22"/>
                <w:lang w:val="en-US" w:eastAsia="en-US" w:bidi="ar-SA"/>
              </w:rPr>
              <w:t>ultiplexing</w:t>
            </w:r>
          </w:p>
          <w:p>
            <w:pPr>
              <w:pStyle w:val="NormalWeb"/>
              <w:widowControl/>
              <w:tabs>
                <w:tab w:val="clear" w:pos="720"/>
              </w:tabs>
              <w:bidi w:val="0"/>
              <w:spacing w:lineRule="auto" w:line="240" w:beforeAutospacing="0" w:before="0" w:afterAutospacing="0" w:after="0"/>
              <w:ind w:left="180" w:right="0" w:hanging="180"/>
              <w:jc w:val="left"/>
              <w:textAlignment w:val="center"/>
              <w:rPr>
                <w:i/>
                <w:i/>
              </w:rPr>
            </w:pPr>
            <w:r>
              <w:rPr>
                <w:rFonts w:cs="Calibri" w:ascii="Calibri" w:hAnsi="Calibri"/>
                <w:color w:val="000000"/>
                <w:kern w:val="0"/>
                <w:sz w:val="22"/>
                <w:szCs w:val="22"/>
                <w:lang w:val="en-US" w:eastAsia="en-US" w:bidi="ar-SA"/>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Arsitektur </w:t>
            </w:r>
            <w:r>
              <w:rPr>
                <w:rFonts w:eastAsia="Quattrocento Sans" w:cs="Calibri" w:cstheme="majorHAnsi"/>
                <w:i/>
                <w:kern w:val="0"/>
                <w:sz w:val="22"/>
                <w:szCs w:val="22"/>
                <w:lang w:val="en-US" w:eastAsia="en-US" w:bidi="ar-SA"/>
              </w:rPr>
              <w:t>switching</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circuit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Perbandingan </w:t>
            </w:r>
            <w:r>
              <w:rPr>
                <w:rFonts w:eastAsia="Quattrocento Sans" w:cs="Calibri" w:cstheme="majorHAnsi"/>
                <w:b w:val="false"/>
                <w:bCs w:val="false"/>
                <w:i/>
                <w:kern w:val="0"/>
                <w:sz w:val="22"/>
                <w:szCs w:val="22"/>
                <w:lang w:val="en-US" w:eastAsia="en-US" w:bidi="ar-SA"/>
              </w:rPr>
              <w:t>packet switch</w:t>
            </w:r>
            <w:r>
              <w:rPr>
                <w:rFonts w:eastAsia="Quattrocento Sans" w:cs="Calibri" w:cstheme="majorHAnsi"/>
                <w:b w:val="false"/>
                <w:bCs w:val="false"/>
                <w:kern w:val="0"/>
                <w:sz w:val="22"/>
                <w:szCs w:val="22"/>
                <w:lang w:val="en-US" w:eastAsia="en-US" w:bidi="ar-SA"/>
              </w:rPr>
              <w:t xml:space="preserve"> dan </w:t>
            </w:r>
            <w:r>
              <w:rPr>
                <w:rFonts w:eastAsia="Quattrocento Sans" w:cs="Calibri" w:cstheme="majorHAnsi"/>
                <w:b w:val="false"/>
                <w:bCs w:val="false"/>
                <w:i/>
                <w:kern w:val="0"/>
                <w:sz w:val="22"/>
                <w:szCs w:val="22"/>
                <w:lang w:val="en-US" w:eastAsia="en-US" w:bidi="ar-SA"/>
              </w:rPr>
              <w:t>circuit switch</w:t>
            </w:r>
          </w:p>
          <w:p>
            <w:pPr>
              <w:pStyle w:val="ListParagraph"/>
              <w:widowControl/>
              <w:bidi w:val="0"/>
              <w:spacing w:lineRule="auto" w:line="240" w:before="0" w:after="0"/>
              <w:ind w:left="180" w:right="0" w:hanging="180"/>
              <w:contextualSpacing w:val="false"/>
              <w:jc w:val="left"/>
              <w:textAlignment w:val="center"/>
              <w:rPr>
                <w:rFonts w:ascii="Calibri" w:hAnsi="Calibri" w:cs="Calibri" w:asciiTheme="majorHAnsi" w:cstheme="majorHAnsi" w:hAnsiTheme="majorHAnsi"/>
                <w:b w:val="false"/>
                <w:b w:val="false"/>
                <w:bCs w:val="false"/>
                <w:i/>
                <w:i/>
              </w:rPr>
            </w:pPr>
            <w:r>
              <w:rPr>
                <w:rFonts w:eastAsia="Quattrocento Sans"/>
                <w:kern w:val="0"/>
                <w:sz w:val="22"/>
                <w:szCs w:val="22"/>
                <w:lang w:val="en-US" w:eastAsia="en-US" w:bidi="ar-SA"/>
              </w:rPr>
            </w:r>
          </w:p>
        </w:tc>
        <w:tc>
          <w:tcPr>
            <w:tcW w:w="1515"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9</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val="false"/>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kern w:val="0"/>
                <w:sz w:val="22"/>
                <w:szCs w:val="22"/>
                <w:lang w:val="en-US" w:eastAsia="en-US" w:bidi="ar-SA"/>
              </w:rPr>
              <w:t xml:space="preserve"> </w:t>
            </w:r>
            <w:r>
              <w:rPr>
                <w:rFonts w:eastAsia="Quattrocento Sans" w:cs="Calibri" w:cstheme="majorHAnsi"/>
                <w:i/>
                <w:kern w:val="0"/>
                <w:sz w:val="22"/>
                <w:szCs w:val="22"/>
                <w:lang w:val="en-US" w:eastAsia="en-US" w:bidi="ar-SA"/>
              </w:rPr>
              <w:t>circuit switch</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16</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775"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2875"/>
        <w:gridCol w:w="1900"/>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90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Tugas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Kuis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Tengah Semester (UTS)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Akhir Semester (UAS)</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KETERLAMBATAN</w:t>
      </w:r>
      <w:r>
        <w:rPr>
          <w:rFonts w:eastAsia="Quattrocento Sans" w:cs="Quattrocento Sans" w:ascii="Quattrocento Sans" w:hAnsi="Quattrocento Sans"/>
          <w:color w:val="000000"/>
          <w:sz w:val="22"/>
          <w:szCs w:val="22"/>
        </w:rPr>
        <w:t xml:space="preserve"> kehadiran dalam kelas </w:t>
      </w:r>
      <w:r>
        <w:rPr>
          <w:rFonts w:eastAsia="Quattrocento Sans" w:cs="Quattrocento Sans" w:ascii="Quattrocento Sans" w:hAnsi="Quattrocento Sans"/>
          <w:b/>
          <w:color w:val="000000"/>
          <w:sz w:val="22"/>
          <w:szCs w:val="22"/>
        </w:rPr>
        <w:t>LEBIH DARI 15 MENIT</w:t>
      </w:r>
      <w:r>
        <w:rPr>
          <w:rFonts w:eastAsia="Quattrocento Sans" w:cs="Quattrocento Sans" w:ascii="Quattrocento Sans" w:hAnsi="Quattrocento Sans"/>
          <w:color w:val="000000"/>
          <w:sz w:val="22"/>
          <w:szCs w:val="22"/>
        </w:rPr>
        <w:t xml:space="preserve"> setelah jam masuk kelas akan diberikan sanksi </w:t>
      </w:r>
      <w:r>
        <w:rPr>
          <w:rFonts w:eastAsia="Quattrocento Sans" w:cs="Quattrocento Sans" w:ascii="Quattrocento Sans" w:hAnsi="Quattrocento Sans"/>
          <w:b/>
          <w:color w:val="000000"/>
          <w:sz w:val="22"/>
          <w:szCs w:val="22"/>
        </w:rPr>
        <w:t>TIDAK DIIJINKAN MENGIKUTI PERKULIAHAN</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kehadiran dosen lebih dari 10 menit setelah jam masuk kelas maka kelas pada hari itu ditiadakan namun mahasiswa dianggap hadir.</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KECURANGAN</w:t>
      </w:r>
      <w:r>
        <w:rPr>
          <w:rFonts w:eastAsia="Quattrocento Sans" w:cs="Quattrocento Sans" w:ascii="Quattrocento Sans" w:hAnsi="Quattrocento Sans"/>
          <w:color w:val="000000"/>
          <w:sz w:val="22"/>
          <w:szCs w:val="22"/>
        </w:rPr>
        <w:t xml:space="preserve"> yang meliputi kegiatan plagiat, curang, dan/atau menyontek dalam setiap </w:t>
      </w:r>
      <w:r>
        <w:rPr>
          <w:rFonts w:eastAsia="Quattrocento Sans" w:cs="Quattrocento Sans" w:ascii="Quattrocento Sans" w:hAnsi="Quattrocento Sans"/>
          <w:b/>
          <w:color w:val="000000"/>
          <w:sz w:val="22"/>
          <w:szCs w:val="22"/>
        </w:rPr>
        <w:t xml:space="preserve">EVALUASI </w:t>
      </w:r>
      <w:r>
        <w:rPr>
          <w:rFonts w:eastAsia="Quattrocento Sans" w:cs="Quattrocento Sans" w:ascii="Quattrocento Sans" w:hAnsi="Quattrocento Sans"/>
          <w:color w:val="000000"/>
          <w:sz w:val="22"/>
          <w:szCs w:val="22"/>
        </w:rPr>
        <w:t>(</w:t>
      </w:r>
      <w:r>
        <w:rPr>
          <w:rFonts w:eastAsia="Quattrocento Sans" w:cs="Quattrocento Sans" w:ascii="Quattrocento Sans" w:hAnsi="Quattrocento Sans"/>
          <w:b/>
          <w:color w:val="000000"/>
          <w:sz w:val="22"/>
          <w:szCs w:val="22"/>
        </w:rPr>
        <w:t>UJIAN TULIS</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NILAI 0 ATAU E</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KETIDAKHADIRAN</w:t>
      </w:r>
      <w:r>
        <w:rPr>
          <w:rFonts w:eastAsia="Quattrocento Sans" w:cs="Quattrocento Sans" w:ascii="Quattrocento Sans" w:hAnsi="Quattrocento Sans"/>
          <w:color w:val="000000"/>
          <w:sz w:val="22"/>
          <w:szCs w:val="22"/>
        </w:rPr>
        <w:t xml:space="preserve"> pada waktu tugas kelompok (presentasi) akan diberikan sanksi nilai 0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 xml:space="preserve">pengumpulan tugas individu dan tugas kelompok akan diberikan sanksi </w:t>
      </w:r>
      <w:r>
        <w:rPr>
          <w:rFonts w:eastAsia="Quattrocento Sans" w:cs="Quattrocento Sans" w:ascii="Quattrocento Sans" w:hAnsi="Quattrocento Sans"/>
          <w:b/>
          <w:color w:val="000000"/>
          <w:sz w:val="22"/>
          <w:szCs w:val="22"/>
        </w:rPr>
        <w:t xml:space="preserve">PENGURANGAN NILAI EVALUASI </w:t>
      </w:r>
      <w:r>
        <w:rPr>
          <w:rFonts w:eastAsia="Quattrocento Sans" w:cs="Quattrocento Sans" w:ascii="Quattrocento Sans" w:hAnsi="Quattrocento Sans"/>
          <w:color w:val="000000"/>
          <w:sz w:val="22"/>
          <w:szCs w:val="22"/>
        </w:rPr>
        <w:t>sebesar</w:t>
      </w:r>
      <w:r>
        <w:rPr>
          <w:rFonts w:eastAsia="Quattrocento Sans" w:cs="Quattrocento Sans" w:ascii="Quattrocento Sans" w:hAnsi="Quattrocento Sans"/>
          <w:b/>
          <w:color w:val="000000"/>
          <w:sz w:val="22"/>
          <w:szCs w:val="22"/>
        </w:rPr>
        <w:t xml:space="preserve"> 5 POIN</w:t>
      </w:r>
      <w:r>
        <w:rPr>
          <w:rFonts w:eastAsia="Quattrocento Sans" w:cs="Quattrocento Sans" w:ascii="Quattrocento Sans" w:hAnsi="Quattrocento Sans"/>
          <w:color w:val="000000"/>
          <w:sz w:val="22"/>
          <w:szCs w:val="22"/>
        </w:rPr>
        <w:t xml:space="preserve"> </w:t>
      </w:r>
      <w:r>
        <w:rPr>
          <w:rFonts w:eastAsia="Quattrocento Sans" w:cs="Quattrocento Sans" w:ascii="Quattrocento Sans" w:hAnsi="Quattrocento Sans"/>
          <w:b/>
          <w:color w:val="000000"/>
          <w:sz w:val="22"/>
          <w:szCs w:val="22"/>
        </w:rPr>
        <w:t xml:space="preserve">PER HARI </w:t>
      </w:r>
      <w:r>
        <w:rPr>
          <w:rFonts w:eastAsia="Quattrocento Sans" w:cs="Quattrocento Sans" w:ascii="Quattrocento Sans" w:hAnsi="Quattrocento Sans"/>
          <w:color w:val="000000"/>
          <w:sz w:val="22"/>
          <w:szCs w:val="22"/>
        </w:rPr>
        <w:t>(maks 20 poin) kepada mahasiswa atau kelompok tugas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Jika ada laporan </w:t>
      </w:r>
      <w:r>
        <w:rPr>
          <w:rFonts w:eastAsia="Quattrocento Sans" w:cs="Quattrocento Sans" w:ascii="Quattrocento Sans" w:hAnsi="Quattrocento Sans"/>
          <w:b/>
          <w:color w:val="000000"/>
          <w:sz w:val="22"/>
          <w:szCs w:val="22"/>
        </w:rPr>
        <w:t>KEKURANG-AKTIFAN</w:t>
      </w:r>
      <w:r>
        <w:rPr>
          <w:rFonts w:eastAsia="Quattrocento Sans" w:cs="Quattrocento Sans" w:ascii="Quattrocento Sans" w:hAnsi="Quattrocento Sans"/>
          <w:color w:val="000000"/>
          <w:sz w:val="22"/>
          <w:szCs w:val="22"/>
        </w:rPr>
        <w:t xml:space="preserve"> / </w:t>
      </w:r>
      <w:r>
        <w:rPr>
          <w:rFonts w:eastAsia="Quattrocento Sans" w:cs="Quattrocento Sans" w:ascii="Quattrocento Sans" w:hAnsi="Quattrocento Sans"/>
          <w:b/>
          <w:color w:val="000000"/>
          <w:sz w:val="22"/>
          <w:szCs w:val="22"/>
        </w:rPr>
        <w:t>KETIDAK-AKTIFAN</w:t>
      </w:r>
      <w:r>
        <w:rPr>
          <w:rFonts w:eastAsia="Quattrocento Sans" w:cs="Quattrocento Sans" w:ascii="Quattrocento Sans" w:hAnsi="Quattrocento Sans"/>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MEMENUHI SYARAT KEHADIRAN 80%</w:t>
      </w:r>
      <w:r>
        <w:rPr>
          <w:rFonts w:eastAsia="Quattrocento Sans" w:cs="Quattrocento Sans" w:ascii="Quattrocento Sans" w:hAnsi="Quattrocento Sans"/>
          <w:color w:val="000000"/>
          <w:sz w:val="22"/>
          <w:szCs w:val="22"/>
        </w:rPr>
        <w:t xml:space="preserve"> akan mendapat </w:t>
      </w:r>
      <w:r>
        <w:rPr>
          <w:rFonts w:eastAsia="Quattrocento Sans" w:cs="Quattrocento Sans" w:ascii="Quattrocento Sans" w:hAnsi="Quattrocento Sans"/>
          <w:b/>
          <w:color w:val="000000"/>
          <w:sz w:val="22"/>
          <w:szCs w:val="22"/>
        </w:rPr>
        <w:t>NILAI E</w:t>
      </w:r>
      <w:r>
        <w:rPr>
          <w:rFonts w:eastAsia="Quattrocento Sans" w:cs="Quattrocento Sans" w:ascii="Quattrocento Sans" w:hAnsi="Quattrocento Sans"/>
          <w:color w:val="000000"/>
          <w:sz w:val="22"/>
          <w:szCs w:val="22"/>
        </w:rPr>
        <w:t>.</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TIDAK LULUS</w:t>
      </w:r>
      <w:r>
        <w:rPr>
          <w:rFonts w:eastAsia="Quattrocento Sans" w:cs="Quattrocento Sans" w:ascii="Quattrocento Sans" w:hAnsi="Quattrocento Sans"/>
          <w:color w:val="000000"/>
          <w:sz w:val="22"/>
          <w:szCs w:val="22"/>
        </w:rPr>
        <w:t>.</w:t>
      </w:r>
    </w:p>
    <w:p>
      <w:pPr>
        <w:pStyle w:val="Normal"/>
        <w:numPr>
          <w:ilvl w:val="0"/>
          <w:numId w:val="12"/>
        </w:numPr>
        <w:pBdr/>
        <w:spacing w:before="0" w:after="0"/>
        <w:jc w:val="both"/>
        <w:rPr>
          <w:sz w:val="22"/>
          <w:szCs w:val="22"/>
        </w:rPr>
      </w:pPr>
      <w:r>
        <w:rPr>
          <w:rFonts w:eastAsia="Quattrocento Sans" w:cs="Quattrocento Sans" w:ascii="Quattrocento Sans" w:hAnsi="Quattrocento Sans"/>
          <w:color w:val="000000"/>
          <w:sz w:val="22"/>
          <w:szCs w:val="22"/>
        </w:rPr>
        <w:t xml:space="preserve">Mahasiswa yang membantu mahasiswa lain untuk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PENGURANGAN 20% SELURUH NILAI EVALUASI</w:t>
      </w:r>
      <w:r>
        <w:rPr>
          <w:rFonts w:eastAsia="Quattrocento Sans" w:cs="Quattrocento Sans" w:ascii="Quattrocento Sans" w:hAnsi="Quattrocento Sans"/>
          <w:color w:val="000000"/>
          <w:sz w:val="22"/>
          <w:szCs w:val="22"/>
        </w:rPr>
        <w:t>.</w:t>
      </w:r>
    </w:p>
    <w:p>
      <w:pPr>
        <w:pStyle w:val="Normal"/>
        <w:numPr>
          <w:ilvl w:val="0"/>
          <w:numId w:val="12"/>
        </w:numPr>
        <w:pBdr/>
        <w:spacing w:lineRule="auto" w:line="288" w:before="0" w:after="0"/>
        <w:jc w:val="both"/>
        <w:rPr>
          <w:sz w:val="22"/>
          <w:szCs w:val="22"/>
        </w:rPr>
      </w:pPr>
      <w:bookmarkStart w:id="1" w:name="_GoBack"/>
      <w:bookmarkEnd w:id="1"/>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HADIR</w:t>
      </w:r>
      <w:r>
        <w:rPr>
          <w:rFonts w:eastAsia="Quattrocento Sans" w:cs="Quattrocento Sans" w:ascii="Quattrocento Sans" w:hAnsi="Quattrocento Sans"/>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2"/>
      <w:footerReference w:type="default" r:id="rId3"/>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291" w:hanging="0"/>
            <w:jc w:val="center"/>
            <w:rPr/>
          </w:pPr>
          <w:r>
            <w:rPr/>
            <w:drawing>
              <wp:inline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b/>
              <w:b/>
              <w:sz w:val="28"/>
              <w:szCs w:val="28"/>
            </w:rPr>
          </w:pPr>
          <w:r>
            <w:rPr>
              <w:b/>
              <w:sz w:val="28"/>
              <w:szCs w:val="28"/>
            </w:rPr>
            <w:t>RENCANA PEMBELAJARAN SEMESTER</w:t>
          </w:r>
        </w:p>
        <w:p>
          <w:pPr>
            <w:pStyle w:val="Normal"/>
            <w:widowControl w:val="false"/>
            <w:spacing w:lineRule="auto" w:line="276" w:before="0" w:after="0"/>
            <w:jc w:val="center"/>
            <w:rPr>
              <w:b/>
              <w:b/>
              <w:sz w:val="24"/>
              <w:szCs w:val="24"/>
            </w:rPr>
          </w:pPr>
          <w:r>
            <w:rPr>
              <w:b/>
              <w:sz w:val="24"/>
              <w:szCs w:val="24"/>
            </w:rPr>
            <w:t xml:space="preserve">PROGRAM STUDI </w:t>
          </w:r>
          <w:r>
            <w:rPr>
              <w:b/>
              <w:sz w:val="24"/>
              <w:szCs w:val="24"/>
            </w:rPr>
            <w:t>TEKNIK ELEKTRO</w:t>
          </w:r>
        </w:p>
        <w:p>
          <w:pPr>
            <w:pStyle w:val="Normal"/>
            <w:widowControl w:val="false"/>
            <w:spacing w:lineRule="auto" w:line="276" w:before="0" w:after="0"/>
            <w:jc w:val="center"/>
            <w:rPr>
              <w:b/>
              <w:b/>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No. Dok.</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Tgl. Terbit</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14</w:t>
          </w:r>
          <w:r>
            <w:rPr>
              <w:sz w:val="20"/>
              <w:szCs w:val="20"/>
            </w:rPr>
            <w:t>/0</w:t>
          </w:r>
          <w:r>
            <w:rPr>
              <w:sz w:val="20"/>
              <w:szCs w:val="20"/>
            </w:rPr>
            <w:t>2</w:t>
          </w:r>
          <w:r>
            <w:rPr>
              <w:sz w:val="20"/>
              <w:szCs w:val="20"/>
            </w:rPr>
            <w:t>/20</w:t>
          </w:r>
          <w:r>
            <w:rPr>
              <w:sz w:val="20"/>
              <w:szCs w:val="20"/>
            </w:rPr>
            <w:t>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left="175" w:hanging="175"/>
            <w:rPr>
              <w:sz w:val="20"/>
              <w:szCs w:val="20"/>
            </w:rPr>
          </w:pPr>
          <w:r>
            <w:rPr>
              <w:sz w:val="20"/>
              <w:szCs w:val="20"/>
            </w:rPr>
            <w:t>No. Revisi</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Hal</w:t>
          </w:r>
        </w:p>
      </w:tc>
      <w:tc>
        <w:tcPr>
          <w:tcW w:w="285"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11</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11</w:t>
          </w:r>
          <w:r>
            <w:rPr>
              <w:sz w:val="20"/>
              <w:szCs w:val="20"/>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LibreOffice/7.2.5.2.0$Linux_X86_64 LibreOffice_project/20$Build-2</Application>
  <AppVersion>15.0000</AppVersion>
  <Pages>11</Pages>
  <Words>1381</Words>
  <Characters>8227</Characters>
  <CharactersWithSpaces>9297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2022-02-14T15:03:17Z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