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2"/>
        <w:tblW w:w="1516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238"/>
        <w:gridCol w:w="2221"/>
        <w:gridCol w:w="1627"/>
        <w:gridCol w:w="921"/>
        <w:gridCol w:w="2547"/>
        <w:gridCol w:w="1518"/>
        <w:gridCol w:w="1296"/>
        <w:gridCol w:w="119"/>
        <w:gridCol w:w="2695"/>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5"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NAMA</w:t>
            </w:r>
          </w:p>
        </w:tc>
        <w:tc>
          <w:tcPr>
            <w:tcW w:w="222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TANDA TANGAN</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t>Barokatun Hasanah, S.T., M.T.</w:t>
            </w:r>
          </w:p>
        </w:tc>
        <w:tc>
          <w:tcPr>
            <w:tcW w:w="22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pBdr/>
              <w:ind w:left="540" w:hanging="540"/>
              <w:jc w:val="both"/>
              <w:rPr/>
            </w:pPr>
            <w:r>
              <w:rPr>
                <w:color w:val="000000"/>
              </w:rPr>
              <w:t>S.8      Menginternalisasi nilai, norma, dan etika akademik.</w:t>
            </w:r>
          </w:p>
          <w:p>
            <w:pPr>
              <w:pStyle w:val="Normal"/>
              <w:widowControl w:val="false"/>
              <w:pBdr/>
              <w:ind w:left="540" w:hanging="540"/>
              <w:jc w:val="both"/>
              <w:rPr>
                <w:color w:val="000000"/>
              </w:rPr>
            </w:pPr>
            <w:r>
              <w:rPr>
                <w:color w:val="000000"/>
              </w:rPr>
              <w:t>S.9      Menunjukkan sikap bertanggungjawab atas pekerjaan di</w:t>
            </w:r>
            <w:r>
              <w:rPr/>
              <w:t xml:space="preserve"> </w:t>
            </w:r>
            <w:r>
              <w:rPr>
                <w:color w:val="000000"/>
              </w:rPr>
              <w:t>bidang keahliannya secara mandiri.</w:t>
            </w:r>
          </w:p>
          <w:p>
            <w:pPr>
              <w:pStyle w:val="Normal"/>
              <w:widowControl w:val="false"/>
              <w:pBdr/>
              <w:ind w:left="540" w:hanging="540"/>
              <w:jc w:val="both"/>
              <w:rPr/>
            </w:pPr>
            <w:r>
              <w:rPr>
                <w:color w:val="000000"/>
              </w:rPr>
              <w:t>KU.1  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p>
            <w:pPr>
              <w:pStyle w:val="Normal"/>
              <w:widowControl w:val="false"/>
              <w:pBdr/>
              <w:ind w:left="540" w:hanging="540"/>
              <w:jc w:val="both"/>
              <w:rPr>
                <w:color w:val="000000"/>
              </w:rPr>
            </w:pPr>
            <w:r>
              <w:rPr>
                <w:color w:val="000000"/>
              </w:rPr>
              <w:t xml:space="preserve">KU.2  Mampu menunjukkan kinerja mandiri, bermutu, dan terukur. </w:t>
            </w:r>
          </w:p>
          <w:p>
            <w:pPr>
              <w:pStyle w:val="Normal"/>
              <w:widowControl w:val="false"/>
              <w:pBdr/>
              <w:ind w:left="540" w:hanging="540"/>
              <w:rPr/>
            </w:pPr>
            <w:r>
              <w:rPr>
                <w:color w:val="000000"/>
              </w:rPr>
              <w:t>P.3     Menguasai konsep dasar sistem tenaga, sistem pengaturan,</w:t>
            </w:r>
            <w:r>
              <w:rPr/>
              <w:t xml:space="preserve"> </w:t>
            </w:r>
            <w:r>
              <w:rPr>
                <w:color w:val="000000"/>
              </w:rPr>
              <w:t>elektronika, telekomunikasi dan sistem komputer.</w:t>
            </w:r>
          </w:p>
          <w:p>
            <w:pPr>
              <w:pStyle w:val="Normal"/>
              <w:widowControl w:val="false"/>
              <w:pBdr/>
              <w:ind w:left="540" w:hanging="540"/>
              <w:jc w:val="both"/>
              <w:rPr>
                <w:color w:val="000000"/>
              </w:rPr>
            </w:pPr>
            <w:r>
              <w:rPr>
                <w:color w:val="000000"/>
              </w:rPr>
              <w:t>P.4    Menguasai dasar teknik komputasi dan teknologi informasi dala</w:t>
            </w:r>
            <w:r>
              <w:rPr/>
              <w:t xml:space="preserve">m </w:t>
            </w:r>
            <w:r>
              <w:rPr>
                <w:color w:val="000000"/>
              </w:rPr>
              <w:t>bidang sistem tenaga, sistem pengaturan, elektronika, telekomunikasi, dan sistem komputer.</w:t>
            </w:r>
          </w:p>
          <w:p>
            <w:pPr>
              <w:pStyle w:val="Normal"/>
              <w:widowControl w:val="false"/>
              <w:pBdr/>
              <w:ind w:left="540" w:hanging="540"/>
              <w:jc w:val="both"/>
              <w:rPr/>
            </w:pPr>
            <w:r>
              <w:rPr>
                <w:color w:val="000000"/>
              </w:rPr>
              <w:t>KK.2</w:t>
            </w:r>
            <w:r>
              <w:rPr/>
              <w:t xml:space="preserve">   </w:t>
            </w: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p>
            <w:pPr>
              <w:pStyle w:val="Normal"/>
              <w:widowControl w:val="false"/>
              <w:pBdr/>
              <w:spacing w:before="0" w:after="200"/>
              <w:ind w:left="540" w:hanging="540"/>
              <w:jc w:val="both"/>
              <w:rPr>
                <w:color w:val="000000"/>
              </w:rPr>
            </w:pPr>
            <w:r>
              <w:rPr>
                <w:color w:val="000000"/>
              </w:rPr>
              <w:t>KK.4  Kemampuan memanfaatkan perangkat analisis berbasis teknologi informasi dan komputasi yang sesuai untuk aktivitas teknik pada bidang sistem tenaga, sistem pengaturan, elektronika, telekomunikasi dan sistem komputer</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color w:val="000000"/>
              </w:rPr>
            </w:pPr>
            <w:r>
              <w:rPr>
                <w:color w:val="000000"/>
              </w:rPr>
              <w:t>Mahasiswa mampu menganalisis perangkat dan elemen jaringan penyusun komunikasi data (C4, A3, P3)</w:t>
            </w:r>
          </w:p>
          <w:p>
            <w:pPr>
              <w:pStyle w:val="Normal"/>
              <w:widowControl w:val="false"/>
              <w:pBdr/>
              <w:spacing w:lineRule="auto" w:line="240" w:before="0" w:after="0"/>
              <w:rPr>
                <w:color w:val="000000"/>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rPr>
                <w:b/>
                <w:b/>
              </w:rPr>
            </w:pPr>
            <w:r>
              <w:rPr>
                <w:b/>
              </w:rPr>
            </w:r>
          </w:p>
          <w:tbl>
            <w:tblPr>
              <w:tblStyle w:val="a3"/>
              <w:tblW w:w="129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987"/>
              <w:gridCol w:w="1561"/>
              <w:gridCol w:w="567"/>
              <w:gridCol w:w="567"/>
              <w:gridCol w:w="566"/>
              <w:gridCol w:w="567"/>
              <w:gridCol w:w="567"/>
              <w:gridCol w:w="566"/>
            </w:tblGrid>
            <w:tr>
              <w:trPr/>
              <w:tc>
                <w:tcPr>
                  <w:tcW w:w="798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561"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3400" w:type="dxa"/>
                  <w:gridSpan w:val="6"/>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798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1561"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66"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6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dst</w:t>
                  </w:r>
                </w:p>
              </w:tc>
            </w:tr>
            <w:tr>
              <w:trPr>
                <w:trHeight w:val="253" w:hRule="atLeast"/>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pPr>
                  <w:r>
                    <w:rPr/>
                    <w:t>Total</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sz w:val="16"/>
                      <w:szCs w:val="16"/>
                    </w:rPr>
                    <w:t>*sesuai dengan jumlah presentase penilaian</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pBdr/>
              <w:spacing w:before="0" w:after="0"/>
              <w:ind w:left="360" w:hanging="360"/>
              <w:jc w:val="both"/>
              <w:rPr>
                <w:color w:val="000000"/>
              </w:rPr>
            </w:pPr>
            <w:r>
              <w:rPr>
                <w:color w:val="000000"/>
              </w:rPr>
              <w:t>Pengantar komunikasi data</w:t>
            </w:r>
          </w:p>
          <w:p>
            <w:pPr>
              <w:pStyle w:val="Normal"/>
              <w:widowControl w:val="false"/>
              <w:numPr>
                <w:ilvl w:val="0"/>
                <w:numId w:val="1"/>
              </w:numPr>
              <w:pBdr/>
              <w:spacing w:before="0" w:after="0"/>
              <w:ind w:left="360" w:hanging="360"/>
              <w:jc w:val="both"/>
              <w:rPr>
                <w:color w:val="000000"/>
              </w:rPr>
            </w:pPr>
            <w:r>
              <w:rPr>
                <w:color w:val="000000"/>
              </w:rPr>
              <w:t>Teknik komunikasi</w:t>
            </w:r>
          </w:p>
          <w:p>
            <w:pPr>
              <w:pStyle w:val="Normal"/>
              <w:widowControl w:val="false"/>
              <w:numPr>
                <w:ilvl w:val="0"/>
                <w:numId w:val="1"/>
              </w:numPr>
              <w:pBdr/>
              <w:spacing w:before="0" w:after="0"/>
              <w:ind w:left="360" w:hanging="360"/>
              <w:jc w:val="both"/>
              <w:rPr>
                <w:color w:val="000000"/>
              </w:rPr>
            </w:pPr>
            <w:r>
              <w:rPr>
                <w:color w:val="000000"/>
              </w:rPr>
              <w:t>Pengkodean data</w:t>
            </w:r>
          </w:p>
          <w:p>
            <w:pPr>
              <w:pStyle w:val="Normal"/>
              <w:widowControl w:val="false"/>
              <w:numPr>
                <w:ilvl w:val="0"/>
                <w:numId w:val="1"/>
              </w:numPr>
              <w:pBdr/>
              <w:spacing w:before="0" w:after="0"/>
              <w:ind w:left="360" w:hanging="360"/>
              <w:jc w:val="both"/>
              <w:rPr>
                <w:color w:val="000000"/>
              </w:rPr>
            </w:pPr>
            <w:r>
              <w:rPr>
                <w:color w:val="000000"/>
              </w:rPr>
              <w:t>Teknik Iterfacing</w:t>
            </w:r>
          </w:p>
          <w:p>
            <w:pPr>
              <w:pStyle w:val="Normal"/>
              <w:widowControl w:val="false"/>
              <w:numPr>
                <w:ilvl w:val="0"/>
                <w:numId w:val="1"/>
              </w:numPr>
              <w:pBdr/>
              <w:spacing w:before="0" w:after="0"/>
              <w:ind w:left="360" w:hanging="360"/>
              <w:jc w:val="both"/>
              <w:rPr>
                <w:color w:val="000000"/>
              </w:rPr>
            </w:pPr>
            <w:r>
              <w:rPr>
                <w:color w:val="000000"/>
              </w:rPr>
              <w:t>Teknik Switching</w:t>
            </w:r>
          </w:p>
          <w:p>
            <w:pPr>
              <w:pStyle w:val="Normal"/>
              <w:widowControl w:val="false"/>
              <w:numPr>
                <w:ilvl w:val="0"/>
                <w:numId w:val="1"/>
              </w:numPr>
              <w:pBdr/>
              <w:spacing w:before="0" w:after="0"/>
              <w:ind w:left="360" w:hanging="360"/>
              <w:jc w:val="both"/>
              <w:rPr>
                <w:color w:val="000000"/>
              </w:rPr>
            </w:pPr>
            <w:r>
              <w:rPr>
                <w:color w:val="000000"/>
              </w:rPr>
              <w:t>Protokol</w:t>
            </w:r>
          </w:p>
          <w:p>
            <w:pPr>
              <w:pStyle w:val="Normal"/>
              <w:widowControl w:val="false"/>
              <w:numPr>
                <w:ilvl w:val="0"/>
                <w:numId w:val="1"/>
              </w:numPr>
              <w:pBdr/>
              <w:spacing w:before="0" w:after="0"/>
              <w:ind w:left="360" w:hanging="360"/>
              <w:jc w:val="both"/>
              <w:rPr>
                <w:color w:val="000000"/>
              </w:rPr>
            </w:pPr>
            <w:r>
              <w:rPr>
                <w:color w:val="000000"/>
              </w:rPr>
              <w:t>Model OSI</w:t>
            </w:r>
          </w:p>
          <w:p>
            <w:pPr>
              <w:pStyle w:val="Normal"/>
              <w:widowControl w:val="false"/>
              <w:numPr>
                <w:ilvl w:val="0"/>
                <w:numId w:val="1"/>
              </w:numPr>
              <w:pBdr/>
              <w:spacing w:before="0" w:after="0"/>
              <w:ind w:left="360" w:hanging="360"/>
              <w:jc w:val="both"/>
              <w:rPr>
                <w:color w:val="000000"/>
              </w:rPr>
            </w:pPr>
            <w:r>
              <w:rPr>
                <w:color w:val="000000"/>
              </w:rPr>
              <w:t xml:space="preserve">LAN </w:t>
            </w:r>
          </w:p>
          <w:p>
            <w:pPr>
              <w:pStyle w:val="Normal"/>
              <w:widowControl w:val="false"/>
              <w:numPr>
                <w:ilvl w:val="0"/>
                <w:numId w:val="0"/>
              </w:numPr>
              <w:pBdr/>
              <w:spacing w:before="0" w:after="0"/>
              <w:ind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pBd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pBd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pBdr/>
              <w:tabs>
                <w:tab w:val="clear" w:pos="720"/>
                <w:tab w:val="left" w:pos="0" w:leader="none"/>
              </w:tabs>
              <w:spacing w:lineRule="auto" w:line="276" w:before="0" w:after="200"/>
              <w:ind w:left="331" w:hanging="360"/>
              <w:contextualSpacing/>
              <w:rPr>
                <w:color w:val="000000"/>
              </w:rPr>
            </w:pPr>
            <w:r>
              <w:rPr>
                <w:color w:val="000000"/>
              </w:rPr>
              <w:t>Tanenbaum, A. S. &amp; Wetherall, D. J. (2013). Computer Networks, Fifth Edition. London: Pearson.</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b/>
              </w:rPr>
            </w:pPr>
            <w:r>
              <w:rPr>
                <w:b/>
              </w:rPr>
              <w:t>MEDIA PEMBELAJARAN</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ind w:left="416" w:hanging="416"/>
              <w:rPr/>
            </w:pPr>
            <w:r>
              <w:rPr/>
              <w:t>Sumber Referensi</w:t>
            </w:r>
          </w:p>
          <w:p>
            <w:pPr>
              <w:pStyle w:val="Normal"/>
              <w:widowControl w:val="false"/>
              <w:numPr>
                <w:ilvl w:val="6"/>
                <w:numId w:val="2"/>
              </w:numPr>
              <w:pBdr/>
              <w:tabs>
                <w:tab w:val="clear" w:pos="720"/>
                <w:tab w:val="left" w:pos="0" w:leader="none"/>
              </w:tabs>
              <w:spacing w:lineRule="auto" w:line="276" w:before="0" w:after="20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66"/>
        <w:gridCol w:w="2111"/>
        <w:gridCol w:w="1328"/>
        <w:gridCol w:w="629"/>
        <w:gridCol w:w="1616"/>
        <w:gridCol w:w="1801"/>
        <w:gridCol w:w="1466"/>
        <w:gridCol w:w="1664"/>
        <w:gridCol w:w="1566"/>
        <w:gridCol w:w="1285"/>
        <w:gridCol w:w="954"/>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1328"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2245" w:type="dxa"/>
            <w:gridSpan w:val="2"/>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67"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5"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54"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328"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245" w:type="dxa"/>
            <w:gridSpan w:val="2"/>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80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6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4"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15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128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54"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(2)</w:t>
            </w:r>
          </w:p>
        </w:tc>
        <w:tc>
          <w:tcPr>
            <w:tcW w:w="1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(4)</w:t>
            </w:r>
          </w:p>
        </w:tc>
        <w:tc>
          <w:tcPr>
            <w:tcW w:w="224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(5)</w:t>
            </w:r>
          </w:p>
        </w:tc>
        <w:tc>
          <w:tcPr>
            <w:tcW w:w="18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(6)</w:t>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(7)</w:t>
            </w:r>
          </w:p>
        </w:tc>
        <w:tc>
          <w:tcPr>
            <w:tcW w:w="16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(8)</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(9)</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(10)</w:t>
            </w:r>
          </w:p>
        </w:tc>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memahami konsep komunikasi data (C2, P1, A1)</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memahami konsep dan arsitektur protokol TCP/IP dan model OSI (C2, P1, A1)</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memahami konsep transmisi data (C2, P1, A1)</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200"/>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200"/>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200"/>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6</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8</w:t>
            </w:r>
          </w:p>
        </w:tc>
        <w:tc>
          <w:tcPr>
            <w:tcW w:w="4068"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r>
          </w:p>
        </w:tc>
        <w:tc>
          <w:tcPr>
            <w:tcW w:w="1616" w:type="dxa"/>
            <w:tcBorders/>
          </w:tcPr>
          <w:p>
            <w:pPr>
              <w:pStyle w:val="Normal"/>
              <w:widowControl w:val="false"/>
              <w:spacing w:before="0" w:after="200"/>
              <w:rPr/>
            </w:pPr>
            <w:r>
              <w:rPr/>
            </w:r>
          </w:p>
        </w:tc>
        <w:tc>
          <w:tcPr>
            <w:tcW w:w="1801" w:type="dxa"/>
            <w:tcBorders/>
          </w:tcPr>
          <w:p>
            <w:pPr>
              <w:pStyle w:val="Normal"/>
              <w:widowControl w:val="false"/>
              <w:spacing w:before="0" w:after="200"/>
              <w:rPr/>
            </w:pPr>
            <w:r>
              <w:rPr/>
            </w:r>
          </w:p>
        </w:tc>
        <w:tc>
          <w:tcPr>
            <w:tcW w:w="1466" w:type="dxa"/>
            <w:tcBorders/>
          </w:tcPr>
          <w:p>
            <w:pPr>
              <w:pStyle w:val="Normal"/>
              <w:widowControl w:val="false"/>
              <w:spacing w:before="0" w:after="200"/>
              <w:rPr/>
            </w:pPr>
            <w:r>
              <w:rPr/>
            </w:r>
          </w:p>
        </w:tc>
        <w:tc>
          <w:tcPr>
            <w:tcW w:w="1664" w:type="dxa"/>
            <w:tcBorders/>
          </w:tcPr>
          <w:p>
            <w:pPr>
              <w:pStyle w:val="Normal"/>
              <w:widowControl w:val="false"/>
              <w:spacing w:before="0" w:after="200"/>
              <w:rPr/>
            </w:pPr>
            <w:r>
              <w:rPr/>
            </w:r>
          </w:p>
        </w:tc>
        <w:tc>
          <w:tcPr>
            <w:tcW w:w="1566" w:type="dxa"/>
            <w:tcBorders/>
          </w:tcPr>
          <w:p>
            <w:pPr>
              <w:pStyle w:val="Normal"/>
              <w:widowControl w:val="false"/>
              <w:spacing w:before="0" w:after="200"/>
              <w:rPr/>
            </w:pPr>
            <w:r>
              <w:rPr/>
            </w:r>
          </w:p>
        </w:tc>
        <w:tc>
          <w:tcPr>
            <w:tcW w:w="1285" w:type="dxa"/>
            <w:tcBorders/>
          </w:tcPr>
          <w:p>
            <w:pPr>
              <w:pStyle w:val="Normal"/>
              <w:widowControl w:val="false"/>
              <w:spacing w:before="0" w:after="200"/>
              <w:rPr/>
            </w:pPr>
            <w:r>
              <w:rPr/>
            </w:r>
          </w:p>
        </w:tc>
        <w:tc>
          <w:tcPr>
            <w:tcW w:w="954" w:type="dxa"/>
            <w:tcBorders/>
          </w:tcPr>
          <w:p>
            <w:pPr>
              <w:pStyle w:val="Normal"/>
              <w:widowControl w:val="false"/>
              <w:spacing w:before="0" w:after="200"/>
              <w:rPr/>
            </w:pPr>
            <w:r>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9</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rPr>
            </w:pPr>
            <w:r>
              <w:rPr>
                <w:b/>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10</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rPr>
            </w:pPr>
            <w:r>
              <w:rPr>
                <w:b/>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rPr>
            </w:pPr>
            <w:r>
              <w:rPr>
                <w:b/>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rPr>
            </w:pPr>
            <w:r>
              <w:rPr>
                <w:b/>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rPr>
            </w:pPr>
            <w:r>
              <w:rPr>
                <w:b/>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rPr>
            </w:pPr>
            <w:r>
              <w:rPr>
                <w:b/>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224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rPr>
            </w:pPr>
            <w:r>
              <w:rPr>
                <w:b/>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16</w:t>
            </w:r>
          </w:p>
        </w:tc>
        <w:tc>
          <w:tcPr>
            <w:tcW w:w="4068"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r>
          </w:p>
        </w:tc>
        <w:tc>
          <w:tcPr>
            <w:tcW w:w="1616" w:type="dxa"/>
            <w:tcBorders/>
          </w:tcPr>
          <w:p>
            <w:pPr>
              <w:pStyle w:val="Normal"/>
              <w:widowControl w:val="false"/>
              <w:spacing w:before="0" w:after="200"/>
              <w:rPr/>
            </w:pPr>
            <w:r>
              <w:rPr/>
            </w:r>
          </w:p>
        </w:tc>
        <w:tc>
          <w:tcPr>
            <w:tcW w:w="1801" w:type="dxa"/>
            <w:tcBorders/>
          </w:tcPr>
          <w:p>
            <w:pPr>
              <w:pStyle w:val="Normal"/>
              <w:widowControl w:val="false"/>
              <w:spacing w:before="0" w:after="200"/>
              <w:rPr/>
            </w:pPr>
            <w:r>
              <w:rPr/>
            </w:r>
          </w:p>
        </w:tc>
        <w:tc>
          <w:tcPr>
            <w:tcW w:w="1466" w:type="dxa"/>
            <w:tcBorders/>
          </w:tcPr>
          <w:p>
            <w:pPr>
              <w:pStyle w:val="Normal"/>
              <w:widowControl w:val="false"/>
              <w:spacing w:before="0" w:after="200"/>
              <w:rPr/>
            </w:pPr>
            <w:r>
              <w:rPr/>
            </w:r>
          </w:p>
        </w:tc>
        <w:tc>
          <w:tcPr>
            <w:tcW w:w="1664" w:type="dxa"/>
            <w:tcBorders/>
          </w:tcPr>
          <w:p>
            <w:pPr>
              <w:pStyle w:val="Normal"/>
              <w:widowControl w:val="false"/>
              <w:spacing w:before="0" w:after="200"/>
              <w:rPr/>
            </w:pPr>
            <w:r>
              <w:rPr/>
            </w:r>
          </w:p>
        </w:tc>
        <w:tc>
          <w:tcPr>
            <w:tcW w:w="1566" w:type="dxa"/>
            <w:tcBorders/>
          </w:tcPr>
          <w:p>
            <w:pPr>
              <w:pStyle w:val="Normal"/>
              <w:widowControl w:val="false"/>
              <w:spacing w:before="0" w:after="200"/>
              <w:rPr/>
            </w:pPr>
            <w:r>
              <w:rPr/>
            </w:r>
          </w:p>
        </w:tc>
        <w:tc>
          <w:tcPr>
            <w:tcW w:w="1285" w:type="dxa"/>
            <w:tcBorders/>
          </w:tcPr>
          <w:p>
            <w:pPr>
              <w:pStyle w:val="Normal"/>
              <w:widowControl w:val="false"/>
              <w:spacing w:before="0" w:after="200"/>
              <w:rPr/>
            </w:pPr>
            <w:r>
              <w:rPr/>
            </w:r>
          </w:p>
        </w:tc>
        <w:tc>
          <w:tcPr>
            <w:tcW w:w="954" w:type="dxa"/>
            <w:tcBorders/>
          </w:tcPr>
          <w:p>
            <w:pPr>
              <w:pStyle w:val="Normal"/>
              <w:widowControl w:val="false"/>
              <w:spacing w:before="0" w:after="200"/>
              <w:rPr/>
            </w:pPr>
            <w:r>
              <w:rPr/>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200"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2365"/>
        <w:gridCol w:w="1834"/>
      </w:tblGrid>
      <w:tr>
        <w:trPr/>
        <w:tc>
          <w:tcPr>
            <w:tcW w:w="23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834"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pBdr/>
        <w:spacing w:lineRule="auto" w:line="288" w:before="0" w:after="0"/>
        <w:rPr>
          <w:rFonts w:ascii="Quattrocento Sans" w:hAnsi="Quattrocento Sans" w:eastAsia="Quattrocento Sans" w:cs="Quattrocento Sans"/>
          <w:color w:val="000000"/>
          <w:sz w:val="24"/>
          <w:szCs w:val="24"/>
        </w:rPr>
      </w:pPr>
      <w:r>
        <w:rPr/>
      </w:r>
      <w:bookmarkStart w:id="1" w:name="_GoBack"/>
      <w:bookmarkStart w:id="2" w:name="_GoBack"/>
      <w:bookmarkEnd w:id="2"/>
    </w:p>
    <w:sectPr>
      <w:headerReference w:type="default" r:id="rId2"/>
      <w:footerReference w:type="default" r:id="rId3"/>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Quattrocento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ind w:left="-291" w:hanging="0"/>
            <w:jc w:val="center"/>
            <w:rPr>
              <w:b/>
              <w:b/>
              <w:sz w:val="20"/>
              <w:szCs w:val="20"/>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sz w:val="40"/>
              <w:szCs w:val="40"/>
            </w:rPr>
          </w:pPr>
          <w:r>
            <w:rPr>
              <w:b/>
              <w:sz w:val="28"/>
              <w:szCs w:val="28"/>
            </w:rPr>
            <w:t>RENCANA PEMBELAJARAN SEMESTER</w:t>
          </w:r>
        </w:p>
        <w:p>
          <w:pPr>
            <w:pStyle w:val="Normal"/>
            <w:widowControl w:val="false"/>
            <w:jc w:val="center"/>
            <w:rPr>
              <w:b/>
              <w:b/>
              <w:color w:val="FF0000"/>
              <w:sz w:val="24"/>
              <w:szCs w:val="24"/>
            </w:rPr>
          </w:pPr>
          <w:r>
            <w:rPr>
              <w:b/>
              <w:sz w:val="24"/>
              <w:szCs w:val="24"/>
            </w:rPr>
            <w:t xml:space="preserve">PROGRAM STUDI </w:t>
          </w:r>
          <w:r>
            <w:rPr>
              <w:b/>
              <w:sz w:val="24"/>
              <w:szCs w:val="24"/>
            </w:rPr>
            <w:t>TEKNIK ELEKTRO</w:t>
          </w:r>
        </w:p>
        <w:p>
          <w:pPr>
            <w:pStyle w:val="Normal"/>
            <w:widowControl w:val="false"/>
            <w:spacing w:before="0" w:after="200"/>
            <w:jc w:val="center"/>
            <w:rPr>
              <w:b/>
              <w:b/>
              <w:sz w:val="20"/>
              <w:szCs w:val="20"/>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sz w:val="20"/>
              <w:szCs w:val="20"/>
            </w:rPr>
          </w:pPr>
          <w:r>
            <w:rPr>
              <w:sz w:val="20"/>
              <w:szCs w:val="20"/>
            </w:rPr>
            <w:t>14</w:t>
          </w:r>
          <w:r>
            <w:rPr>
              <w:sz w:val="20"/>
              <w:szCs w:val="20"/>
            </w:rPr>
            <w:t>/0</w:t>
          </w:r>
          <w:r>
            <w:rPr>
              <w:sz w:val="20"/>
              <w:szCs w:val="20"/>
            </w:rPr>
            <w:t>2</w:t>
          </w:r>
          <w:r>
            <w:rPr>
              <w:sz w:val="20"/>
              <w:szCs w:val="20"/>
            </w:rPr>
            <w:t>/20</w:t>
          </w:r>
          <w:r>
            <w:rPr>
              <w:sz w:val="20"/>
              <w:szCs w:val="20"/>
            </w:rPr>
            <w:t>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ind w:left="175" w:hanging="175"/>
            <w:rPr>
              <w:sz w:val="20"/>
              <w:szCs w:val="20"/>
            </w:rPr>
          </w:pPr>
          <w:r>
            <w:rPr>
              <w:sz w:val="20"/>
              <w:szCs w:val="20"/>
            </w:rPr>
            <w:t>No. Revisi</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LibreOffice/7.2.5.2.0$Linux_X86_64 LibreOffice_project/20$Build-2</Application>
  <AppVersion>15.0000</AppVersion>
  <Pages>9</Pages>
  <Words>679</Words>
  <Characters>4069</Characters>
  <CharactersWithSpaces>4614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2022-02-14T11:58:40Z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