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widowControl w:val="off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tbl>
      <w:tblPr>
        <w:tblStyle w:val="943"/>
        <w:tblW w:w="15163" w:type="dxa"/>
        <w:jc w:val="center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>
        <w:trPr>
          <w:jc w:val="center"/>
        </w:trPr>
        <w:tc>
          <w:tcPr>
            <w:gridSpan w:val="2"/>
            <w:shd w:val="clear" w:fill="E7E6E6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</w:t>
            </w:r>
            <w:r/>
          </w:p>
        </w:tc>
        <w:tc>
          <w:tcPr>
            <w:shd w:val="clear" w:fill="E7E6E6" w:color="auto"/>
            <w:tcW w:w="1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KODE</w:t>
            </w:r>
            <w:r/>
          </w:p>
        </w:tc>
        <w:tc>
          <w:tcPr>
            <w:shd w:val="clear" w:fill="E7E6E6" w:color="auto"/>
            <w:tcW w:w="346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DOSEN PENGAMPU</w:t>
            </w:r>
            <w:r/>
          </w:p>
        </w:tc>
        <w:tc>
          <w:tcPr>
            <w:shd w:val="clear" w:fill="E7E6E6" w:color="auto"/>
            <w:tcW w:w="1517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BOBOT (SKS)</w:t>
            </w:r>
            <w:r/>
          </w:p>
        </w:tc>
        <w:tc>
          <w:tcPr>
            <w:shd w:val="clear" w:fill="E7E6E6" w:color="auto"/>
            <w:tcW w:w="141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SEMESTER</w:t>
            </w:r>
            <w:r/>
          </w:p>
        </w:tc>
        <w:tc>
          <w:tcPr>
            <w:shd w:val="clear" w:fill="E7E6E6" w:color="auto"/>
            <w:tcW w:w="26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TANGGAL PENYUSUNAN</w:t>
            </w:r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 w:val="false"/>
              </w:rPr>
              <w:t xml:space="preserve">Metode Numerik</w:t>
            </w:r>
            <w:r/>
          </w:p>
        </w:tc>
        <w:tc>
          <w:tcPr>
            <w:shd w:val="clear" w:fill="auto" w:color="auto"/>
            <w:tcW w:w="1628" w:type="dxa"/>
            <w:textDirection w:val="lrTb"/>
            <w:noWrap w:val="false"/>
          </w:tcPr>
          <w:p>
            <w:r/>
            <w:r/>
          </w:p>
        </w:tc>
        <w:tc>
          <w:tcPr>
            <w:shd w:val="clear" w:fill="auto" w:color="auto"/>
            <w:tcW w:w="3468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szCs w:val="16"/>
              </w:rPr>
              <w:t xml:space="preserve">Tim Dosen Pengampu</w:t>
            </w:r>
            <w:r>
              <w:rPr>
                <w:sz w:val="22"/>
              </w:rPr>
            </w:r>
          </w:p>
        </w:tc>
        <w:tc>
          <w:tcPr>
            <w:shd w:val="clear" w:fill="auto" w:color="auto"/>
            <w:tcW w:w="1517" w:type="dxa"/>
            <w:textDirection w:val="lrTb"/>
            <w:noWrap w:val="false"/>
          </w:tcPr>
          <w:p>
            <w:pPr>
              <w:jc w:val="center"/>
            </w:pPr>
            <w:r>
              <w:t xml:space="preserve">2 SKS</w:t>
            </w:r>
            <w:r/>
          </w:p>
        </w:tc>
        <w:tc>
          <w:tcPr>
            <w:shd w:val="clear" w:fill="auto" w:color="auto"/>
            <w:tcW w:w="141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696" w:type="dxa"/>
            <w:textDirection w:val="lrTb"/>
            <w:noWrap w:val="false"/>
          </w:tcPr>
          <w:p>
            <w:r/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OTORISASI</w:t>
            </w:r>
            <w:r/>
          </w:p>
        </w:tc>
        <w:tc>
          <w:tcPr>
            <w:gridSpan w:val="2"/>
            <w:shd w:val="clear" w:fill="E7E6E6" w:color="auto"/>
            <w:tcW w:w="50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MK</w:t>
            </w:r>
            <w:r/>
          </w:p>
        </w:tc>
        <w:tc>
          <w:tcPr>
            <w:gridSpan w:val="3"/>
            <w:shd w:val="clear" w:fill="E7E6E6" w:color="auto"/>
            <w:tcW w:w="5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PROGRAM STUDI</w:t>
            </w:r>
            <w:r/>
          </w:p>
        </w:tc>
      </w:tr>
      <w:tr>
        <w:trPr>
          <w:jc w:val="center"/>
          <w:trHeight w:val="300"/>
        </w:trPr>
        <w:tc>
          <w:tcPr>
            <w:gridSpan w:val="2"/>
            <w:shd w:val="clear" w:fill="auto" w:color="auto"/>
            <w:tcW w:w="4439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fill="auto" w:color="auto"/>
            <w:tcBorders>
              <w:bottom w:val="single" w:color="000000" w:sz="4" w:space="0"/>
            </w:tcBorders>
            <w:tcW w:w="5096" w:type="dxa"/>
            <w:textDirection w:val="lrTb"/>
            <w:noWrap w:val="false"/>
          </w:tcPr>
          <w:p>
            <w:pPr>
              <w:jc w:val="left"/>
              <w:rPr>
                <w:b/>
              </w:rPr>
            </w:pPr>
            <w:r>
              <w:rPr>
                <w:b w:val="false"/>
              </w:rPr>
              <w:t xml:space="preserve">Mifta Nur Farid, S.T., M.T.</w:t>
            </w:r>
            <w:r/>
          </w:p>
        </w:tc>
        <w:tc>
          <w:tcPr>
            <w:gridSpan w:val="3"/>
            <w:shd w:val="clear" w:fill="auto" w:color="auto"/>
            <w:tcBorders>
              <w:bottom w:val="single" w:color="000000" w:sz="4" w:space="0"/>
            </w:tcBorders>
            <w:tcW w:w="5628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Barokatun Hasanah, S.T., M.T.</w:t>
            </w:r>
            <w:r>
              <w:rPr>
                <w:b w:val="false"/>
              </w:rPr>
            </w:r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CAPAIAN PEMBELAJARAN (CP)</w:t>
            </w:r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bottom w:val="single" w:sz="8" w:space="0" w:color="auto"/>
            </w:tcBorders>
            <w:tcW w:w="13183" w:type="dxa"/>
            <w:textDirection w:val="lrTb"/>
            <w:noWrap w:val="false"/>
          </w:tcPr>
          <w:p>
            <w:pPr>
              <w:tabs>
                <w:tab w:val="left" w:pos="1806" w:leader="none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  <w:r/>
          </w:p>
        </w:tc>
      </w:tr>
      <w:tr>
        <w:trPr>
          <w:jc w:val="center"/>
          <w:trHeight w:val="907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</w:tcBorders>
            <w:tcW w:w="13183" w:type="dxa"/>
            <w:textDirection w:val="lrTb"/>
            <w:noWrap w:val="false"/>
          </w:tcPr>
          <w:p>
            <w:pPr>
              <w:pStyle w:val="951"/>
              <w:numPr>
                <w:ilvl w:val="0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Sikap</w:t>
            </w:r>
            <w:r/>
          </w:p>
          <w:p>
            <w:pPr>
              <w:pStyle w:val="951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Menginternalisasi nilai, norma, dan etika akademik; (S.8)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51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Menunjukkan sikap bertanggungjawab atas pekerjaan di bidang </w:t>
            </w:r>
            <w:r>
              <w:rPr>
                <w:highlight w:val="none"/>
              </w:rPr>
              <w:t xml:space="preserve">keahliannya secara mandiri. (S.9)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51"/>
              <w:numPr>
                <w:ilvl w:val="0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Umum</w:t>
            </w:r>
            <w:r>
              <w:rPr>
                <w:highlight w:val="none"/>
              </w:rPr>
            </w:r>
          </w:p>
          <w:p>
            <w:pPr>
              <w:pStyle w:val="951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51"/>
              <w:numPr>
                <w:ilvl w:val="0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Pengetahuan</w:t>
            </w:r>
            <w:r>
              <w:rPr>
                <w:highlight w:val="none"/>
              </w:rPr>
            </w:r>
          </w:p>
          <w:p>
            <w:pPr>
              <w:pStyle w:val="951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51"/>
              <w:numPr>
                <w:ilvl w:val="0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Khusus</w:t>
            </w:r>
            <w:r>
              <w:rPr>
                <w:highlight w:val="none"/>
              </w:rPr>
            </w:r>
          </w:p>
        </w:tc>
      </w:tr>
      <w:tr>
        <w:trPr>
          <w:jc w:val="center"/>
          <w:trHeight w:val="280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</w:rPr>
              <w:t xml:space="preserve">CAPAIAN PEMBELAJARAN MATA KULIAH</w:t>
            </w:r>
            <w:r>
              <w:rPr>
                <w:b/>
              </w:rPr>
              <w:t xml:space="preserve"> (CPMK)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none" w:color="000000" w:sz="4" w:space="0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sz w:val="16"/>
                <w:szCs w:val="16"/>
              </w:rPr>
              <w:t xml:space="preserve">*</w:t>
            </w:r>
            <w:r>
              <w:rPr>
                <w:sz w:val="16"/>
                <w:szCs w:val="16"/>
              </w:rPr>
              <w:t xml:space="preserve">Diisi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dengan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kemampuan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tertinggi</w:t>
            </w:r>
            <w:r>
              <w:rPr>
                <w:sz w:val="16"/>
                <w:szCs w:val="16"/>
              </w:rPr>
              <w:t xml:space="preserve"> yang </w:t>
            </w:r>
            <w:r>
              <w:rPr>
                <w:sz w:val="16"/>
                <w:szCs w:val="16"/>
              </w:rPr>
              <w:t xml:space="preserve">ingin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dicapai</w:t>
            </w:r>
            <w:r>
              <w:rPr>
                <w:sz w:val="16"/>
                <w:szCs w:val="16"/>
              </w:rPr>
              <w:t xml:space="preserve"> pada </w:t>
            </w:r>
            <w:r>
              <w:rPr>
                <w:sz w:val="16"/>
                <w:szCs w:val="16"/>
              </w:rPr>
              <w:t xml:space="preserve">mata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kuliah</w:t>
            </w:r>
            <w:r>
              <w:rPr>
                <w:sz w:val="16"/>
                <w:szCs w:val="16"/>
              </w:rPr>
              <w:t xml:space="preserve"> </w:t>
            </w:r>
            <w:r/>
          </w:p>
          <w:p>
            <w:pPr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DESKRIPSI SINGKAT MK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BAHAN KAJIAN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pStyle w:val="951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…</w:t>
            </w:r>
            <w:r/>
          </w:p>
          <w:p>
            <w:pPr>
              <w:pStyle w:val="951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…</w:t>
            </w:r>
            <w:r/>
          </w:p>
          <w:p>
            <w:pPr>
              <w:pStyle w:val="951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…</w:t>
            </w:r>
            <w:r/>
          </w:p>
          <w:p>
            <w:pPr>
              <w:pStyle w:val="951"/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PUSTAKA</w:t>
            </w:r>
            <w:r/>
          </w:p>
        </w:tc>
        <w:tc>
          <w:tcPr>
            <w:gridSpan w:val="6"/>
            <w:shd w:val="clear" w:fill="E7E6E6" w:color="auto"/>
            <w:tcBorders>
              <w:bottom w:val="single" w:color="000000" w:sz="8" w:space="0"/>
            </w:tcBorders>
            <w:tcW w:w="13183" w:type="dxa"/>
            <w:textDirection w:val="lrTb"/>
            <w:noWrap w:val="false"/>
          </w:tcPr>
          <w:p>
            <w:pPr>
              <w:ind w:left="26"/>
              <w:rPr>
                <w:b/>
              </w:rPr>
            </w:pPr>
            <w:r>
              <w:rPr>
                <w:b/>
              </w:rPr>
              <w:t xml:space="preserve">UTAMA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  <w:bottom w:val="single" w:color="FFFFFF" w:sz="8" w:space="0"/>
            </w:tcBorders>
            <w:tcW w:w="13183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….</w:t>
            </w:r>
            <w:r/>
          </w:p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….</w:t>
            </w:r>
            <w:r/>
          </w:p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….</w:t>
            </w:r>
            <w:r/>
          </w:p>
          <w:p>
            <w:pPr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gridSpan w:val="6"/>
            <w:shd w:val="clear" w:fill="E7E6E6" w:color="auto"/>
            <w:tcBorders>
              <w:top w:val="single" w:color="000000" w:sz="8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  <w:color w:val="000000"/>
              </w:rPr>
              <w:t xml:space="preserve">PENDUKUNG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951"/>
              <w:numPr>
                <w:ilvl w:val="3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…</w:t>
            </w:r>
            <w:r/>
          </w:p>
          <w:p>
            <w:pPr>
              <w:pStyle w:val="951"/>
              <w:numPr>
                <w:ilvl w:val="3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…</w:t>
            </w:r>
            <w:r/>
          </w:p>
          <w:p>
            <w:pPr>
              <w:pStyle w:val="951"/>
              <w:numPr>
                <w:ilvl w:val="3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…</w:t>
            </w:r>
            <w:r/>
          </w:p>
          <w:p>
            <w:pPr>
              <w:pStyle w:val="951"/>
              <w:ind w:left="416"/>
              <w:spacing w:after="0"/>
              <w:tabs>
                <w:tab w:val="left" w:pos="0" w:leader="none"/>
              </w:tabs>
            </w:pPr>
            <w:r/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  <w:bCs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bCs/>
              </w:rPr>
              <w:t xml:space="preserve">MEDIA PEMBELAJARAN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951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…</w:t>
            </w:r>
            <w:r/>
          </w:p>
          <w:p>
            <w:pPr>
              <w:pStyle w:val="951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…</w:t>
            </w:r>
            <w:r/>
          </w:p>
          <w:p>
            <w:pPr>
              <w:pStyle w:val="951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…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 PRASYARAT</w:t>
            </w:r>
            <w:r/>
          </w:p>
        </w:tc>
        <w:tc>
          <w:tcPr>
            <w:gridSpan w:val="6"/>
            <w:shd w:val="clear" w:fill="auto" w:color="auto"/>
            <w:tcW w:w="13183" w:type="dxa"/>
            <w:textDirection w:val="lrTb"/>
            <w:noWrap w:val="false"/>
          </w:tcPr>
          <w:p>
            <w:r>
              <w:rPr>
                <w:sz w:val="16"/>
                <w:szCs w:val="16"/>
              </w:rPr>
              <w:t xml:space="preserve">*</w:t>
            </w:r>
            <w:r>
              <w:rPr>
                <w:sz w:val="16"/>
                <w:szCs w:val="16"/>
              </w:rPr>
              <w:t xml:space="preserve">Ditulis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dengan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kode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mata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kuliah</w:t>
            </w:r>
            <w:r>
              <w:rPr>
                <w:sz w:val="16"/>
                <w:szCs w:val="16"/>
              </w:rPr>
              <w:t xml:space="preserve"> dan </w:t>
            </w:r>
            <w:r>
              <w:rPr>
                <w:sz w:val="16"/>
                <w:szCs w:val="16"/>
              </w:rPr>
              <w:t xml:space="preserve">nama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mata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kuliah</w:t>
            </w:r>
            <w:r/>
          </w:p>
        </w:tc>
      </w:tr>
    </w:tbl>
    <w:p>
      <w:pPr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KONSEP</w:t>
      </w:r>
      <w:r/>
    </w:p>
    <w:p>
      <w:pPr>
        <w:jc w:val="center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4090" cy="5309870"/>
                <wp:effectExtent l="0" t="0" r="3810" b="5080"/>
                <wp:docPr id="2" name="Pictur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54090" cy="5309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6.7pt;height:418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180" w:hanging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KOMPETENSI</w:t>
      </w:r>
      <w:r/>
    </w:p>
    <w:p>
      <w:pPr>
        <w:jc w:val="center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1759" cy="5329106"/>
                <wp:effectExtent l="0" t="0" r="0" b="0"/>
                <wp:docPr id="3" name="image2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hidden="0"/>
                        <pic:cNvPicPr/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41759" cy="53291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0.6pt;height:419.6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9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RENCANA PEMBELAJARAN SEMESTER</w:t>
      </w:r>
      <w:r/>
    </w:p>
    <w:tbl>
      <w:tblPr>
        <w:tblStyle w:val="946"/>
        <w:tblW w:w="0" w:type="auto"/>
        <w:tblLook w:val="04A0" w:firstRow="1" w:lastRow="0" w:firstColumn="1" w:lastColumn="0" w:noHBand="0" w:noVBand="1"/>
      </w:tblPr>
      <w:tblGrid>
        <w:gridCol w:w="909"/>
        <w:gridCol w:w="1885"/>
        <w:gridCol w:w="1800"/>
        <w:gridCol w:w="1887"/>
        <w:gridCol w:w="2019"/>
        <w:gridCol w:w="1620"/>
        <w:gridCol w:w="1660"/>
        <w:gridCol w:w="1497"/>
        <w:gridCol w:w="1010"/>
        <w:gridCol w:w="993"/>
        <w:gridCol w:w="17"/>
      </w:tblGrid>
      <w:tr>
        <w:trPr>
          <w:gridAfter w:val="1"/>
        </w:trPr>
        <w:tc>
          <w:tcPr>
            <w:shd w:val="clear" w:fill="D9D9D9" w:color="auto"/>
            <w:tcW w:w="90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Minggu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-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Sub-CPMK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Kemampuan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akhir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yg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direncanakan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0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Bahan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Kajian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Pembel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jaran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201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Aktivitas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Belajar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3"/>
            <w:shd w:val="clear" w:fill="D9D9D9" w:color="auto"/>
            <w:tcW w:w="477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Penilaian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0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Durasi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menit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9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Pustaka</w:t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Kriteria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Indikator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Bobot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(2)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(4)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(5)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(6)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(7)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(8)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(9)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(10)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(11)</w:t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3063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responsi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tutorial, seminar,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praktikum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penelitian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pegabdian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masyarakat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br/>
              <w:t xml:space="preserve">**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diskusi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kelompok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simulasi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kasus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kolaboratif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kooperatif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proyek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masalah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Kegiatan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dilakukan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proses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seperti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tugas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presentasi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atau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cara-cara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lainnya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standar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sebuah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tahapan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unsur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menunjukkan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kualitas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kinerja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persentase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bookmarkStart w:id="0" w:name="_GoBack"/>
            <w:r>
              <w:rPr>
                <w:rFonts w:asciiTheme="majorHAnsi" w:hAnsiTheme="majorHAnsi" w:cstheme="majorHAnsi"/>
              </w:rPr>
            </w:r>
            <w:bookmarkEnd w:id="0"/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waktu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takaran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dikonversi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satuan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sks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buku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referensi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acuan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digunakan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sebagai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sumber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mata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2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Contoh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)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mampu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pada material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keramik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kasus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Tugas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Ketepatan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menjawab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Menguraikan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perbedaan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merujuk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pustaka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nomor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halaman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1)</w:t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3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tipe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AX,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,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AmBnXp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berdasarkan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perhitungan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tepat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sesuai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dengan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perbandingan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4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5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6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7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8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TENGAH SEMESTER (UTS)</w:t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9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10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11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12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13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14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15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16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AKHIR SEMESTER (UAS)</w:t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spacing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spacing w:after="0"/>
        <w:rPr>
          <w:rFonts w:ascii="Quattrocento Sans" w:hAnsi="Quattrocento Sans" w:cs="Quattrocento Sans" w:eastAsia="Quattrocento Sans"/>
          <w:b/>
          <w:sz w:val="24"/>
          <w:szCs w:val="24"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KOMPOSISI NILAI EVALUASI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Besar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40%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Quiz 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10%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UTS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25%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Harian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25%</w:t>
      </w:r>
      <w:r/>
    </w:p>
    <w:p>
      <w:r/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KONTRAK KULIAH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: 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LEBIH DARI 15 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DIIJINKAN MENGIKUTI PERKULIAHAN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ditiadakan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namun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dianggap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meliputi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kegiatan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plagiat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curang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dan/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menyontek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setiap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UJIAN TULIS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0 ATAU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pengumpulan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individu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dan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NILAI 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20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Jika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laporan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KEKURANG-AKTIFAN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/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oleh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pimpinan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pengajar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maksimal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50%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MEMENUHI SYARAT KEHADIRAN 80%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mendapat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LULUS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membantu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lain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untuk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20% SELURUH NILAI EVALUASI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kuliah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maupun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karena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alasan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surat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keterangan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instansi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berwenang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 Surat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ijin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diserahkan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Tata Usaha paling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lambat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minggu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sejak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spacing w:lineRule="auto" w:line="288" w:after="0"/>
        <w:rPr>
          <w:rFonts w:ascii="Quattrocento Sans" w:hAnsi="Quattrocento Sans" w:cs="Quattrocento Sans" w:eastAsia="Quattrocento Sans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</w:r>
      <w:r/>
    </w:p>
    <w:sectPr>
      <w:headerReference w:type="default" r:id="rId9"/>
      <w:footerReference w:type="default" r:id="rId10"/>
      <w:footnotePr/>
      <w:endnotePr/>
      <w:type w:val="continuous"/>
      <w:pgSz w:w="16839" w:h="11907" w:orient="landscape"/>
      <w:pgMar w:top="1616" w:right="720" w:bottom="720" w:left="720" w:header="142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Georgia">
    <w:panose1 w:val="02040603050405020204"/>
  </w:font>
  <w:font w:name="noto sans symbols">
    <w:panose1 w:val="020B0502040504020204"/>
  </w:font>
  <w:font w:name="Cambria">
    <w:panose1 w:val="02040503050406030204"/>
  </w:font>
  <w:font w:name="Arial">
    <w:panose1 w:val="020B0604020202020204"/>
  </w:font>
  <w:font w:name="quattrocento sans">
    <w:panose1 w:val="020006090000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tabs>
        <w:tab w:val="center" w:pos="4680" w:leader="none"/>
        <w:tab w:val="right" w:pos="9360" w:leader="none"/>
      </w:tabs>
      <w:rPr>
        <w:rFonts w:ascii="Times New Roman" w:hAnsi="Times New Roman" w:cs="Times New Roman" w:eastAsia="Times New Roman"/>
        <w:i/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Times New Roman" w:hAnsi="Times New Roman" w:cs="Times New Roman" w:eastAsia="Times New Roman"/>
        <w:i/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/>
      <w:widowControl w:val="off"/>
      <w:rPr>
        <w:rFonts w:ascii="Quattrocento Sans" w:hAnsi="Quattrocento Sans" w:cs="Quattrocento Sans" w:eastAsia="Quattrocento Sans"/>
        <w:color w:val="000000"/>
        <w:sz w:val="24"/>
        <w:szCs w:val="24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Quattrocento Sans" w:hAnsi="Quattrocento Sans" w:cs="Quattrocento Sans" w:eastAsia="Quattrocento Sans"/>
        <w:color w:val="000000"/>
        <w:sz w:val="24"/>
        <w:szCs w:val="24"/>
      </w:rPr>
    </w:r>
    <w:r/>
  </w:p>
  <w:tbl>
    <w:tblPr>
      <w:tblStyle w:val="945"/>
      <w:tblW w:w="15120" w:type="dxa"/>
      <w:jc w:val="center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restart"/>
          <w:textDirection w:val="lrTb"/>
          <w:noWrap w:val="false"/>
        </w:tcPr>
        <w:p>
          <w:pPr>
            <w:ind w:left="-291"/>
            <w:jc w:val="center"/>
            <w:spacing w:lineRule="auto" w:line="240" w:after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167619" cy="756900"/>
                    <wp:effectExtent l="0" t="0" r="0" b="5715"/>
                    <wp:docPr id="1" name="image1.png" hidden="false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1.png" hidden="0"/>
                            <pic:cNvPicPr/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81353" cy="7658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9pt;height:59.6pt;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lineRule="auto" w:line="240" w:after="0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 xml:space="preserve">RENCANA PEMBELAJARAN SEMESTER</w:t>
          </w:r>
          <w:r/>
        </w:p>
        <w:p>
          <w:pPr>
            <w:jc w:val="center"/>
            <w:spacing w:lineRule="auto" w:line="240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TEKNIK ELEKTRO</w:t>
          </w:r>
          <w:r>
            <w:rPr>
              <w:b/>
              <w:color w:val="FF0000"/>
              <w:sz w:val="24"/>
              <w:szCs w:val="24"/>
              <w:highlight w:val="yellow"/>
            </w:rPr>
          </w:r>
          <w:r/>
        </w:p>
        <w:p>
          <w:pPr>
            <w:jc w:val="center"/>
            <w:spacing w:lineRule="auto" w:line="240"/>
            <w:rPr>
              <w:b/>
              <w:sz w:val="20"/>
              <w:szCs w:val="20"/>
            </w:rPr>
          </w:pPr>
          <w:r>
            <w:rPr>
              <w:b/>
            </w:rPr>
            <w:t xml:space="preserve">Tahun</w:t>
          </w:r>
          <w:r>
            <w:rPr>
              <w:b/>
            </w:rPr>
            <w:t xml:space="preserve"> </w:t>
          </w:r>
          <w:r>
            <w:rPr>
              <w:b/>
            </w:rPr>
            <w:t xml:space="preserve">Ajaran</w:t>
          </w:r>
          <w:r>
            <w:rPr>
              <w:b/>
            </w:rPr>
            <w:t xml:space="preserve"> 2020 - 2025</w: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Dok</w:t>
          </w:r>
          <w:r>
            <w:rPr>
              <w:sz w:val="20"/>
              <w:szCs w:val="20"/>
            </w:rPr>
            <w:t xml:space="preserve">.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ind w:right="-60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26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Tgl</w:t>
          </w:r>
          <w:r>
            <w:rPr>
              <w:sz w:val="20"/>
              <w:szCs w:val="20"/>
            </w:rPr>
            <w:t xml:space="preserve">. </w:t>
          </w:r>
          <w:r>
            <w:rPr>
              <w:sz w:val="20"/>
              <w:szCs w:val="20"/>
            </w:rPr>
            <w:t xml:space="preserve">Terbit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…./</w:t>
          </w:r>
          <w:r>
            <w:rPr>
              <w:sz w:val="20"/>
              <w:szCs w:val="20"/>
            </w:rPr>
            <w:t xml:space="preserve">08/2017</w:t>
          </w:r>
          <w:r/>
        </w:p>
      </w:tc>
    </w:tr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ind w:left="175" w:hanging="175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Revisi</w:t>
          </w:r>
          <w:r>
            <w:rPr>
              <w:sz w:val="20"/>
              <w:szCs w:val="20"/>
            </w:rPr>
            <w:t xml:space="preserve"> 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12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/>
        </w:p>
      </w:tc>
    </w:tr>
  </w:tbl>
  <w:p>
    <w:pPr>
      <w:spacing w:lineRule="auto" w:line="240" w:after="0"/>
      <w:tabs>
        <w:tab w:val="center" w:pos="4680" w:leader="none"/>
        <w:tab w:val="right" w:pos="9360" w:leader="none"/>
      </w:tabs>
      <w:rPr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8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2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38"/>
    <w:link w:val="93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38"/>
    <w:link w:val="93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38"/>
    <w:link w:val="93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38"/>
    <w:link w:val="93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38"/>
    <w:link w:val="93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38"/>
    <w:link w:val="937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931"/>
    <w:next w:val="93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3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931"/>
    <w:next w:val="93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3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931"/>
    <w:next w:val="93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3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38"/>
    <w:link w:val="941"/>
    <w:uiPriority w:val="10"/>
    <w:rPr>
      <w:sz w:val="48"/>
      <w:szCs w:val="48"/>
    </w:rPr>
  </w:style>
  <w:style w:type="character" w:styleId="35">
    <w:name w:val="Subtitle Char"/>
    <w:basedOn w:val="938"/>
    <w:link w:val="942"/>
    <w:uiPriority w:val="11"/>
    <w:rPr>
      <w:sz w:val="24"/>
      <w:szCs w:val="24"/>
    </w:rPr>
  </w:style>
  <w:style w:type="paragraph" w:styleId="36">
    <w:name w:val="Quote"/>
    <w:basedOn w:val="931"/>
    <w:next w:val="93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31"/>
    <w:next w:val="931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931"/>
    <w:next w:val="93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949"/>
    <w:uiPriority w:val="99"/>
  </w:style>
  <w:style w:type="table" w:styleId="47">
    <w:name w:val="Table Grid Light"/>
    <w:basedOn w:val="9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9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93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38"/>
    <w:uiPriority w:val="99"/>
    <w:unhideWhenUsed/>
    <w:rPr>
      <w:vertAlign w:val="superscript"/>
    </w:rPr>
  </w:style>
  <w:style w:type="paragraph" w:styleId="176">
    <w:name w:val="endnote text"/>
    <w:basedOn w:val="93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38"/>
    <w:uiPriority w:val="99"/>
    <w:semiHidden/>
    <w:unhideWhenUsed/>
    <w:rPr>
      <w:vertAlign w:val="superscript"/>
    </w:rPr>
  </w:style>
  <w:style w:type="paragraph" w:styleId="179">
    <w:name w:val="toc 1"/>
    <w:basedOn w:val="931"/>
    <w:next w:val="93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931"/>
    <w:next w:val="93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931"/>
    <w:next w:val="93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931"/>
    <w:next w:val="93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931"/>
    <w:next w:val="93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931"/>
    <w:next w:val="93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931"/>
    <w:next w:val="93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931"/>
    <w:next w:val="93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931"/>
    <w:next w:val="93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931"/>
    <w:next w:val="931"/>
    <w:uiPriority w:val="99"/>
    <w:unhideWhenUsed/>
    <w:pPr>
      <w:spacing w:after="0" w:afterAutospacing="0"/>
    </w:pPr>
  </w:style>
  <w:style w:type="paragraph" w:styleId="931" w:default="1">
    <w:name w:val="Normal"/>
    <w:qFormat/>
  </w:style>
  <w:style w:type="paragraph" w:styleId="932">
    <w:name w:val="Heading 1"/>
    <w:basedOn w:val="931"/>
    <w:next w:val="931"/>
    <w:qFormat/>
    <w:uiPriority w:val="9"/>
    <w:rPr>
      <w:b/>
      <w:sz w:val="48"/>
      <w:szCs w:val="48"/>
    </w:rPr>
    <w:pPr>
      <w:keepLines/>
      <w:keepNext/>
      <w:spacing w:after="120" w:before="480"/>
      <w:outlineLvl w:val="0"/>
    </w:pPr>
  </w:style>
  <w:style w:type="paragraph" w:styleId="933">
    <w:name w:val="Heading 2"/>
    <w:basedOn w:val="931"/>
    <w:next w:val="931"/>
    <w:qFormat/>
    <w:uiPriority w:val="9"/>
    <w:semiHidden/>
    <w:unhideWhenUsed/>
    <w:rPr>
      <w:b/>
      <w:sz w:val="36"/>
      <w:szCs w:val="36"/>
    </w:rPr>
    <w:pPr>
      <w:keepLines/>
      <w:keepNext/>
      <w:spacing w:after="80" w:before="360"/>
      <w:outlineLvl w:val="1"/>
    </w:pPr>
  </w:style>
  <w:style w:type="paragraph" w:styleId="934">
    <w:name w:val="Heading 3"/>
    <w:basedOn w:val="931"/>
    <w:next w:val="931"/>
    <w:qFormat/>
    <w:uiPriority w:val="9"/>
    <w:semiHidden/>
    <w:unhideWhenUsed/>
    <w:rPr>
      <w:b/>
      <w:sz w:val="28"/>
      <w:szCs w:val="28"/>
    </w:rPr>
    <w:pPr>
      <w:keepLines/>
      <w:keepNext/>
      <w:spacing w:after="80" w:before="280"/>
      <w:outlineLvl w:val="2"/>
    </w:pPr>
  </w:style>
  <w:style w:type="paragraph" w:styleId="935">
    <w:name w:val="Heading 4"/>
    <w:basedOn w:val="931"/>
    <w:next w:val="931"/>
    <w:qFormat/>
    <w:uiPriority w:val="9"/>
    <w:semiHidden/>
    <w:unhideWhenUsed/>
    <w:rPr>
      <w:rFonts w:ascii="Cambria" w:hAnsi="Cambria" w:cs="Cambria" w:eastAsia="Cambria"/>
      <w:i/>
      <w:color w:val="366091"/>
    </w:rPr>
    <w:pPr>
      <w:keepLines/>
      <w:keepNext/>
      <w:spacing w:after="0" w:before="40"/>
      <w:outlineLvl w:val="3"/>
    </w:pPr>
  </w:style>
  <w:style w:type="paragraph" w:styleId="936">
    <w:name w:val="Heading 5"/>
    <w:basedOn w:val="931"/>
    <w:next w:val="931"/>
    <w:qFormat/>
    <w:uiPriority w:val="9"/>
    <w:semiHidden/>
    <w:unhideWhenUsed/>
    <w:rPr>
      <w:b/>
    </w:rPr>
    <w:pPr>
      <w:keepLines/>
      <w:keepNext/>
      <w:spacing w:after="40" w:before="220"/>
      <w:outlineLvl w:val="4"/>
    </w:pPr>
  </w:style>
  <w:style w:type="paragraph" w:styleId="937">
    <w:name w:val="Heading 6"/>
    <w:basedOn w:val="931"/>
    <w:next w:val="931"/>
    <w:qFormat/>
    <w:uiPriority w:val="9"/>
    <w:semiHidden/>
    <w:unhideWhenUsed/>
    <w:rPr>
      <w:b/>
      <w:sz w:val="20"/>
      <w:szCs w:val="20"/>
    </w:rPr>
    <w:pPr>
      <w:keepLines/>
      <w:keepNext/>
      <w:spacing w:after="40" w:before="200"/>
      <w:outlineLvl w:val="5"/>
    </w:pPr>
  </w:style>
  <w:style w:type="character" w:styleId="938" w:default="1">
    <w:name w:val="Default Paragraph Font"/>
    <w:uiPriority w:val="1"/>
    <w:semiHidden/>
    <w:unhideWhenUsed/>
  </w:style>
  <w:style w:type="table" w:styleId="9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0" w:default="1">
    <w:name w:val="No List"/>
    <w:uiPriority w:val="99"/>
    <w:semiHidden/>
    <w:unhideWhenUsed/>
  </w:style>
  <w:style w:type="paragraph" w:styleId="941">
    <w:name w:val="Title"/>
    <w:basedOn w:val="931"/>
    <w:next w:val="931"/>
    <w:qFormat/>
    <w:uiPriority w:val="10"/>
    <w:rPr>
      <w:b/>
      <w:sz w:val="72"/>
      <w:szCs w:val="72"/>
    </w:rPr>
    <w:pPr>
      <w:keepLines/>
      <w:keepNext/>
      <w:spacing w:after="120" w:before="480"/>
    </w:pPr>
  </w:style>
  <w:style w:type="paragraph" w:styleId="942">
    <w:name w:val="Subtitle"/>
    <w:basedOn w:val="931"/>
    <w:next w:val="931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943" w:customStyle="1">
    <w:name w:val="StGen0"/>
    <w:basedOn w:val="93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944" w:customStyle="1">
    <w:name w:val="StGen1"/>
    <w:basedOn w:val="939"/>
    <w:pPr>
      <w:spacing w:lineRule="auto" w:line="240" w:after="0"/>
    </w:pPr>
    <w:tblPr>
      <w:tblStyleRowBandSize w:val="1"/>
      <w:tblStyleColBandSize w:val="1"/>
    </w:tblPr>
  </w:style>
  <w:style w:type="table" w:styleId="945" w:customStyle="1">
    <w:name w:val="StGen2"/>
    <w:basedOn w:val="93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946">
    <w:name w:val="Table Grid"/>
    <w:basedOn w:val="939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947">
    <w:name w:val="Header"/>
    <w:basedOn w:val="931"/>
    <w:link w:val="948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948" w:customStyle="1">
    <w:name w:val="Header Char"/>
    <w:basedOn w:val="938"/>
    <w:link w:val="947"/>
    <w:uiPriority w:val="99"/>
  </w:style>
  <w:style w:type="paragraph" w:styleId="949">
    <w:name w:val="Footer"/>
    <w:basedOn w:val="931"/>
    <w:link w:val="950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950" w:customStyle="1">
    <w:name w:val="Footer Char"/>
    <w:basedOn w:val="938"/>
    <w:link w:val="949"/>
    <w:uiPriority w:val="99"/>
  </w:style>
  <w:style w:type="paragraph" w:styleId="951">
    <w:name w:val="List Paragraph"/>
    <w:basedOn w:val="931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 UNT</dc:creator>
  <cp:revision>3</cp:revision>
  <dcterms:created xsi:type="dcterms:W3CDTF">2020-03-10T03:01:00Z</dcterms:created>
  <dcterms:modified xsi:type="dcterms:W3CDTF">2021-08-08T20:08:02Z</dcterms:modified>
</cp:coreProperties>
</file>