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widowControl w:val="off"/>
        <w:rPr>
          <w:rFonts w:ascii="Arial" w:hAnsi="Arial" w:cs="Arial" w:eastAsia="Arial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tbl>
      <w:tblPr>
        <w:tblStyle w:val="1109"/>
        <w:tblW w:w="15163" w:type="dxa"/>
        <w:jc w:val="center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459"/>
        <w:gridCol w:w="1628"/>
        <w:gridCol w:w="3468"/>
        <w:gridCol w:w="1517"/>
        <w:gridCol w:w="1415"/>
        <w:gridCol w:w="2696"/>
      </w:tblGrid>
      <w:tr>
        <w:trPr>
          <w:jc w:val="center"/>
        </w:trPr>
        <w:tc>
          <w:tcPr>
            <w:gridSpan w:val="2"/>
            <w:shd w:val="clear" w:fill="E7E6E6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</w:t>
            </w:r>
            <w:r/>
          </w:p>
        </w:tc>
        <w:tc>
          <w:tcPr>
            <w:shd w:val="clear" w:fill="E7E6E6" w:color="auto"/>
            <w:tcW w:w="1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KODE</w:t>
            </w:r>
            <w:r/>
          </w:p>
        </w:tc>
        <w:tc>
          <w:tcPr>
            <w:shd w:val="clear" w:fill="E7E6E6" w:color="auto"/>
            <w:tcW w:w="346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DOSEN PENGAMPU</w:t>
            </w:r>
            <w:r/>
          </w:p>
        </w:tc>
        <w:tc>
          <w:tcPr>
            <w:shd w:val="clear" w:fill="E7E6E6" w:color="auto"/>
            <w:tcW w:w="1517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BOBOT (SKS)</w:t>
            </w:r>
            <w:r/>
          </w:p>
        </w:tc>
        <w:tc>
          <w:tcPr>
            <w:shd w:val="clear" w:fill="E7E6E6" w:color="auto"/>
            <w:tcW w:w="1415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SEMESTER</w:t>
            </w:r>
            <w:r/>
          </w:p>
        </w:tc>
        <w:tc>
          <w:tcPr>
            <w:shd w:val="clear" w:fill="E7E6E6" w:color="auto"/>
            <w:tcW w:w="26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TANGGAL PENYUSUNAN</w:t>
            </w:r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 w:val="false"/>
              </w:rPr>
              <w:t xml:space="preserve">Metode Numerik</w:t>
            </w:r>
            <w:r/>
          </w:p>
        </w:tc>
        <w:tc>
          <w:tcPr>
            <w:shd w:val="clear" w:fill="auto" w:color="auto"/>
            <w:tcW w:w="1628" w:type="dxa"/>
            <w:textDirection w:val="lrTb"/>
            <w:noWrap w:val="false"/>
          </w:tcPr>
          <w:p>
            <w:r/>
            <w:r/>
          </w:p>
        </w:tc>
        <w:tc>
          <w:tcPr>
            <w:shd w:val="clear" w:fill="auto" w:color="auto"/>
            <w:tcW w:w="3468" w:type="dxa"/>
            <w:textDirection w:val="lrTb"/>
            <w:noWrap w:val="false"/>
          </w:tcPr>
          <w:p>
            <w:pPr>
              <w:rPr>
                <w:sz w:val="22"/>
              </w:rPr>
            </w:pPr>
            <w:r>
              <w:rPr>
                <w:sz w:val="22"/>
                <w:szCs w:val="16"/>
              </w:rPr>
              <w:t xml:space="preserve">Tim Dosen Pengampu</w:t>
            </w:r>
            <w:r>
              <w:rPr>
                <w:sz w:val="22"/>
              </w:rPr>
            </w:r>
            <w:r/>
          </w:p>
        </w:tc>
        <w:tc>
          <w:tcPr>
            <w:shd w:val="clear" w:fill="auto" w:color="auto"/>
            <w:tcW w:w="1517" w:type="dxa"/>
            <w:textDirection w:val="lrTb"/>
            <w:noWrap w:val="false"/>
          </w:tcPr>
          <w:p>
            <w:pPr>
              <w:jc w:val="center"/>
            </w:pPr>
            <w:r>
              <w:t xml:space="preserve">2 SKS</w:t>
            </w:r>
            <w:r/>
          </w:p>
        </w:tc>
        <w:tc>
          <w:tcPr>
            <w:shd w:val="clear" w:fill="auto" w:color="auto"/>
            <w:tcW w:w="141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fill="auto" w:color="auto"/>
            <w:tcW w:w="2696" w:type="dxa"/>
            <w:textDirection w:val="lrTb"/>
            <w:noWrap w:val="false"/>
          </w:tcPr>
          <w:p>
            <w:r/>
            <w:r/>
          </w:p>
        </w:tc>
      </w:tr>
      <w:tr>
        <w:trPr>
          <w:jc w:val="center"/>
        </w:trPr>
        <w:tc>
          <w:tcPr>
            <w:gridSpan w:val="2"/>
            <w:shd w:val="clear" w:fill="auto" w:color="auto"/>
            <w:tcW w:w="4439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OTORISASI</w:t>
            </w:r>
            <w:r/>
          </w:p>
        </w:tc>
        <w:tc>
          <w:tcPr>
            <w:gridSpan w:val="2"/>
            <w:shd w:val="clear" w:fill="E7E6E6" w:color="auto"/>
            <w:tcW w:w="5096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MK</w:t>
            </w:r>
            <w:r/>
          </w:p>
        </w:tc>
        <w:tc>
          <w:tcPr>
            <w:gridSpan w:val="3"/>
            <w:shd w:val="clear" w:fill="E7E6E6" w:color="auto"/>
            <w:tcW w:w="5628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KOORDINATOR PROGRAM STUDI</w:t>
            </w:r>
            <w:r/>
          </w:p>
        </w:tc>
      </w:tr>
      <w:tr>
        <w:trPr>
          <w:jc w:val="center"/>
          <w:trHeight w:val="300"/>
        </w:trPr>
        <w:tc>
          <w:tcPr>
            <w:gridSpan w:val="2"/>
            <w:shd w:val="clear" w:fill="auto" w:color="auto"/>
            <w:tcW w:w="4439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2"/>
            <w:shd w:val="clear" w:fill="auto" w:color="auto"/>
            <w:tcBorders>
              <w:bottom w:val="single" w:color="000000" w:sz="4" w:space="0"/>
            </w:tcBorders>
            <w:tcW w:w="5096" w:type="dxa"/>
            <w:textDirection w:val="lrTb"/>
            <w:noWrap w:val="false"/>
          </w:tcPr>
          <w:p>
            <w:pPr>
              <w:jc w:val="left"/>
              <w:rPr>
                <w:b/>
              </w:rPr>
            </w:pPr>
            <w:r>
              <w:rPr>
                <w:b w:val="false"/>
              </w:rPr>
              <w:t xml:space="preserve">Mifta Nur Farid, S.T., M.T.</w:t>
            </w:r>
            <w:r/>
          </w:p>
        </w:tc>
        <w:tc>
          <w:tcPr>
            <w:gridSpan w:val="3"/>
            <w:shd w:val="clear" w:fill="auto" w:color="auto"/>
            <w:tcBorders>
              <w:bottom w:val="single" w:color="000000" w:sz="4" w:space="0"/>
            </w:tcBorders>
            <w:tcW w:w="5628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Barokatun Hasanah, S.T., M.T.</w:t>
            </w:r>
            <w:r>
              <w:rPr>
                <w:b w:val="false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CAPAIAN PEMBELAJARAN (CP)</w:t>
            </w:r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bottom w:val="single" w:sz="8" w:space="0" w:color="auto"/>
            </w:tcBorders>
            <w:tcW w:w="13183" w:type="dxa"/>
            <w:textDirection w:val="lrTb"/>
            <w:noWrap w:val="false"/>
          </w:tcPr>
          <w:p>
            <w:pPr>
              <w:tabs>
                <w:tab w:val="left" w:pos="1806" w:leader="none"/>
              </w:tabs>
              <w:rPr>
                <w:b/>
              </w:rPr>
            </w:pPr>
            <w:r>
              <w:rPr>
                <w:b/>
              </w:rPr>
              <w:t xml:space="preserve">CAPAIAN PEMBELAJARAN LULUSAN (CPL) YANG DITITIPKAN PADA MATA KULIAH </w:t>
            </w:r>
            <w:r/>
          </w:p>
        </w:tc>
      </w:tr>
      <w:tr>
        <w:trPr>
          <w:jc w:val="center"/>
          <w:trHeight w:val="907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0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t xml:space="preserve">Sikap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Menginternalisasi nilai, norma, dan etika akademik; (S.8)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Menunjukkan sikap bertanggungjawab atas pekerjaan di bidang </w:t>
            </w:r>
            <w:r>
              <w:rPr>
                <w:highlight w:val="none"/>
              </w:rPr>
              <w:t xml:space="preserve">keahliannya secara mandiri. (S.9)</w:t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Umum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menerapkan pemikiran logis, kritis, sistematis, dan inovatif </w:t>
            </w:r>
            <w:r/>
            <w:r>
              <w:rPr>
                <w:highlight w:val="none"/>
              </w:rPr>
              <w:t xml:space="preserve">dalam konteks pengembangan atau implementasi ilmu </w:t>
            </w:r>
            <w:r/>
            <w:r>
              <w:rPr>
                <w:highlight w:val="none"/>
              </w:rPr>
              <w:t xml:space="preserve">pengetahuan dan teknologi yang memperhatikan dan menerapkan </w:t>
            </w:r>
            <w:r/>
            <w:r>
              <w:rPr>
                <w:highlight w:val="none"/>
              </w:rPr>
              <w:t xml:space="preserve">nilai humaniora yang sesuai dengan bidang keahliannya; (KU.1)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Mampu menunjukkan kinerja mandiri, bermutu, dan terukur; (</w:t>
            </w:r>
            <w:r>
              <w:rPr>
                <w:highlight w:val="none"/>
              </w:rPr>
              <w:t xml:space="preserve">KU.2)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Mampu mengambil keputusan secara tepat dalam konteks </w:t>
            </w:r>
            <w:r/>
            <w:r>
              <w:rPr>
                <w:highlight w:val="none"/>
              </w:rPr>
              <w:t xml:space="preserve">penyelesaian masalah di bidang keahliannya, berdasarkan hasil </w:t>
            </w:r>
            <w:r/>
            <w:r>
              <w:rPr>
                <w:highlight w:val="none"/>
              </w:rPr>
              <w:t xml:space="preserve">analisis informasi dan data. </w:t>
            </w:r>
            <w:r>
              <w:rPr>
                <w:highlight w:val="none"/>
              </w:rPr>
              <w:t xml:space="preserve">(KU.5)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1117"/>
              <w:numPr>
                <w:ilvl w:val="0"/>
                <w:numId w:val="12"/>
              </w:numPr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Pengetahuan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Menguasai dasar teknik komputasi dan teknologi informasi dalam </w:t>
            </w:r>
            <w:r/>
            <w:r>
              <w:rPr>
                <w:highlight w:val="none"/>
              </w:rPr>
              <w:t xml:space="preserve">bidang sistem tenaga, sistem pengaturan, elektronika, </w:t>
            </w:r>
            <w:r/>
            <w:r>
              <w:rPr>
                <w:highlight w:val="none"/>
              </w:rPr>
              <w:t xml:space="preserve">telekomunikasi, dan sistem komputer. (P.4)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1117"/>
              <w:numPr>
                <w:ilvl w:val="0"/>
                <w:numId w:val="12"/>
              </w:numPr>
              <w:spacing w:after="0"/>
              <w:rPr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  <w:t xml:space="preserve">Keterampilan Khusus</w:t>
            </w:r>
            <w:r/>
          </w:p>
          <w:p>
            <w:pPr>
              <w:pStyle w:val="1117"/>
              <w:numPr>
                <w:ilvl w:val="1"/>
                <w:numId w:val="12"/>
              </w:numPr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Kemampuan memanfaatkan perangkat analisis berbasis teknologi </w:t>
            </w:r>
            <w:r/>
            <w:r>
              <w:rPr>
                <w:highlight w:val="none"/>
              </w:rPr>
              <w:t xml:space="preserve">informasi dan komputasi yang sesuai untuk aktivitas teknik pada </w:t>
            </w:r>
            <w:r/>
            <w:r>
              <w:rPr>
                <w:highlight w:val="none"/>
              </w:rPr>
              <w:t xml:space="preserve">bidang sistem tenaga, sistem pengaturan, elektronika, </w:t>
            </w:r>
            <w:r>
              <w:rPr>
                <w:highlight w:val="none"/>
              </w:rPr>
              <w:t xml:space="preserve">telekomunikasi dan sistem komputer. (KK.4)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left="769" w:firstLine="0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ind w:left="769" w:firstLine="0"/>
              <w:spacing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jc w:val="center"/>
          <w:trHeight w:val="280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E7E6E6" w:color="auto"/>
            <w:tcBorders>
              <w:left w:val="single" w:sz="4" w:space="0" w:color="auto"/>
              <w:top w:val="single" w:sz="8" w:space="0" w:color="auto"/>
              <w:right w:val="single" w:sz="4" w:space="0" w:color="auto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</w:rPr>
              <w:t xml:space="preserve">CAPAIAN PEMBELAJARAN MATA KULIAH</w:t>
            </w:r>
            <w:r>
              <w:rPr>
                <w:b/>
              </w:rPr>
              <w:t xml:space="preserve"> (CPMK)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Borders>
              <w:right w:val="single" w:sz="4" w:space="0" w:color="auto"/>
            </w:tcBorders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left w:val="single" w:sz="4" w:space="0" w:color="auto"/>
              <w:top w:val="none" w:color="000000" w:sz="4" w:space="0"/>
              <w:bottom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spacing w:lineRule="auto" w:line="240" w:after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Mahasiswa mampu menghasilkan solusi dari permasalahan matematis berdasarkan metode-metode </w:t>
            </w:r>
            <w:r/>
            <w:r>
              <w:rPr>
                <w:color w:val="000000"/>
              </w:rPr>
              <w:t xml:space="preserve">numerik.</w:t>
            </w:r>
            <w:r/>
            <w:r>
              <w:rPr>
                <w:color w:val="000000"/>
              </w:rPr>
            </w:r>
            <w:r/>
          </w:p>
          <w:p>
            <w:pPr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DESKRIPSI SINGKAT MK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jc w:val="both"/>
            </w:pPr>
            <w:r>
              <w:t xml:space="preserve">Hal yang membuat matematika menjadi momok bagi sebagian besar mahasiswa adalah banyaknya rumus </w:t>
            </w:r>
            <w:r/>
            <w:r>
              <w:t xml:space="preserve">baku yang harus dihafal. Setiap persoalan matematika yang dihadapi selalu diselesaikan dengan suatu </w:t>
            </w:r>
            <w:r/>
            <w:r>
              <w:t xml:space="preserve">rumus yang sudah baku. Matematika yang awalnya hanya memiliki empat operasi dasar, terlihat lebih </w:t>
            </w:r>
            <w:r/>
            <w:r>
              <w:t xml:space="preserve">menakutkan ketika berubah menjadi serangkaian rumus dan teorema. Penyelesaian permasalahan </w:t>
            </w:r>
            <w:r/>
            <w:r>
              <w:t xml:space="preserve">matematika dengan menggunakan rumus dan teorema yang sudah baku ini disebut penyelesaian secara </w:t>
            </w:r>
            <w:r/>
            <w:r>
              <w:t xml:space="preserve">analitik. Pada mata kuliah ini, mahasiswa akan diajarkan bagaimana menggunakan pendekatan </w:t>
            </w:r>
            <w:r/>
            <w:r>
              <w:t xml:space="preserve">aproksimasi untuk mencari solusi hanya dengan operasi aritmetika biasa. Metode ini disebut dengan </w:t>
            </w:r>
            <w:r/>
            <w:r>
              <w:t xml:space="preserve">metode numerik. Di akhir perkuliahan, mahasiswa diharapkan mampu menyelesaikan permasalahan </w:t>
            </w:r>
            <w:r/>
            <w:r>
              <w:t xml:space="preserve">matematika yang kompleks dan tidak bisa diselesaikan secara analitik, namun bisa diselesaikan dengan </w:t>
            </w:r>
            <w:r/>
            <w:r>
              <w:t xml:space="preserve">metode numerik.</w:t>
            </w:r>
            <w:r/>
            <w:r/>
            <w:r/>
          </w:p>
        </w:tc>
      </w:tr>
      <w:tr>
        <w:trPr>
          <w:jc w:val="center"/>
          <w:trHeight w:val="340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BAHAN KAJIAN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000000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Deret Taylor dan Analisis Galat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Persamaan Nirlanjar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Solusi Sistem Persamaan Lanjar</w:t>
            </w:r>
            <w:r>
              <w:rPr>
                <w:color w:val="000000"/>
              </w:rPr>
            </w:r>
            <w:r/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Interpolasi Polinom</w:t>
            </w:r>
            <w:r>
              <w:rPr>
                <w:color w:val="000000"/>
                <w:highlight w:val="none"/>
              </w:rPr>
            </w:r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Integrasi Numerik</w:t>
            </w:r>
            <w:r>
              <w:rPr>
                <w:color w:val="000000"/>
                <w:highlight w:val="none"/>
              </w:rPr>
            </w:r>
          </w:p>
          <w:p>
            <w:pPr>
              <w:pStyle w:val="1117"/>
              <w:numPr>
                <w:ilvl w:val="3"/>
                <w:numId w:val="7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highlight w:val="none"/>
              </w:rPr>
              <w:t xml:space="preserve">Turunan Numerik</w:t>
            </w:r>
            <w:r>
              <w:rPr>
                <w:color w:val="000000"/>
                <w:highlight w:val="none"/>
              </w:rPr>
            </w:r>
          </w:p>
          <w:p>
            <w:pPr>
              <w:pStyle w:val="1117"/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PUSTAKA</w:t>
            </w:r>
            <w:r/>
          </w:p>
        </w:tc>
        <w:tc>
          <w:tcPr>
            <w:gridSpan w:val="6"/>
            <w:shd w:val="clear" w:fill="E7E6E6" w:color="auto"/>
            <w:tcBorders>
              <w:bottom w:val="single" w:color="000000" w:sz="8" w:space="0"/>
            </w:tcBorders>
            <w:tcW w:w="13183" w:type="dxa"/>
            <w:textDirection w:val="lrTb"/>
            <w:noWrap w:val="false"/>
          </w:tcPr>
          <w:p>
            <w:pPr>
              <w:ind w:left="26"/>
              <w:rPr>
                <w:b/>
              </w:rPr>
            </w:pPr>
            <w:r>
              <w:rPr>
                <w:b/>
              </w:rPr>
              <w:t xml:space="preserve">UTAMA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</w:rPr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  <w:bottom w:val="single" w:color="FFFFFF" w:sz="8" w:space="0"/>
            </w:tcBorders>
            <w:tcW w:w="13183" w:type="dxa"/>
            <w:textDirection w:val="lrTb"/>
            <w:noWrap w:val="false"/>
          </w:tcPr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Kharab, A. &amp; Guenther, R.B. (2019). An Introduction to Numerical Methods: A Matlab Approach 4</w:t>
            </w:r>
            <w:r>
              <w:rPr>
                <w:color w:val="000000"/>
                <w:vertAlign w:val="superscript"/>
              </w:rPr>
              <w:t xml:space="preserve">th</w:t>
            </w:r>
            <w:r>
              <w:rPr>
                <w:color w:val="000000"/>
              </w:rPr>
              <w:t xml:space="preserve"> Edition. Florida: CRC Press.</w:t>
            </w:r>
            <w:r>
              <w:rPr>
                <w:color w:val="000000"/>
              </w:rPr>
            </w:r>
            <w:r/>
          </w:p>
          <w:p>
            <w:pPr>
              <w:numPr>
                <w:ilvl w:val="0"/>
                <w:numId w:val="2"/>
              </w:numPr>
              <w:ind w:left="416" w:hanging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Rinaldi, M. (2005). Metode Numerik. Bandung: Informatika Bandung</w:t>
            </w:r>
            <w:r>
              <w:rPr>
                <w:color w:val="000000"/>
              </w:rPr>
            </w:r>
            <w:r/>
            <w:r>
              <w:rPr>
                <w:color w:val="000000"/>
              </w:rPr>
            </w:r>
            <w:r/>
          </w:p>
          <w:p>
            <w:pPr>
              <w:ind w:left="416"/>
              <w:spacing w:lineRule="auto" w:line="240" w:after="0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rPr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</w:tc>
        <w:tc>
          <w:tcPr>
            <w:gridSpan w:val="6"/>
            <w:shd w:val="clear" w:fill="E7E6E6" w:color="auto"/>
            <w:tcBorders>
              <w:top w:val="single" w:color="000000" w:sz="8" w:space="0"/>
            </w:tcBorders>
            <w:tcW w:w="13183" w:type="dxa"/>
            <w:textDirection w:val="lrTb"/>
            <w:noWrap w:val="false"/>
          </w:tcPr>
          <w:p>
            <w:r>
              <w:rPr>
                <w:b/>
                <w:color w:val="000000"/>
              </w:rPr>
              <w:t xml:space="preserve">PENDUKUNG</w:t>
            </w:r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vMerge w:val="continue"/>
            <w:textDirection w:val="lrTb"/>
            <w:noWrap w:val="false"/>
          </w:tcPr>
          <w:p>
            <w:pPr>
              <w:spacing w:after="0"/>
              <w:widowControl w:val="o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3"/>
                <w:numId w:val="2"/>
              </w:numPr>
              <w:ind w:left="416" w:hanging="416"/>
              <w:tabs>
                <w:tab w:val="left" w:pos="0" w:leader="none"/>
              </w:tabs>
            </w:pPr>
            <w:r/>
            <w:r>
              <w:t xml:space="preserve">Kiusalaas, J. (2013). Numerical Methods in Engineering With Python 3. New York: Cambridge </w:t>
            </w:r>
            <w:r>
              <w:t xml:space="preserve">University Press.</w:t>
            </w:r>
            <w:r/>
            <w:r/>
          </w:p>
          <w:p>
            <w:pPr>
              <w:pStyle w:val="1117"/>
              <w:ind w:left="416"/>
              <w:spacing w:after="0"/>
              <w:tabs>
                <w:tab w:val="left" w:pos="0" w:leader="none"/>
              </w:tabs>
            </w:pPr>
            <w:r/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spacing w:after="0"/>
              <w:widowControl w:val="off"/>
              <w:rPr>
                <w:b/>
                <w:bCs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between w:val="none" w:color="000000" w:sz="4" w:space="0"/>
              </w:pBdr>
            </w:pPr>
            <w:r>
              <w:rPr>
                <w:b/>
                <w:bCs/>
              </w:rPr>
              <w:t xml:space="preserve">MEDIA PEMBELAJARAN</w:t>
            </w:r>
            <w:r/>
          </w:p>
        </w:tc>
        <w:tc>
          <w:tcPr>
            <w:gridSpan w:val="6"/>
            <w:shd w:val="clear" w:fill="auto" w:color="auto"/>
            <w:tcBorders>
              <w:top w:val="single" w:color="FFFFFF" w:sz="4" w:space="0"/>
            </w:tcBorders>
            <w:tcW w:w="13183" w:type="dxa"/>
            <w:textDirection w:val="lrTb"/>
            <w:noWrap w:val="false"/>
          </w:tcPr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Slide Presentasi</w:t>
            </w:r>
            <w:r/>
          </w:p>
          <w:p>
            <w:pPr>
              <w:pStyle w:val="1117"/>
              <w:numPr>
                <w:ilvl w:val="6"/>
                <w:numId w:val="2"/>
              </w:numPr>
              <w:ind w:left="416" w:hanging="416"/>
              <w:tabs>
                <w:tab w:val="left" w:pos="0" w:leader="none"/>
              </w:tabs>
            </w:pPr>
            <w:r>
              <w:t xml:space="preserve">Python IDE (Google Colab, Spyder)</w:t>
            </w:r>
            <w:r/>
            <w:r/>
          </w:p>
        </w:tc>
      </w:tr>
      <w:tr>
        <w:trPr>
          <w:jc w:val="center"/>
        </w:trPr>
        <w:tc>
          <w:tcPr>
            <w:shd w:val="clear" w:fill="auto" w:color="auto"/>
            <w:tcW w:w="1980" w:type="dxa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MATA KULIAH PRASYARAT</w:t>
            </w:r>
            <w:r/>
          </w:p>
        </w:tc>
        <w:tc>
          <w:tcPr>
            <w:gridSpan w:val="6"/>
            <w:shd w:val="clear" w:fill="auto" w:color="auto"/>
            <w:tcW w:w="13183" w:type="dxa"/>
            <w:textDirection w:val="lrTb"/>
            <w:noWrap w:val="false"/>
          </w:tcPr>
          <w:p>
            <w:r>
              <w:rPr>
                <w:sz w:val="16"/>
                <w:szCs w:val="16"/>
              </w:rPr>
              <w:t xml:space="preserve">-</w:t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KONSEP</w:t>
      </w:r>
      <w:r/>
    </w:p>
    <w:p>
      <w:pPr>
        <w:jc w:val="center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54090" cy="5309870"/>
                <wp:effectExtent l="0" t="0" r="3810" b="5080"/>
                <wp:docPr id="2" name="Pictur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54090" cy="53098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76.7pt;height:418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Quattrocento Sans" w:hAnsi="Quattrocento Sans" w:cs="Quattrocento Sans" w:eastAsia="Quattrocento Sans"/>
          <w:b/>
        </w:rPr>
        <w:br w:type="page"/>
      </w:r>
      <w:r/>
    </w:p>
    <w:p>
      <w:pPr>
        <w:ind w:left="180" w:hanging="90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PETA KOMPETENSI</w:t>
      </w:r>
      <w:r/>
    </w:p>
    <w:p>
      <w:pPr>
        <w:jc w:val="center"/>
        <w:spacing w:lineRule="auto" w:line="360" w:after="0"/>
        <w:rPr>
          <w:rFonts w:ascii="Quattrocento Sans" w:hAnsi="Quattrocento Sans" w:cs="Quattrocento Sans" w:eastAsia="Quattrocento Sans"/>
          <w:b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1759" cy="5329106"/>
                <wp:effectExtent l="0" t="0" r="0" b="0"/>
                <wp:docPr id="3" name="image2.png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.png" hidden="0"/>
                        <pic:cNvPicPr/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41759" cy="53291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0.6pt;height:419.6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9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  <w:t xml:space="preserve">RENCANA PEMBELAJARAN SEMESTER</w:t>
      </w:r>
      <w:r/>
    </w:p>
    <w:tbl>
      <w:tblPr>
        <w:tblStyle w:val="1112"/>
        <w:tblW w:w="0" w:type="auto"/>
        <w:tblLook w:val="04A0" w:firstRow="1" w:lastRow="0" w:firstColumn="1" w:lastColumn="0" w:noHBand="0" w:noVBand="1"/>
      </w:tblPr>
      <w:tblGrid>
        <w:gridCol w:w="909"/>
        <w:gridCol w:w="1885"/>
        <w:gridCol w:w="1800"/>
        <w:gridCol w:w="1887"/>
        <w:gridCol w:w="2019"/>
        <w:gridCol w:w="1620"/>
        <w:gridCol w:w="1660"/>
        <w:gridCol w:w="1497"/>
        <w:gridCol w:w="1010"/>
        <w:gridCol w:w="993"/>
        <w:gridCol w:w="17"/>
      </w:tblGrid>
      <w:tr>
        <w:trPr>
          <w:gridAfter w:val="1"/>
        </w:trPr>
        <w:tc>
          <w:tcPr>
            <w:shd w:val="clear" w:fill="D9D9D9" w:color="auto"/>
            <w:tcW w:w="90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Minggu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-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Sub-CPMK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Kemampuan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akhir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yg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direncanakan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0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Bahan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Kajian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887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Pembel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201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Aktivitas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Belajar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3"/>
            <w:shd w:val="clear" w:fill="D9D9D9" w:color="auto"/>
            <w:tcW w:w="477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Penilaian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0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Durasi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 (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menit</w:t>
            </w:r>
            <w:r>
              <w:rPr>
                <w:rFonts w:eastAsia="Quattrocento Sans" w:asciiTheme="majorHAnsi" w:hAnsiTheme="majorHAnsi" w:cstheme="majorHAnsi"/>
                <w:b/>
              </w:rPr>
              <w:t xml:space="preserve">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99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Pustaka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Kriteria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Indikator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shd w:val="clear" w:fill="D9D9D9" w:color="auto"/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Bobot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Merge w:val="continue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</w:trPr>
        <w:tc>
          <w:tcPr>
            <w:tcW w:w="90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(2)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(4)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(5)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(6)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(7)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(8)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(9)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(10)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(11)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3063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Bentuk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responsi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tutorial, seminar,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praktikum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penelitian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pegabdian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masyarakat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br/>
              <w:t xml:space="preserve">**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Metode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terdiri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dari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: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diskusi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kelompok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simulasi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kasus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kolaboratif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kooperatif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proyek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berbasis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masalah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dll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Kegiatan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dilakukan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proses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,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seperti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tugas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presentasi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atau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cara-cara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lainnya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.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standar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sebuah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tahapan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pembelajaran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unsur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menunjukkan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kualitas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kinerja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mahasiswa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persentase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penilaian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keberhasilan</w:t>
            </w:r>
            <w:bookmarkStart w:id="0" w:name="_GoBack"/>
            <w:r>
              <w:rPr>
                <w:rFonts w:asciiTheme="majorHAnsi" w:hAnsiTheme="majorHAnsi" w:cstheme="majorHAnsi"/>
              </w:rPr>
            </w:r>
            <w:bookmarkEnd w:id="0"/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waktu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takaran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dikonversi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ke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satuan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sks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*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buku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referensi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acuan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digunakan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sebagai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sumber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belajar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pebelajaran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mata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Contoh</w:t>
            </w:r>
            <w:r>
              <w:rPr>
                <w:rFonts w:eastAsia="Quattrocento Sans" w:asciiTheme="majorHAnsi" w:hAnsiTheme="majorHAnsi" w:cstheme="majorHAnsi"/>
                <w:bCs/>
                <w:highlight w:val="yellow"/>
              </w:rPr>
              <w:t xml:space="preserve">)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Mahasiswa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mampu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pada material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keramik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Kuliah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studi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kasus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Tugas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Ketepatan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dalam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menjawab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Menguraikan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perbedaan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ikatan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ionik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kovalen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(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merujuk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pustaka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nomor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 pada 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halaman</w:t>
            </w:r>
            <w:r>
              <w:rPr>
                <w:rFonts w:eastAsia="Quattrocento Sans" w:asciiTheme="majorHAnsi" w:hAnsiTheme="majorHAnsi" w:cstheme="majorHAnsi"/>
                <w:bCs/>
                <w:sz w:val="16"/>
                <w:szCs w:val="16"/>
              </w:rPr>
              <w:t xml:space="preserve"> 1)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tipe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AX,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, dan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AmBnXp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berdasarkan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br/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perhitungan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Menentukan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struktur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kristal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yang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tepat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sesuai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dengan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perbandingan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c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/r</w:t>
            </w:r>
            <w:r>
              <w:rPr>
                <w:rFonts w:eastAsia="Quattrocento Sans" w:asciiTheme="majorHAnsi" w:hAnsiTheme="majorHAnsi" w:cstheme="majorHAnsi"/>
                <w:bCs/>
                <w:vertAlign w:val="subscript"/>
              </w:rPr>
              <w:t xml:space="preserve">a</w:t>
            </w:r>
            <w:r>
              <w:rPr>
                <w:rFonts w:eastAsia="Quattrocento Sans"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100%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100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  <w:t xml:space="preserve">[1]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4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Cs/>
              </w:rPr>
            </w:pPr>
            <w:r>
              <w:rPr>
                <w:rFonts w:eastAsia="Quattrocento Sans" w:asciiTheme="majorHAnsi" w:hAnsiTheme="majorHAnsi" w:cstheme="majorHAnsi"/>
                <w:bCs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5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6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7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8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TENGAH SEMESTER (UTS)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9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10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11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12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13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14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gridAfter w:val="1"/>
          <w:trHeight w:val="432"/>
        </w:trPr>
        <w:tc>
          <w:tcPr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15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0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2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6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4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101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tcW w:w="9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  <w:tr>
        <w:trPr>
          <w:trHeight w:val="432"/>
        </w:trPr>
        <w:tc>
          <w:tcPr>
            <w:shd w:val="clear" w:fill="D9D9D9" w:color="auto"/>
            <w:tcW w:w="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16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  <w:tc>
          <w:tcPr>
            <w:gridSpan w:val="10"/>
            <w:shd w:val="clear" w:fill="D9D9D9" w:color="auto"/>
            <w:tcW w:w="1438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eastAsia="Quattrocento Sans" w:asciiTheme="majorHAnsi" w:hAnsiTheme="majorHAnsi" w:cstheme="majorHAnsi"/>
                <w:b/>
              </w:rPr>
            </w:pPr>
            <w:r>
              <w:rPr>
                <w:rFonts w:eastAsia="Quattrocento Sans" w:asciiTheme="majorHAnsi" w:hAnsiTheme="majorHAnsi" w:cstheme="majorHAnsi"/>
                <w:b/>
              </w:rPr>
              <w:t xml:space="preserve">UJIAN AKHIR SEMESTER (UAS)</w:t>
            </w:r>
            <w:r>
              <w:rPr>
                <w:rFonts w:asciiTheme="majorHAnsi" w:hAnsiTheme="majorHAnsi" w:cstheme="majorHAnsi"/>
              </w:rPr>
            </w:r>
            <w:r>
              <w:rPr>
                <w:rFonts w:asciiTheme="majorHAnsi" w:hAnsiTheme="majorHAnsi" w:cstheme="majorHAnsi"/>
              </w:rPr>
            </w:r>
          </w:p>
        </w:tc>
      </w:tr>
    </w:tbl>
    <w:p>
      <w:pPr>
        <w:spacing w:after="0"/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</w:rPr>
      </w:r>
      <w:r/>
    </w:p>
    <w:p>
      <w:pPr>
        <w:spacing w:after="0"/>
        <w:rPr>
          <w:rFonts w:ascii="Quattrocento Sans" w:hAnsi="Quattrocento Sans" w:cs="Quattrocento Sans" w:eastAsia="Quattrocento Sans"/>
          <w:b/>
          <w:sz w:val="24"/>
          <w:szCs w:val="24"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KOMPOSISI NILAI EVALUASI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Besar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40%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Quiz 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10%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UTS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25%</w:t>
      </w:r>
      <w:r/>
    </w:p>
    <w:p>
      <w:pPr>
        <w:numPr>
          <w:ilvl w:val="0"/>
          <w:numId w:val="6"/>
        </w:numPr>
        <w:spacing w:after="0"/>
        <w:rPr>
          <w:rFonts w:ascii="Quattrocento Sans" w:hAnsi="Quattrocento Sans" w:cs="Quattrocento Sans" w:eastAsia="Quattrocento Sans"/>
          <w:sz w:val="24"/>
          <w:szCs w:val="24"/>
        </w:rPr>
      </w:pPr>
      <w:r>
        <w:rPr>
          <w:rFonts w:ascii="Quattrocento Sans" w:hAnsi="Quattrocento Sans" w:cs="Quattrocento Sans" w:eastAsia="Quattrocento Sans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Harian</w:t>
      </w:r>
      <w:r>
        <w:rPr>
          <w:rFonts w:ascii="Quattrocento Sans" w:hAnsi="Quattrocento Sans" w:cs="Quattrocento Sans" w:eastAsia="Quattrocento Sans"/>
          <w:sz w:val="24"/>
          <w:szCs w:val="24"/>
        </w:rPr>
        <w:t xml:space="preserve"> 25%</w:t>
      </w:r>
      <w:r/>
    </w:p>
    <w:p>
      <w:r/>
      <w:r/>
    </w:p>
    <w:p>
      <w:pPr>
        <w:rPr>
          <w:rFonts w:ascii="Quattrocento Sans" w:hAnsi="Quattrocento Sans" w:cs="Quattrocento Sans" w:eastAsia="Quattrocento Sans"/>
          <w:b/>
        </w:rPr>
      </w:pPr>
      <w:r>
        <w:rPr>
          <w:rFonts w:ascii="Quattrocento Sans" w:hAnsi="Quattrocento Sans" w:cs="Quattrocento Sans" w:eastAsia="Quattrocento Sans"/>
          <w:b/>
          <w:sz w:val="24"/>
          <w:szCs w:val="24"/>
        </w:rPr>
        <w:t xml:space="preserve">KONTRAK KULIAH</w:t>
      </w:r>
      <w:r>
        <w:rPr>
          <w:rFonts w:ascii="Quattrocento Sans" w:hAnsi="Quattrocento Sans" w:cs="Quattrocento Sans" w:eastAsia="Quattrocento Sans"/>
          <w:sz w:val="24"/>
          <w:szCs w:val="24"/>
        </w:rPr>
        <w:tab/>
        <w:t xml:space="preserve">: 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LEBIH DARI 15 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DIIJINKAN MENGIKUTI PERKULIAHAN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menit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setelah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jam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masuk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ditiadakan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namun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dianggap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meliputi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kegiatan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plagiat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curang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, dan/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menyontek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setiap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UJIAN TULIS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0 ATAU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KETERLAMBATAN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pengumpulan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individu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dan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NILAI EVALUASI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 5 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PER HARI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20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poin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Jika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laporan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KEKURANG-AKTIFAN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/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KETIDAK-AKTIFAN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atau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lebih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dalam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oleh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pimpinan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dosen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pengajar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pengurangan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nilai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kelompok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sebesar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maksimal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50%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MEMENUHI SYARAT KEHADIRAN 80%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mendapat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NILAI E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LULUS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membantu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lain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untuk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melakukan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KECURANGAN DALAM PENGISIAN DAFTAR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diberikan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sanksi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PENGURANGAN 20% SELURUH NILAI EVALUASI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numPr>
          <w:ilvl w:val="0"/>
          <w:numId w:val="8"/>
        </w:numPr>
        <w:jc w:val="both"/>
        <w:spacing w:after="0"/>
        <w:rPr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b/>
          <w:color w:val="000000"/>
          <w:sz w:val="24"/>
          <w:szCs w:val="24"/>
        </w:rPr>
        <w:t xml:space="preserve">TIDAK HADIR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pada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waktu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kuliah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maupun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presentasi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tugas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karena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alasan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jelas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membawa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surat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keterangan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dari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instansi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berwenang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 Surat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ijin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harus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diserahkan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kepada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Tata Usaha paling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lambat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1 (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satu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)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minggu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sejak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ketidakhadiran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mahasiswa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 yang 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bersangkutan</w:t>
      </w: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  <w:t xml:space="preserve">.</w:t>
      </w:r>
      <w:r/>
    </w:p>
    <w:p>
      <w:pPr>
        <w:spacing w:lineRule="auto" w:line="288" w:after="0"/>
        <w:rPr>
          <w:rFonts w:ascii="Quattrocento Sans" w:hAnsi="Quattrocento Sans" w:cs="Quattrocento Sans" w:eastAsia="Quattrocento Sans"/>
          <w:color w:val="000000"/>
          <w:sz w:val="24"/>
          <w:szCs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Quattrocento Sans" w:hAnsi="Quattrocento Sans" w:cs="Quattrocento Sans" w:eastAsia="Quattrocento Sans"/>
          <w:color w:val="000000"/>
          <w:sz w:val="24"/>
          <w:szCs w:val="24"/>
        </w:rPr>
      </w:r>
      <w:r/>
    </w:p>
    <w:sectPr>
      <w:headerReference w:type="default" r:id="rId9"/>
      <w:footerReference w:type="default" r:id="rId10"/>
      <w:footnotePr/>
      <w:endnotePr/>
      <w:type w:val="continuous"/>
      <w:pgSz w:w="16839" w:h="11907" w:orient="landscape"/>
      <w:pgMar w:top="1616" w:right="720" w:bottom="720" w:left="720" w:header="142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Georgia">
    <w:panose1 w:val="02040603050405020204"/>
  </w:font>
  <w:font w:name="noto sans symbols">
    <w:panose1 w:val="020B0502040504020204"/>
  </w:font>
  <w:font w:name="Cambria">
    <w:panose1 w:val="02040503050406030204"/>
  </w:font>
  <w:font w:name="Arial">
    <w:panose1 w:val="020B0604020202020204"/>
  </w:font>
  <w:font w:name="quattrocento sans">
    <w:panose1 w:val="02000609000000000000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tabs>
        <w:tab w:val="center" w:pos="4680" w:leader="none"/>
        <w:tab w:val="right" w:pos="9360" w:leader="none"/>
      </w:tabs>
      <w:rPr>
        <w:rFonts w:ascii="Times New Roman" w:hAnsi="Times New Roman" w:cs="Times New Roman" w:eastAsia="Times New Roman"/>
        <w:i/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Times New Roman" w:hAnsi="Times New Roman" w:cs="Times New Roman" w:eastAsia="Times New Roman"/>
        <w:i/>
        <w:color w:val="00000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after="0"/>
      <w:widowControl w:val="off"/>
      <w:rPr>
        <w:rFonts w:ascii="Quattrocento Sans" w:hAnsi="Quattrocento Sans" w:cs="Quattrocento Sans" w:eastAsia="Quattrocento Sans"/>
        <w:color w:val="000000"/>
        <w:sz w:val="24"/>
        <w:szCs w:val="24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rFonts w:ascii="Quattrocento Sans" w:hAnsi="Quattrocento Sans" w:cs="Quattrocento Sans" w:eastAsia="Quattrocento Sans"/>
        <w:color w:val="000000"/>
        <w:sz w:val="24"/>
        <w:szCs w:val="24"/>
      </w:rPr>
    </w:r>
    <w:r/>
  </w:p>
  <w:tbl>
    <w:tblPr>
      <w:tblStyle w:val="1111"/>
      <w:tblW w:w="15120" w:type="dxa"/>
      <w:jc w:val="center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Layout w:type="fixed"/>
      <w:tblLook w:val="0000" w:firstRow="0" w:lastRow="0" w:firstColumn="0" w:lastColumn="0" w:noHBand="0" w:noVBand="0"/>
    </w:tblPr>
    <w:tblGrid>
      <w:gridCol w:w="2880"/>
      <w:gridCol w:w="8550"/>
      <w:gridCol w:w="1874"/>
      <w:gridCol w:w="286"/>
      <w:gridCol w:w="1530"/>
    </w:tblGrid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restart"/>
          <w:textDirection w:val="lrTb"/>
          <w:noWrap w:val="false"/>
        </w:tcPr>
        <w:p>
          <w:pPr>
            <w:ind w:left="-291"/>
            <w:jc w:val="center"/>
            <w:spacing w:lineRule="auto" w:line="240" w:after="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67619" cy="756900"/>
                    <wp:effectExtent l="0" t="0" r="0" b="5715"/>
                    <wp:docPr id="1" name="image1.png" hidden="false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1.png" hidden="0"/>
                            <pic:cNvPicPr/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81353" cy="765803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9pt;height:59.6pt;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restart"/>
          <w:textDirection w:val="lrTb"/>
          <w:noWrap w:val="false"/>
        </w:tcPr>
        <w:p>
          <w:pPr>
            <w:jc w:val="center"/>
            <w:spacing w:lineRule="auto" w:line="240" w:after="0"/>
            <w:rPr>
              <w:b/>
              <w:sz w:val="40"/>
              <w:szCs w:val="40"/>
            </w:rPr>
          </w:pPr>
          <w:r>
            <w:rPr>
              <w:b/>
              <w:sz w:val="28"/>
              <w:szCs w:val="28"/>
            </w:rPr>
            <w:t xml:space="preserve">RENCANA PEMBELAJARAN SEMESTER</w:t>
          </w:r>
          <w:r/>
        </w:p>
        <w:p>
          <w:pPr>
            <w:jc w:val="center"/>
            <w:spacing w:lineRule="auto" w:line="240"/>
            <w:rPr>
              <w:b/>
              <w:color w:val="FF0000"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TEKNIK ELEKTRO</w:t>
          </w:r>
          <w:r>
            <w:rPr>
              <w:b/>
              <w:color w:val="FF0000"/>
              <w:sz w:val="24"/>
              <w:szCs w:val="24"/>
              <w:highlight w:val="yellow"/>
            </w:rPr>
          </w:r>
          <w:r/>
        </w:p>
        <w:p>
          <w:pPr>
            <w:jc w:val="center"/>
            <w:spacing w:lineRule="auto" w:line="240"/>
            <w:rPr>
              <w:b/>
              <w:sz w:val="20"/>
              <w:szCs w:val="20"/>
            </w:rPr>
          </w:pPr>
          <w:r>
            <w:rPr>
              <w:b/>
            </w:rPr>
            <w:t xml:space="preserve">Tahun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Ajaran</w:t>
          </w:r>
          <w:r>
            <w:rPr>
              <w:b/>
            </w:rPr>
            <w:t xml:space="preserve"> 2020 - 2025</w:t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Dok</w:t>
          </w:r>
          <w:r>
            <w:rPr>
              <w:sz w:val="20"/>
              <w:szCs w:val="20"/>
            </w:rPr>
            <w:t xml:space="preserve">.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ind w:right="-60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26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Tgl</w:t>
          </w:r>
          <w:r>
            <w:rPr>
              <w:sz w:val="20"/>
              <w:szCs w:val="20"/>
            </w:rPr>
            <w:t xml:space="preserve">. </w:t>
          </w:r>
          <w:r>
            <w:rPr>
              <w:sz w:val="20"/>
              <w:szCs w:val="20"/>
            </w:rPr>
            <w:t xml:space="preserve">Terbit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…./</w:t>
          </w:r>
          <w:r>
            <w:rPr>
              <w:sz w:val="20"/>
              <w:szCs w:val="20"/>
            </w:rPr>
            <w:t xml:space="preserve">08/2017</w:t>
          </w:r>
          <w:r/>
        </w:p>
      </w:tc>
    </w:tr>
    <w:tr>
      <w:trPr>
        <w:jc w:val="center"/>
        <w:trHeight w:val="28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ind w:left="175" w:hanging="175"/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No. </w:t>
          </w:r>
          <w:r>
            <w:rPr>
              <w:sz w:val="20"/>
              <w:szCs w:val="20"/>
            </w:rPr>
            <w:t xml:space="preserve">Revisi</w:t>
          </w:r>
          <w:r>
            <w:rPr>
              <w:sz w:val="20"/>
              <w:szCs w:val="20"/>
            </w:rPr>
            <w:t xml:space="preserve"> 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01</w:t>
          </w:r>
          <w:r/>
        </w:p>
      </w:tc>
    </w:tr>
    <w:tr>
      <w:trPr>
        <w:jc w:val="center"/>
        <w:trHeight w:val="120"/>
      </w:trPr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288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single" w:color="000000" w:sz="4" w:space="0"/>
          </w:tcBorders>
          <w:tcW w:w="8550" w:type="dxa"/>
          <w:vAlign w:val="center"/>
          <w:vMerge w:val="continue"/>
          <w:textDirection w:val="lrTb"/>
          <w:noWrap w:val="false"/>
        </w:tcPr>
        <w:p>
          <w:pPr>
            <w:spacing w:after="0"/>
            <w:widowControl w:val="off"/>
            <w:rPr>
              <w:sz w:val="20"/>
              <w:szCs w:val="20"/>
            </w:rPr>
            <w:pBdr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  <w:between w:val="none" w:color="000000" w:sz="4" w:space="0"/>
            </w:pBdr>
          </w:pPr>
          <w:r>
            <w:rPr>
              <w:sz w:val="20"/>
              <w:szCs w:val="20"/>
            </w:rPr>
          </w:r>
          <w:r/>
        </w:p>
      </w:tc>
      <w:tc>
        <w:tcPr>
          <w:shd w:val="clear" w:fill="auto" w:color="auto"/>
          <w:tcBorders>
            <w:left w:val="singl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1874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Hal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none" w:color="000000" w:sz="4" w:space="0"/>
            <w:bottom w:val="single" w:color="000000" w:sz="4" w:space="0"/>
          </w:tcBorders>
          <w:tcW w:w="286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:</w:t>
          </w:r>
          <w:r/>
        </w:p>
      </w:tc>
      <w:tc>
        <w:tcPr>
          <w:shd w:val="clear" w:fill="auto" w:color="auto"/>
          <w:tcBorders>
            <w:left w:val="none" w:color="000000" w:sz="4" w:space="0"/>
            <w:top w:val="single" w:color="000000" w:sz="4" w:space="0"/>
            <w:right w:val="single" w:color="000000" w:sz="4" w:space="0"/>
            <w:bottom w:val="single" w:color="000000" w:sz="4" w:space="0"/>
          </w:tcBorders>
          <w:tcW w:w="1530" w:type="dxa"/>
          <w:vAlign w:val="center"/>
          <w:textDirection w:val="lrTb"/>
          <w:noWrap w:val="false"/>
        </w:tcPr>
        <w:p>
          <w:pPr>
            <w:spacing w:lineRule="auto" w:line="240"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1</w:t>
          </w:r>
          <w:r>
            <w:rPr>
              <w:sz w:val="20"/>
              <w:szCs w:val="20"/>
            </w:rPr>
            <w:fldChar w:fldCharType="end"/>
          </w:r>
          <w:r/>
        </w:p>
      </w:tc>
    </w:tr>
  </w:tbl>
  <w:p>
    <w:pPr>
      <w:spacing w:lineRule="auto" w:line="240" w:after="0"/>
      <w:tabs>
        <w:tab w:val="center" w:pos="4680" w:leader="none"/>
        <w:tab w:val="right" w:pos="9360" w:leader="none"/>
      </w:tabs>
      <w:rPr>
        <w:color w:val="000000"/>
      </w:r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▪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▪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▪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81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2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9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8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529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33">
    <w:name w:val="Heading 1 Char"/>
    <w:basedOn w:val="1104"/>
    <w:link w:val="1098"/>
    <w:uiPriority w:val="9"/>
    <w:rPr>
      <w:rFonts w:ascii="Arial" w:hAnsi="Arial" w:cs="Arial" w:eastAsia="Arial"/>
      <w:sz w:val="40"/>
      <w:szCs w:val="40"/>
    </w:rPr>
  </w:style>
  <w:style w:type="character" w:styleId="934">
    <w:name w:val="Heading 2 Char"/>
    <w:basedOn w:val="1104"/>
    <w:link w:val="1099"/>
    <w:uiPriority w:val="9"/>
    <w:rPr>
      <w:rFonts w:ascii="Arial" w:hAnsi="Arial" w:cs="Arial" w:eastAsia="Arial"/>
      <w:sz w:val="34"/>
    </w:rPr>
  </w:style>
  <w:style w:type="character" w:styleId="935">
    <w:name w:val="Heading 3 Char"/>
    <w:basedOn w:val="1104"/>
    <w:link w:val="1100"/>
    <w:uiPriority w:val="9"/>
    <w:rPr>
      <w:rFonts w:ascii="Arial" w:hAnsi="Arial" w:cs="Arial" w:eastAsia="Arial"/>
      <w:sz w:val="30"/>
      <w:szCs w:val="30"/>
    </w:rPr>
  </w:style>
  <w:style w:type="character" w:styleId="936">
    <w:name w:val="Heading 4 Char"/>
    <w:basedOn w:val="1104"/>
    <w:link w:val="1101"/>
    <w:uiPriority w:val="9"/>
    <w:rPr>
      <w:rFonts w:ascii="Arial" w:hAnsi="Arial" w:cs="Arial" w:eastAsia="Arial"/>
      <w:b/>
      <w:bCs/>
      <w:sz w:val="26"/>
      <w:szCs w:val="26"/>
    </w:rPr>
  </w:style>
  <w:style w:type="character" w:styleId="937">
    <w:name w:val="Heading 5 Char"/>
    <w:basedOn w:val="1104"/>
    <w:link w:val="1102"/>
    <w:uiPriority w:val="9"/>
    <w:rPr>
      <w:rFonts w:ascii="Arial" w:hAnsi="Arial" w:cs="Arial" w:eastAsia="Arial"/>
      <w:b/>
      <w:bCs/>
      <w:sz w:val="24"/>
      <w:szCs w:val="24"/>
    </w:rPr>
  </w:style>
  <w:style w:type="character" w:styleId="938">
    <w:name w:val="Heading 6 Char"/>
    <w:basedOn w:val="1104"/>
    <w:link w:val="1103"/>
    <w:uiPriority w:val="9"/>
    <w:rPr>
      <w:rFonts w:ascii="Arial" w:hAnsi="Arial" w:cs="Arial" w:eastAsia="Arial"/>
      <w:b/>
      <w:bCs/>
      <w:sz w:val="22"/>
      <w:szCs w:val="22"/>
    </w:rPr>
  </w:style>
  <w:style w:type="paragraph" w:styleId="939">
    <w:name w:val="Heading 7"/>
    <w:basedOn w:val="1097"/>
    <w:next w:val="1097"/>
    <w:link w:val="94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40">
    <w:name w:val="Heading 7 Char"/>
    <w:basedOn w:val="1104"/>
    <w:link w:val="93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41">
    <w:name w:val="Heading 8"/>
    <w:basedOn w:val="1097"/>
    <w:next w:val="1097"/>
    <w:link w:val="94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42">
    <w:name w:val="Heading 8 Char"/>
    <w:basedOn w:val="1104"/>
    <w:link w:val="941"/>
    <w:uiPriority w:val="9"/>
    <w:rPr>
      <w:rFonts w:ascii="Arial" w:hAnsi="Arial" w:cs="Arial" w:eastAsia="Arial"/>
      <w:i/>
      <w:iCs/>
      <w:sz w:val="22"/>
      <w:szCs w:val="22"/>
    </w:rPr>
  </w:style>
  <w:style w:type="paragraph" w:styleId="943">
    <w:name w:val="Heading 9"/>
    <w:basedOn w:val="1097"/>
    <w:next w:val="1097"/>
    <w:link w:val="94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44">
    <w:name w:val="Heading 9 Char"/>
    <w:basedOn w:val="1104"/>
    <w:link w:val="943"/>
    <w:uiPriority w:val="9"/>
    <w:rPr>
      <w:rFonts w:ascii="Arial" w:hAnsi="Arial" w:cs="Arial" w:eastAsia="Arial"/>
      <w:i/>
      <w:iCs/>
      <w:sz w:val="21"/>
      <w:szCs w:val="21"/>
    </w:rPr>
  </w:style>
  <w:style w:type="paragraph" w:styleId="945">
    <w:name w:val="No Spacing"/>
    <w:qFormat/>
    <w:uiPriority w:val="1"/>
    <w:pPr>
      <w:spacing w:lineRule="auto" w:line="240" w:after="0" w:before="0"/>
    </w:pPr>
  </w:style>
  <w:style w:type="character" w:styleId="946">
    <w:name w:val="Title Char"/>
    <w:basedOn w:val="1104"/>
    <w:link w:val="1107"/>
    <w:uiPriority w:val="10"/>
    <w:rPr>
      <w:sz w:val="48"/>
      <w:szCs w:val="48"/>
    </w:rPr>
  </w:style>
  <w:style w:type="character" w:styleId="947">
    <w:name w:val="Subtitle Char"/>
    <w:basedOn w:val="1104"/>
    <w:link w:val="1108"/>
    <w:uiPriority w:val="11"/>
    <w:rPr>
      <w:sz w:val="24"/>
      <w:szCs w:val="24"/>
    </w:rPr>
  </w:style>
  <w:style w:type="paragraph" w:styleId="948">
    <w:name w:val="Quote"/>
    <w:basedOn w:val="1097"/>
    <w:next w:val="1097"/>
    <w:link w:val="949"/>
    <w:qFormat/>
    <w:uiPriority w:val="29"/>
    <w:rPr>
      <w:i/>
    </w:rPr>
    <w:pPr>
      <w:ind w:left="720" w:right="720"/>
    </w:pPr>
  </w:style>
  <w:style w:type="character" w:styleId="949">
    <w:name w:val="Quote Char"/>
    <w:link w:val="948"/>
    <w:uiPriority w:val="29"/>
    <w:rPr>
      <w:i/>
    </w:rPr>
  </w:style>
  <w:style w:type="paragraph" w:styleId="950">
    <w:name w:val="Intense Quote"/>
    <w:basedOn w:val="1097"/>
    <w:next w:val="1097"/>
    <w:link w:val="95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51">
    <w:name w:val="Intense Quote Char"/>
    <w:link w:val="950"/>
    <w:uiPriority w:val="30"/>
    <w:rPr>
      <w:i/>
    </w:rPr>
  </w:style>
  <w:style w:type="paragraph" w:styleId="952">
    <w:name w:val="Caption"/>
    <w:basedOn w:val="1097"/>
    <w:next w:val="10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953">
    <w:name w:val="Caption Char"/>
    <w:basedOn w:val="952"/>
    <w:link w:val="1115"/>
    <w:uiPriority w:val="99"/>
  </w:style>
  <w:style w:type="table" w:styleId="954">
    <w:name w:val="Table Grid Light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55">
    <w:name w:val="Plain Table 1"/>
    <w:basedOn w:val="11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6">
    <w:name w:val="Plain Table 2"/>
    <w:basedOn w:val="11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57">
    <w:name w:val="Plain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58">
    <w:name w:val="Plain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9">
    <w:name w:val="Plain Table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60">
    <w:name w:val="Grid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1">
    <w:name w:val="Grid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2">
    <w:name w:val="Grid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3">
    <w:name w:val="Grid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4">
    <w:name w:val="Grid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Grid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Grid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Grid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68">
    <w:name w:val="Grid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69">
    <w:name w:val="Grid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70">
    <w:name w:val="Grid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71">
    <w:name w:val="Grid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72">
    <w:name w:val="Grid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73">
    <w:name w:val="Grid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74">
    <w:name w:val="Grid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5">
    <w:name w:val="Grid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6">
    <w:name w:val="Grid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7">
    <w:name w:val="Grid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8">
    <w:name w:val="Grid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79">
    <w:name w:val="Grid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0">
    <w:name w:val="Grid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81">
    <w:name w:val="Grid Table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82">
    <w:name w:val="Grid Table 4 - Accent 1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83">
    <w:name w:val="Grid Table 4 - Accent 2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84">
    <w:name w:val="Grid Table 4 - Accent 3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85">
    <w:name w:val="Grid Table 4 - Accent 4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86">
    <w:name w:val="Grid Table 4 - Accent 5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87">
    <w:name w:val="Grid Table 4 - Accent 6"/>
    <w:basedOn w:val="11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88">
    <w:name w:val="Grid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989">
    <w:name w:val="Grid Table 5 Dark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990">
    <w:name w:val="Grid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991">
    <w:name w:val="Grid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992">
    <w:name w:val="Grid Table 5 Dark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993">
    <w:name w:val="Grid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994">
    <w:name w:val="Grid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995">
    <w:name w:val="Grid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96">
    <w:name w:val="Grid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97">
    <w:name w:val="Grid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98">
    <w:name w:val="Grid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99">
    <w:name w:val="Grid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00">
    <w:name w:val="Grid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1">
    <w:name w:val="Grid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02">
    <w:name w:val="Grid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3">
    <w:name w:val="Grid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04">
    <w:name w:val="Grid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05">
    <w:name w:val="Grid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06">
    <w:name w:val="Grid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07">
    <w:name w:val="Grid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08">
    <w:name w:val="Grid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09">
    <w:name w:val="List Table 1 Light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0">
    <w:name w:val="List Table 1 Light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11">
    <w:name w:val="List Table 1 Light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12">
    <w:name w:val="List Table 1 Light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13">
    <w:name w:val="List Table 1 Light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14">
    <w:name w:val="List Table 1 Light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15">
    <w:name w:val="List Table 1 Light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16">
    <w:name w:val="List Table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17">
    <w:name w:val="List Table 2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18">
    <w:name w:val="List Table 2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19">
    <w:name w:val="List Table 2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20">
    <w:name w:val="List Table 2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21">
    <w:name w:val="List Table 2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22">
    <w:name w:val="List Table 2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23">
    <w:name w:val="List Table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4">
    <w:name w:val="List Table 3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5">
    <w:name w:val="List Table 3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6">
    <w:name w:val="List Table 3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7">
    <w:name w:val="List Table 3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8">
    <w:name w:val="List Table 3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29">
    <w:name w:val="List Table 3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0">
    <w:name w:val="List Table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1">
    <w:name w:val="List Table 4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2">
    <w:name w:val="List Table 4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3">
    <w:name w:val="List Table 4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4">
    <w:name w:val="List Table 4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5">
    <w:name w:val="List Table 4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6">
    <w:name w:val="List Table 4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37">
    <w:name w:val="List Table 5 Dark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8">
    <w:name w:val="List Table 5 Dark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39">
    <w:name w:val="List Table 5 Dark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0">
    <w:name w:val="List Table 5 Dark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1">
    <w:name w:val="List Table 5 Dark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2">
    <w:name w:val="List Table 5 Dark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3">
    <w:name w:val="List Table 5 Dark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44">
    <w:name w:val="List Table 6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045">
    <w:name w:val="List Table 6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046">
    <w:name w:val="List Table 6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047">
    <w:name w:val="List Table 6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48">
    <w:name w:val="List Table 6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49">
    <w:name w:val="List Table 6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50">
    <w:name w:val="List Table 6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51">
    <w:name w:val="List Table 7 Colorful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52">
    <w:name w:val="List Table 7 Colorful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53">
    <w:name w:val="List Table 7 Colorful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54">
    <w:name w:val="List Table 7 Colorful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55">
    <w:name w:val="List Table 7 Colorful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56">
    <w:name w:val="List Table 7 Colorful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57">
    <w:name w:val="List Table 7 Colorful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58">
    <w:name w:val="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59">
    <w:name w:val="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0">
    <w:name w:val="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1">
    <w:name w:val="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2">
    <w:name w:val="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63">
    <w:name w:val="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64">
    <w:name w:val="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65">
    <w:name w:val="Bordered &amp; Lined - Accent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066">
    <w:name w:val="Bordered &amp; Lined - Accent 1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067">
    <w:name w:val="Bordered &amp; Lined - Accent 2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068">
    <w:name w:val="Bordered &amp; Lined - Accent 3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069">
    <w:name w:val="Bordered &amp; Lined - Accent 4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070">
    <w:name w:val="Bordered &amp; Lined - Accent 5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071">
    <w:name w:val="Bordered &amp; Lined - Accent 6"/>
    <w:basedOn w:val="11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072">
    <w:name w:val="Bordered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73">
    <w:name w:val="Bordered - Accent 1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74">
    <w:name w:val="Bordered - Accent 2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75">
    <w:name w:val="Bordered - Accent 3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76">
    <w:name w:val="Bordered - Accent 4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77">
    <w:name w:val="Bordered - Accent 5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78">
    <w:name w:val="Bordered - Accent 6"/>
    <w:basedOn w:val="11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079">
    <w:name w:val="Hyperlink"/>
    <w:uiPriority w:val="99"/>
    <w:unhideWhenUsed/>
    <w:rPr>
      <w:color w:val="0000FF" w:themeColor="hyperlink"/>
      <w:u w:val="single"/>
    </w:rPr>
  </w:style>
  <w:style w:type="paragraph" w:styleId="1080">
    <w:name w:val="footnote text"/>
    <w:basedOn w:val="1097"/>
    <w:link w:val="1081"/>
    <w:uiPriority w:val="99"/>
    <w:semiHidden/>
    <w:unhideWhenUsed/>
    <w:rPr>
      <w:sz w:val="18"/>
    </w:rPr>
    <w:pPr>
      <w:spacing w:lineRule="auto" w:line="240" w:after="40"/>
    </w:pPr>
  </w:style>
  <w:style w:type="character" w:styleId="1081">
    <w:name w:val="Footnote Text Char"/>
    <w:link w:val="1080"/>
    <w:uiPriority w:val="99"/>
    <w:rPr>
      <w:sz w:val="18"/>
    </w:rPr>
  </w:style>
  <w:style w:type="character" w:styleId="1082">
    <w:name w:val="footnote reference"/>
    <w:basedOn w:val="1104"/>
    <w:uiPriority w:val="99"/>
    <w:unhideWhenUsed/>
    <w:rPr>
      <w:vertAlign w:val="superscript"/>
    </w:rPr>
  </w:style>
  <w:style w:type="paragraph" w:styleId="1083">
    <w:name w:val="endnote text"/>
    <w:basedOn w:val="1097"/>
    <w:link w:val="1084"/>
    <w:uiPriority w:val="99"/>
    <w:semiHidden/>
    <w:unhideWhenUsed/>
    <w:rPr>
      <w:sz w:val="20"/>
    </w:rPr>
    <w:pPr>
      <w:spacing w:lineRule="auto" w:line="240" w:after="0"/>
    </w:pPr>
  </w:style>
  <w:style w:type="character" w:styleId="1084">
    <w:name w:val="Endnote Text Char"/>
    <w:link w:val="1083"/>
    <w:uiPriority w:val="99"/>
    <w:rPr>
      <w:sz w:val="20"/>
    </w:rPr>
  </w:style>
  <w:style w:type="character" w:styleId="1085">
    <w:name w:val="endnote reference"/>
    <w:basedOn w:val="1104"/>
    <w:uiPriority w:val="99"/>
    <w:semiHidden/>
    <w:unhideWhenUsed/>
    <w:rPr>
      <w:vertAlign w:val="superscript"/>
    </w:rPr>
  </w:style>
  <w:style w:type="paragraph" w:styleId="1086">
    <w:name w:val="toc 1"/>
    <w:basedOn w:val="1097"/>
    <w:next w:val="1097"/>
    <w:uiPriority w:val="39"/>
    <w:unhideWhenUsed/>
    <w:pPr>
      <w:ind w:left="0" w:right="0" w:firstLine="0"/>
      <w:spacing w:after="57"/>
    </w:pPr>
  </w:style>
  <w:style w:type="paragraph" w:styleId="1087">
    <w:name w:val="toc 2"/>
    <w:basedOn w:val="1097"/>
    <w:next w:val="1097"/>
    <w:uiPriority w:val="39"/>
    <w:unhideWhenUsed/>
    <w:pPr>
      <w:ind w:left="283" w:right="0" w:firstLine="0"/>
      <w:spacing w:after="57"/>
    </w:pPr>
  </w:style>
  <w:style w:type="paragraph" w:styleId="1088">
    <w:name w:val="toc 3"/>
    <w:basedOn w:val="1097"/>
    <w:next w:val="1097"/>
    <w:uiPriority w:val="39"/>
    <w:unhideWhenUsed/>
    <w:pPr>
      <w:ind w:left="567" w:right="0" w:firstLine="0"/>
      <w:spacing w:after="57"/>
    </w:pPr>
  </w:style>
  <w:style w:type="paragraph" w:styleId="1089">
    <w:name w:val="toc 4"/>
    <w:basedOn w:val="1097"/>
    <w:next w:val="1097"/>
    <w:uiPriority w:val="39"/>
    <w:unhideWhenUsed/>
    <w:pPr>
      <w:ind w:left="850" w:right="0" w:firstLine="0"/>
      <w:spacing w:after="57"/>
    </w:pPr>
  </w:style>
  <w:style w:type="paragraph" w:styleId="1090">
    <w:name w:val="toc 5"/>
    <w:basedOn w:val="1097"/>
    <w:next w:val="1097"/>
    <w:uiPriority w:val="39"/>
    <w:unhideWhenUsed/>
    <w:pPr>
      <w:ind w:left="1134" w:right="0" w:firstLine="0"/>
      <w:spacing w:after="57"/>
    </w:pPr>
  </w:style>
  <w:style w:type="paragraph" w:styleId="1091">
    <w:name w:val="toc 6"/>
    <w:basedOn w:val="1097"/>
    <w:next w:val="1097"/>
    <w:uiPriority w:val="39"/>
    <w:unhideWhenUsed/>
    <w:pPr>
      <w:ind w:left="1417" w:right="0" w:firstLine="0"/>
      <w:spacing w:after="57"/>
    </w:pPr>
  </w:style>
  <w:style w:type="paragraph" w:styleId="1092">
    <w:name w:val="toc 7"/>
    <w:basedOn w:val="1097"/>
    <w:next w:val="1097"/>
    <w:uiPriority w:val="39"/>
    <w:unhideWhenUsed/>
    <w:pPr>
      <w:ind w:left="1701" w:right="0" w:firstLine="0"/>
      <w:spacing w:after="57"/>
    </w:pPr>
  </w:style>
  <w:style w:type="paragraph" w:styleId="1093">
    <w:name w:val="toc 8"/>
    <w:basedOn w:val="1097"/>
    <w:next w:val="1097"/>
    <w:uiPriority w:val="39"/>
    <w:unhideWhenUsed/>
    <w:pPr>
      <w:ind w:left="1984" w:right="0" w:firstLine="0"/>
      <w:spacing w:after="57"/>
    </w:pPr>
  </w:style>
  <w:style w:type="paragraph" w:styleId="1094">
    <w:name w:val="toc 9"/>
    <w:basedOn w:val="1097"/>
    <w:next w:val="1097"/>
    <w:uiPriority w:val="39"/>
    <w:unhideWhenUsed/>
    <w:pPr>
      <w:ind w:left="2268" w:right="0" w:firstLine="0"/>
      <w:spacing w:after="57"/>
    </w:pPr>
  </w:style>
  <w:style w:type="paragraph" w:styleId="1095">
    <w:name w:val="TOC Heading"/>
    <w:uiPriority w:val="39"/>
    <w:unhideWhenUsed/>
  </w:style>
  <w:style w:type="paragraph" w:styleId="1096">
    <w:name w:val="table of figures"/>
    <w:basedOn w:val="1097"/>
    <w:next w:val="1097"/>
    <w:uiPriority w:val="99"/>
    <w:unhideWhenUsed/>
    <w:pPr>
      <w:spacing w:after="0" w:afterAutospacing="0"/>
    </w:pPr>
  </w:style>
  <w:style w:type="paragraph" w:styleId="1097" w:default="1">
    <w:name w:val="Normal"/>
    <w:qFormat/>
  </w:style>
  <w:style w:type="paragraph" w:styleId="1098">
    <w:name w:val="Heading 1"/>
    <w:basedOn w:val="1097"/>
    <w:next w:val="1097"/>
    <w:qFormat/>
    <w:uiPriority w:val="9"/>
    <w:rPr>
      <w:b/>
      <w:sz w:val="48"/>
      <w:szCs w:val="48"/>
    </w:rPr>
    <w:pPr>
      <w:keepLines/>
      <w:keepNext/>
      <w:spacing w:after="120" w:before="480"/>
      <w:outlineLvl w:val="0"/>
    </w:pPr>
  </w:style>
  <w:style w:type="paragraph" w:styleId="1099">
    <w:name w:val="Heading 2"/>
    <w:basedOn w:val="1097"/>
    <w:next w:val="1097"/>
    <w:qFormat/>
    <w:uiPriority w:val="9"/>
    <w:semiHidden/>
    <w:unhideWhenUsed/>
    <w:rPr>
      <w:b/>
      <w:sz w:val="36"/>
      <w:szCs w:val="36"/>
    </w:rPr>
    <w:pPr>
      <w:keepLines/>
      <w:keepNext/>
      <w:spacing w:after="80" w:before="360"/>
      <w:outlineLvl w:val="1"/>
    </w:pPr>
  </w:style>
  <w:style w:type="paragraph" w:styleId="1100">
    <w:name w:val="Heading 3"/>
    <w:basedOn w:val="1097"/>
    <w:next w:val="1097"/>
    <w:qFormat/>
    <w:uiPriority w:val="9"/>
    <w:semiHidden/>
    <w:unhideWhenUsed/>
    <w:rPr>
      <w:b/>
      <w:sz w:val="28"/>
      <w:szCs w:val="28"/>
    </w:rPr>
    <w:pPr>
      <w:keepLines/>
      <w:keepNext/>
      <w:spacing w:after="80" w:before="280"/>
      <w:outlineLvl w:val="2"/>
    </w:pPr>
  </w:style>
  <w:style w:type="paragraph" w:styleId="1101">
    <w:name w:val="Heading 4"/>
    <w:basedOn w:val="1097"/>
    <w:next w:val="1097"/>
    <w:qFormat/>
    <w:uiPriority w:val="9"/>
    <w:semiHidden/>
    <w:unhideWhenUsed/>
    <w:rPr>
      <w:rFonts w:ascii="Cambria" w:hAnsi="Cambria" w:cs="Cambria" w:eastAsia="Cambria"/>
      <w:i/>
      <w:color w:val="366091"/>
    </w:rPr>
    <w:pPr>
      <w:keepLines/>
      <w:keepNext/>
      <w:spacing w:after="0" w:before="40"/>
      <w:outlineLvl w:val="3"/>
    </w:pPr>
  </w:style>
  <w:style w:type="paragraph" w:styleId="1102">
    <w:name w:val="Heading 5"/>
    <w:basedOn w:val="1097"/>
    <w:next w:val="1097"/>
    <w:qFormat/>
    <w:uiPriority w:val="9"/>
    <w:semiHidden/>
    <w:unhideWhenUsed/>
    <w:rPr>
      <w:b/>
    </w:rPr>
    <w:pPr>
      <w:keepLines/>
      <w:keepNext/>
      <w:spacing w:after="40" w:before="220"/>
      <w:outlineLvl w:val="4"/>
    </w:pPr>
  </w:style>
  <w:style w:type="paragraph" w:styleId="1103">
    <w:name w:val="Heading 6"/>
    <w:basedOn w:val="1097"/>
    <w:next w:val="1097"/>
    <w:qFormat/>
    <w:uiPriority w:val="9"/>
    <w:semiHidden/>
    <w:unhideWhenUsed/>
    <w:rPr>
      <w:b/>
      <w:sz w:val="20"/>
      <w:szCs w:val="20"/>
    </w:rPr>
    <w:pPr>
      <w:keepLines/>
      <w:keepNext/>
      <w:spacing w:after="40" w:before="200"/>
      <w:outlineLvl w:val="5"/>
    </w:pPr>
  </w:style>
  <w:style w:type="character" w:styleId="1104" w:default="1">
    <w:name w:val="Default Paragraph Font"/>
    <w:uiPriority w:val="1"/>
    <w:semiHidden/>
    <w:unhideWhenUsed/>
  </w:style>
  <w:style w:type="table" w:styleId="11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06" w:default="1">
    <w:name w:val="No List"/>
    <w:uiPriority w:val="99"/>
    <w:semiHidden/>
    <w:unhideWhenUsed/>
  </w:style>
  <w:style w:type="paragraph" w:styleId="1107">
    <w:name w:val="Title"/>
    <w:basedOn w:val="1097"/>
    <w:next w:val="1097"/>
    <w:qFormat/>
    <w:uiPriority w:val="10"/>
    <w:rPr>
      <w:b/>
      <w:sz w:val="72"/>
      <w:szCs w:val="72"/>
    </w:rPr>
    <w:pPr>
      <w:keepLines/>
      <w:keepNext/>
      <w:spacing w:after="120" w:before="480"/>
    </w:pPr>
  </w:style>
  <w:style w:type="paragraph" w:styleId="1108">
    <w:name w:val="Subtitle"/>
    <w:basedOn w:val="1097"/>
    <w:next w:val="1097"/>
    <w:qFormat/>
    <w:uiPriority w:val="11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1109" w:customStyle="1">
    <w:name w:val="StGen0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0" w:customStyle="1">
    <w:name w:val="StGen1"/>
    <w:basedOn w:val="1105"/>
    <w:pPr>
      <w:spacing w:lineRule="auto" w:line="240" w:after="0"/>
    </w:pPr>
    <w:tblPr>
      <w:tblStyleRowBandSize w:val="1"/>
      <w:tblStyleColBandSize w:val="1"/>
    </w:tblPr>
  </w:style>
  <w:style w:type="table" w:styleId="1111" w:customStyle="1">
    <w:name w:val="StGen2"/>
    <w:basedOn w:val="110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112">
    <w:name w:val="Table Grid"/>
    <w:basedOn w:val="110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13">
    <w:name w:val="Header"/>
    <w:basedOn w:val="1097"/>
    <w:link w:val="1114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4" w:customStyle="1">
    <w:name w:val="Header Char"/>
    <w:basedOn w:val="1104"/>
    <w:link w:val="1113"/>
    <w:uiPriority w:val="99"/>
  </w:style>
  <w:style w:type="paragraph" w:styleId="1115">
    <w:name w:val="Footer"/>
    <w:basedOn w:val="1097"/>
    <w:link w:val="1116"/>
    <w:uiPriority w:val="99"/>
    <w:unhideWhenUsed/>
    <w:pPr>
      <w:spacing w:lineRule="auto" w:line="240" w:after="0"/>
      <w:tabs>
        <w:tab w:val="center" w:pos="4680" w:leader="none"/>
        <w:tab w:val="right" w:pos="9360" w:leader="none"/>
      </w:tabs>
    </w:pPr>
  </w:style>
  <w:style w:type="character" w:styleId="1116" w:customStyle="1">
    <w:name w:val="Footer Char"/>
    <w:basedOn w:val="1104"/>
    <w:link w:val="1115"/>
    <w:uiPriority w:val="99"/>
  </w:style>
  <w:style w:type="paragraph" w:styleId="1117">
    <w:name w:val="List Paragraph"/>
    <w:basedOn w:val="109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Pembelajaran Semester (RPS) Metode Numerik 2021-2022</dc:title>
  <dc:subject/>
  <dc:creator>Mifta Nur Farid</dc:creator>
  <dc:description/>
  <cp:revision>4</cp:revision>
  <dcterms:created xsi:type="dcterms:W3CDTF">2020-03-10T03:01:00Z</dcterms:created>
  <dcterms:modified xsi:type="dcterms:W3CDTF">2021-08-08T20:31:02Z</dcterms:modified>
</cp:coreProperties>
</file>