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9.0" w:type="dxa"/>
        <w:jc w:val="left"/>
        <w:tblInd w:w="-185.0" w:type="dxa"/>
        <w:tblLayout w:type="fixed"/>
        <w:tblLook w:val="0400"/>
      </w:tblPr>
      <w:tblGrid>
        <w:gridCol w:w="2873"/>
        <w:gridCol w:w="1356"/>
        <w:gridCol w:w="5490"/>
        <w:tblGridChange w:id="0">
          <w:tblGrid>
            <w:gridCol w:w="2873"/>
            <w:gridCol w:w="1356"/>
            <w:gridCol w:w="5490"/>
          </w:tblGrid>
        </w:tblGridChange>
      </w:tblGrid>
      <w:tr>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pStyle w:val="Heading1"/>
              <w:ind w:left="720" w:hanging="360"/>
              <w:jc w:val="both"/>
              <w:rPr>
                <w:sz w:val="22"/>
                <w:szCs w:val="22"/>
              </w:rPr>
            </w:pPr>
            <w:r w:rsidDel="00000000" w:rsidR="00000000" w:rsidRPr="00000000">
              <w:rPr>
                <w:b w:val="1"/>
                <w:color w:val="000000"/>
                <w:sz w:val="22"/>
                <w:szCs w:val="22"/>
                <w:rtl w:val="0"/>
              </w:rPr>
              <w:t xml:space="preserve">TE20158</w:t>
            </w:r>
            <w:r w:rsidDel="00000000" w:rsidR="00000000" w:rsidRPr="00000000">
              <w:rPr>
                <w:sz w:val="22"/>
                <w:szCs w:val="22"/>
                <w:rtl w:val="0"/>
              </w:rPr>
              <w:t xml:space="preserve">1: </w:t>
            </w:r>
            <w:r w:rsidDel="00000000" w:rsidR="00000000" w:rsidRPr="00000000">
              <w:rPr>
                <w:b w:val="1"/>
                <w:color w:val="000000"/>
                <w:sz w:val="22"/>
                <w:szCs w:val="22"/>
                <w:rtl w:val="0"/>
              </w:rPr>
              <w:t xml:space="preserve">PEMODELAN JARINGAN TELEKOMUNIKASI</w:t>
            </w:r>
            <w:r w:rsidDel="00000000" w:rsidR="00000000" w:rsidRPr="00000000">
              <w:rPr>
                <w:rtl w:val="0"/>
              </w:rPr>
            </w:r>
          </w:p>
        </w:tc>
      </w:tr>
      <w:tr>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200" w:before="0" w:lineRule="auto"/>
              <w:ind w:left="340" w:firstLine="0"/>
              <w:jc w:val="both"/>
              <w:rPr>
                <w:sz w:val="22"/>
                <w:szCs w:val="22"/>
              </w:rPr>
            </w:pPr>
            <w:r w:rsidDel="00000000" w:rsidR="00000000" w:rsidRPr="00000000">
              <w:rPr>
                <w:sz w:val="22"/>
                <w:szCs w:val="22"/>
                <w:rtl w:val="0"/>
              </w:rPr>
              <w:t xml:space="preserve">PILIHAN / 2 SKS</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8">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Deskripsi Mata Kuliah</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200" w:before="0" w:lineRule="auto"/>
              <w:jc w:val="both"/>
              <w:rPr>
                <w:sz w:val="22"/>
                <w:szCs w:val="22"/>
              </w:rPr>
            </w:pPr>
            <w:r w:rsidDel="00000000" w:rsidR="00000000" w:rsidRPr="00000000">
              <w:rPr>
                <w:i w:val="0"/>
                <w:color w:val="000000"/>
                <w:sz w:val="22"/>
                <w:szCs w:val="22"/>
                <w:rtl w:val="0"/>
              </w:rPr>
              <w:t xml:space="preserve">Manusia berkomunikasi. Mereka saling bertukar informasi  sepanjang waktu. Dalam beberapa dekade terakhir, banyak teknologi yang tercipta untuk membantu proses pertukaran informasi dengan cara yang kreatif dan efisien. Di antaranya adalah telepon, tv dan radio </w:t>
            </w:r>
            <w:r w:rsidDel="00000000" w:rsidR="00000000" w:rsidRPr="00000000">
              <w:rPr>
                <w:i w:val="1"/>
                <w:color w:val="000000"/>
                <w:sz w:val="22"/>
                <w:szCs w:val="22"/>
                <w:rtl w:val="0"/>
              </w:rPr>
              <w:t xml:space="preserve">broadcasting</w:t>
            </w:r>
            <w:r w:rsidDel="00000000" w:rsidR="00000000" w:rsidRPr="00000000">
              <w:rPr>
                <w:i w:val="0"/>
                <w:color w:val="000000"/>
                <w:sz w:val="22"/>
                <w:szCs w:val="22"/>
                <w:rtl w:val="0"/>
              </w:rPr>
              <w:t xml:space="preserve">, komputer dan internet, serta teknologi </w:t>
            </w:r>
            <w:r w:rsidDel="00000000" w:rsidR="00000000" w:rsidRPr="00000000">
              <w:rPr>
                <w:i w:val="1"/>
                <w:color w:val="000000"/>
                <w:sz w:val="22"/>
                <w:szCs w:val="22"/>
                <w:rtl w:val="0"/>
              </w:rPr>
              <w:t xml:space="preserve">wireless</w:t>
            </w:r>
            <w:r w:rsidDel="00000000" w:rsidR="00000000" w:rsidRPr="00000000">
              <w:rPr>
                <w:i w:val="0"/>
                <w:color w:val="000000"/>
                <w:sz w:val="22"/>
                <w:szCs w:val="22"/>
                <w:rtl w:val="0"/>
              </w:rPr>
              <w:t xml:space="preserve">. Awalnya, teknologi-teknologi tersebut ada dan beroperasi secara mandiri, melakukan tujuannya masing-masing. Kemudian baru-baru ini, teknologi-teknologi tersebut mulai manyatu, dan tidak bisa dipungkiri lagi bahwa hasilnya adalah jaringan telekomunikasi yang kita gunakan saat ini. Pada mata kuliah ini, jaringan komunikasi akan dijelaskan kembali. Begitu juga dengan model dan </w:t>
            </w:r>
            <w:r w:rsidDel="00000000" w:rsidR="00000000" w:rsidRPr="00000000">
              <w:rPr>
                <w:i w:val="1"/>
                <w:color w:val="000000"/>
                <w:sz w:val="22"/>
                <w:szCs w:val="22"/>
                <w:rtl w:val="0"/>
              </w:rPr>
              <w:t xml:space="preserve">layer</w:t>
            </w:r>
            <w:r w:rsidDel="00000000" w:rsidR="00000000" w:rsidRPr="00000000">
              <w:rPr>
                <w:i w:val="0"/>
                <w:color w:val="000000"/>
                <w:sz w:val="22"/>
                <w:szCs w:val="22"/>
                <w:rtl w:val="0"/>
              </w:rPr>
              <w:t xml:space="preserve"> jaringannya. Kemudian cara untuk mendisain dan memodelkan sistem jaringan telekomunikasi yang kompleks akan diajarkan. Dilanjutkan dengan melakukan simulasi dari sistem tersebut menggunakan </w:t>
            </w:r>
            <w:r w:rsidDel="00000000" w:rsidR="00000000" w:rsidRPr="00000000">
              <w:rPr>
                <w:i w:val="1"/>
                <w:color w:val="000000"/>
                <w:sz w:val="22"/>
                <w:szCs w:val="22"/>
                <w:rtl w:val="0"/>
              </w:rPr>
              <w:t xml:space="preserve">network simulator</w:t>
            </w:r>
            <w:r w:rsidDel="00000000" w:rsidR="00000000" w:rsidRPr="00000000">
              <w:rPr>
                <w:i w:val="0"/>
                <w:color w:val="000000"/>
                <w:sz w:val="22"/>
                <w:szCs w:val="22"/>
                <w:rtl w:val="0"/>
              </w:rPr>
              <w:t xml:space="preserv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E">
            <w:pPr>
              <w:spacing w:after="200" w:before="0" w:lineRule="auto"/>
              <w:jc w:val="both"/>
              <w:rPr>
                <w:rFonts w:ascii="Calibri" w:cs="Calibri" w:eastAsia="Calibri" w:hAnsi="Calibri"/>
                <w:b w:val="1"/>
                <w:color w:val="000000"/>
                <w:sz w:val="22"/>
                <w:szCs w:val="22"/>
              </w:rPr>
            </w:pPr>
            <w:r w:rsidDel="00000000" w:rsidR="00000000" w:rsidRPr="00000000">
              <w:rPr>
                <w:b w:val="1"/>
                <w:color w:val="000000"/>
                <w:sz w:val="22"/>
                <w:szCs w:val="22"/>
                <w:rtl w:val="0"/>
              </w:rPr>
              <w:t xml:space="preserve">Capaian Pembelajaran Lulusan (CPL) yang dibebankan pada mata kuliah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S.8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Menginternalisasi nilai, norma, dan etika akademik;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Menunjukkan sikap bertanggungjawab atas pekerjaan di bidang keahliannya secara mandiri.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KU.1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menerapkan pemikiran logis, kritis, sistematis, dan 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KU.2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menunjukkan kinerja mandiri, bermutu, dan terukur.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rPr>
                <w:sz w:val="22"/>
                <w:szCs w:val="22"/>
              </w:rPr>
            </w:pPr>
            <w:r w:rsidDel="00000000" w:rsidR="00000000" w:rsidRPr="00000000">
              <w:rPr>
                <w:sz w:val="22"/>
                <w:szCs w:val="22"/>
                <w:rtl w:val="0"/>
              </w:rPr>
              <w:t xml:space="preserve">P.3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Menguasai konsep dasar sistem tenaga, sistem pengaturan, elektronika, telekomunikasi dan sistem komputer;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Menguasai dasar teknik komputasi dan teknologi informasi dalam bidang sistem tenaga, sistem pengaturan, elektronika, telekomunikasi, dan sistem komputer.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KK.2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KK.3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mendesain dan melakukan eksperimen dalam bidang sistem tenaga, sistem pengaturan, elektronika, telekomunikasi, dan sistem komputer, serta menganalisis dan menafsirkan data untuk memperkuat penilaian teknik;</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KK.4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memanfaatkan perangkat analisis berbasis teknologi informasi dan komputasi yang sesuai untuk aktivitas teknik pada bidang sistem tenaga, sistem pengaturan, elektronika, telekomunikasi dan sistem komputer;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KK.5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untuk menerapkan metode terbaru, keterampilan, dan piranti teknik modern, yang sesuai kebutuhan dalam bidang sistem tenaga, sistem pengaturan, elektronika, telekomunikasi dan sistem komputer.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7">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Capaian Pembelajaran Mata Kuliah (CPMK)</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mampu menganalisis model dan simulasi dari jaringan telekomunikasi</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D">
            <w:pPr>
              <w:spacing w:after="200" w:before="0" w:lineRule="auto"/>
              <w:jc w:val="both"/>
              <w:rPr>
                <w:sz w:val="22"/>
                <w:szCs w:val="22"/>
              </w:rPr>
            </w:pPr>
            <w:r w:rsidDel="00000000" w:rsidR="00000000" w:rsidRPr="00000000">
              <w:rPr>
                <w:b w:val="1"/>
                <w:sz w:val="22"/>
                <w:szCs w:val="22"/>
                <w:rtl w:val="0"/>
              </w:rPr>
              <w:t xml:space="preserve">Bahan Kajian</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Dasar Pemodelan dan Simulasi Jaringan</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M2M, D2D, model jaringan dan standar jaringan Adhoc IEEE 802.15.4 dan IEEE 802.11</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Desain jaringan dan Parameter Protokol</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Pemodelan Jaringan menggunakan model matematis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Desain Jaringan dan Parameter Protokol Menggunakan Tool Software Network Simulator</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7">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 Prasyarat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TE201426 - Sistem Komunikasi</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D">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Pustaka Utama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Issariyakul, T. &amp; Hossain, E. (2012). Introduction to Network Simulator NS2. New York: Springer.</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Law, A.M. &amp; Kelton, W. D. (2001). Simulation Modeling and Analysis. New York: McGraw-Hill.</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44">
            <w:pPr>
              <w:spacing w:after="200" w:before="0" w:lineRule="auto"/>
              <w:rPr>
                <w:rFonts w:ascii="Calibri" w:cs="Calibri" w:eastAsia="Calibri" w:hAnsi="Calibri"/>
                <w:color w:val="000000"/>
                <w:sz w:val="22"/>
                <w:szCs w:val="22"/>
              </w:rPr>
            </w:pPr>
            <w:r w:rsidDel="00000000" w:rsidR="00000000" w:rsidRPr="00000000">
              <w:rPr>
                <w:b w:val="1"/>
                <w:sz w:val="22"/>
                <w:szCs w:val="22"/>
                <w:rtl w:val="0"/>
              </w:rPr>
              <w:t xml:space="preserve">Pustaka Pendukung</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Altman, E. &amp; Jiménez, T. (2012). NS Network Simulator for Beginners. Berkeley: Morgan &amp; Claypool Publishers.</w:t>
            </w:r>
          </w:p>
        </w:tc>
      </w:tr>
    </w:tbl>
    <w:p w:rsidR="00000000" w:rsidDel="00000000" w:rsidP="00000000" w:rsidRDefault="00000000" w:rsidRPr="00000000" w14:paraId="0000004A">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spacing w:after="200" w:before="0" w:lineRule="auto"/>
        <w:rPr>
          <w:rFonts w:ascii="Calibri" w:cs="Calibri" w:eastAsia="Calibri" w:hAnsi="Calibri"/>
          <w:sz w:val="22"/>
          <w:szCs w:val="22"/>
        </w:rPr>
      </w:pPr>
      <w:r w:rsidDel="00000000" w:rsidR="00000000" w:rsidRPr="00000000">
        <w:rPr>
          <w:rtl w:val="0"/>
        </w:rPr>
      </w:r>
    </w:p>
    <w:sectPr>
      <w:headerReference r:id="rId7" w:type="default"/>
      <w:pgSz w:h="15840" w:w="12240"/>
      <w:pgMar w:bottom="1440" w:top="1440" w:left="1440" w:right="1440" w:header="72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widowControl w:val="0"/>
      <w:spacing w:after="0" w:before="0" w:lineRule="auto"/>
      <w:rPr>
        <w:color w:val="000000"/>
      </w:rPr>
    </w:pPr>
    <w:r w:rsidDel="00000000" w:rsidR="00000000" w:rsidRPr="00000000">
      <w:rPr>
        <w:rtl w:val="0"/>
      </w:rPr>
    </w:r>
  </w:p>
  <w:tbl>
    <w:tblPr>
      <w:tblStyle w:val="Table2"/>
      <w:tblW w:w="9715.0" w:type="dxa"/>
      <w:jc w:val="center"/>
      <w:tblLayout w:type="fixed"/>
      <w:tblLook w:val="0000"/>
    </w:tblPr>
    <w:tblGrid>
      <w:gridCol w:w="2165"/>
      <w:gridCol w:w="4303"/>
      <w:gridCol w:w="1165"/>
      <w:gridCol w:w="544"/>
      <w:gridCol w:w="1538"/>
      <w:tblGridChange w:id="0">
        <w:tblGrid>
          <w:gridCol w:w="2165"/>
          <w:gridCol w:w="4303"/>
          <w:gridCol w:w="1165"/>
          <w:gridCol w:w="544"/>
          <w:gridCol w:w="1538"/>
        </w:tblGrid>
      </w:tblGridChange>
    </w:tblGrid>
    <w:tr>
      <w:trPr>
        <w:trHeight w:val="2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before="0" w:line="240" w:lineRule="auto"/>
            <w:ind w:left="-120" w:firstLine="0"/>
            <w:jc w:val="center"/>
            <w:rPr>
              <w:b w:val="1"/>
            </w:rPr>
          </w:pPr>
          <w:r w:rsidDel="00000000" w:rsidR="00000000" w:rsidRPr="00000000">
            <w:rPr/>
            <w:drawing>
              <wp:inline distB="0" distT="0" distL="0" distR="0">
                <wp:extent cx="832485" cy="5397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2485" cy="53975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before="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4F">
          <w:pPr>
            <w:spacing w:after="0" w:before="0" w:line="240" w:lineRule="auto"/>
            <w:jc w:val="center"/>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50">
          <w:pPr>
            <w:spacing w:after="0" w:before="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1">
          <w:pPr>
            <w:spacing w:after="0" w:before="0" w:line="240" w:lineRule="auto"/>
            <w:rPr/>
          </w:pPr>
          <w:r w:rsidDel="00000000" w:rsidR="00000000" w:rsidRPr="00000000">
            <w:rPr>
              <w:rtl w:val="0"/>
            </w:rPr>
            <w:t xml:space="preserve">No. Dok.</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2">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before="0" w:line="240" w:lineRule="auto"/>
            <w:ind w:right="-60" w:firstLine="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6">
          <w:pPr>
            <w:spacing w:after="0" w:before="0" w:line="240" w:lineRule="auto"/>
            <w:rPr/>
          </w:pPr>
          <w:r w:rsidDel="00000000" w:rsidR="00000000" w:rsidRPr="00000000">
            <w:rPr>
              <w:rtl w:val="0"/>
            </w:rPr>
            <w:t xml:space="preserve">Tgl. Terbit</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7">
          <w:pPr>
            <w:spacing w:after="0" w:before="0" w:line="240" w:lineRule="auto"/>
            <w:rPr/>
          </w:pPr>
          <w:r w:rsidDel="00000000" w:rsidR="00000000" w:rsidRPr="00000000">
            <w:rPr>
              <w:rtl w:val="0"/>
            </w:rPr>
            <w:t xml:space="preserve">: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before="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B">
          <w:pPr>
            <w:spacing w:after="0" w:before="0" w:line="240" w:lineRule="auto"/>
            <w:ind w:left="175" w:hanging="175"/>
            <w:rPr/>
          </w:pPr>
          <w:r w:rsidDel="00000000" w:rsidR="00000000" w:rsidRPr="00000000">
            <w:rPr>
              <w:rtl w:val="0"/>
            </w:rPr>
            <w:t xml:space="preserve">No. Revisi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C">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before="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0">
          <w:pPr>
            <w:spacing w:after="0" w:before="0" w:line="240" w:lineRule="auto"/>
            <w:rPr/>
          </w:pPr>
          <w:r w:rsidDel="00000000" w:rsidR="00000000" w:rsidRPr="00000000">
            <w:rPr>
              <w:rtl w:val="0"/>
            </w:rPr>
            <w:t xml:space="preserve">Hal</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1">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before="0" w:line="240" w:lineRule="auto"/>
            <w:rPr/>
          </w:pPr>
          <w:r w:rsidDel="00000000" w:rsidR="00000000" w:rsidRPr="00000000">
            <w:rPr>
              <w:rtl w:val="0"/>
            </w:rPr>
            <w:t xml:space="preserve">2/2</w:t>
          </w:r>
        </w:p>
      </w:tc>
    </w:tr>
  </w:tbl>
  <w:p w:rsidR="00000000" w:rsidDel="00000000" w:rsidP="00000000" w:rsidRDefault="00000000" w:rsidRPr="00000000" w14:paraId="00000063">
    <w:pPr>
      <w:tabs>
        <w:tab w:val="center" w:pos="4680"/>
        <w:tab w:val="right" w:pos="9360"/>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0"/>
      <w:szCs w:val="20"/>
      <w:lang w:bidi="ar-SA" w:eastAsia="en-US" w:val="en-US"/>
    </w:rPr>
  </w:style>
  <w:style w:type="paragraph" w:styleId="Heading1">
    <w:name w:val="Heading 1"/>
    <w:basedOn w:val="Normal"/>
    <w:next w:val="Normal"/>
    <w:uiPriority w:val="9"/>
    <w:qFormat w:val="1"/>
    <w:pPr>
      <w:spacing w:after="0" w:before="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D72203"/>
    <w:rPr/>
  </w:style>
  <w:style w:type="character" w:styleId="FooterChar" w:customStyle="1">
    <w:name w:val="Footer Char"/>
    <w:basedOn w:val="DefaultParagraphFont"/>
    <w:link w:val="Footer"/>
    <w:uiPriority w:val="99"/>
    <w:qFormat w:val="1"/>
    <w:rsid w:val="00D72203"/>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KaitiM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uiPriority w:val="10"/>
    <w:qFormat w:val="1"/>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pPr/>
    <w:rPr>
      <w:rFonts w:ascii="Cambria" w:cs="Cambria" w:eastAsia="Cambria" w:hAnsi="Cambria"/>
      <w:i w:val="1"/>
      <w:color w:val="4f81bd"/>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72203"/>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D72203"/>
    <w:pPr>
      <w:tabs>
        <w:tab w:val="clear" w:pos="720"/>
        <w:tab w:val="center" w:leader="none" w:pos="4680"/>
        <w:tab w:val="right" w:leader="none" w:pos="9360"/>
      </w:tabs>
      <w:spacing w:after="0" w:before="0" w:line="240" w:lineRule="auto"/>
    </w:pPr>
    <w:rPr/>
  </w:style>
  <w:style w:type="paragraph" w:styleId="ListParagraph">
    <w:name w:val="List Paragraph"/>
    <w:basedOn w:val="Normal"/>
    <w:uiPriority w:val="34"/>
    <w:qFormat w:val="1"/>
    <w:rsid w:val="001736CE"/>
    <w:pPr>
      <w:spacing w:after="200" w:before="0"/>
      <w:ind w:left="720" w:hanging="0"/>
      <w:contextualSpacing w:val="1"/>
    </w:pPr>
    <w:rPr>
      <w:sz w:val="22"/>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JR9kVre0tw2pjTisPnPIJz6JA==">AMUW2mWbY+aC2wKkbS7rJ2XsgNcepY3QhpsAfIGMW4MV1E1Ym7vAehnNqREZm1VvbpjccPAt8wTqhr+zw2m8gGe9dnnu9OarNSneeubhYD8frVgFeU3KkkIkQ+LZ5tUbIxmcZyjtDkDQ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2019-08-26T03:22:00Z</dcterms:created>
  <dc:creator>GUSTI 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