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9720" w:type="dxa"/>
        <w:jc w:val="left"/>
        <w:tblInd w:w="-185" w:type="dxa"/>
        <w:tblCellMar>
          <w:top w:w="0" w:type="dxa"/>
          <w:left w:w="108" w:type="dxa"/>
          <w:bottom w:w="0" w:type="dxa"/>
          <w:right w:w="108" w:type="dxa"/>
        </w:tblCellMar>
        <w:tblLook w:val="0400" w:noVBand="1" w:noHBand="0" w:lastColumn="0" w:firstColumn="0" w:lastRow="0" w:firstRow="0"/>
      </w:tblPr>
      <w:tblGrid>
        <w:gridCol w:w="2873"/>
        <w:gridCol w:w="1356"/>
        <w:gridCol w:w="5490"/>
      </w:tblGrid>
      <w:tr>
        <w:trPr/>
        <w:tc>
          <w:tcPr>
            <w:tcW w:w="4229" w:type="dxa"/>
            <w:gridSpan w:val="2"/>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MATA KULIAH</w:t>
            </w:r>
          </w:p>
        </w:tc>
        <w:tc>
          <w:tcPr>
            <w:tcW w:w="5490" w:type="dxa"/>
            <w:tcBorders>
              <w:top w:val="single" w:sz="4" w:space="0" w:color="000000"/>
              <w:left w:val="single" w:sz="4" w:space="0" w:color="000000"/>
              <w:bottom w:val="single" w:sz="4" w:space="0" w:color="000000"/>
              <w:right w:val="single" w:sz="4" w:space="0" w:color="000000"/>
            </w:tcBorders>
            <w:shd w:fill="auto" w:val="clear"/>
          </w:tcPr>
          <w:p>
            <w:pPr>
              <w:pStyle w:val="Heading1"/>
              <w:numPr>
                <w:ilvl w:val="0"/>
                <w:numId w:val="0"/>
              </w:numPr>
              <w:ind w:left="720" w:hanging="360"/>
              <w:jc w:val="both"/>
              <w:outlineLvl w:val="0"/>
              <w:rPr/>
            </w:pPr>
            <w:r>
              <w:rPr>
                <w:rFonts w:eastAsia="Quattrocento Sans" w:cs="Calibri" w:cstheme="majorHAnsi"/>
                <w:b/>
                <w:color w:val="000000"/>
                <w:kern w:val="0"/>
                <w:sz w:val="22"/>
                <w:szCs w:val="22"/>
                <w:lang w:val="en-US" w:eastAsia="en-US" w:bidi="ar-SA"/>
              </w:rPr>
              <w:t>TE201419</w:t>
            </w:r>
            <w:r>
              <w:rPr>
                <w:rFonts w:eastAsia="Quattrocento Sans" w:cs="Calibri" w:cstheme="majorHAnsi"/>
                <w:sz w:val="22"/>
                <w:szCs w:val="22"/>
              </w:rPr>
              <w:t xml:space="preserve">: </w:t>
            </w:r>
            <w:r>
              <w:rPr>
                <w:rFonts w:eastAsia="Quattrocento Sans" w:cs="Calibri" w:cstheme="majorHAnsi"/>
                <w:b/>
                <w:color w:val="000000"/>
                <w:sz w:val="22"/>
                <w:szCs w:val="22"/>
              </w:rPr>
              <w:t>PENGOLAHAN SINYAL DIGITAL</w:t>
            </w:r>
          </w:p>
        </w:tc>
      </w:tr>
      <w:tr>
        <w:trPr/>
        <w:tc>
          <w:tcPr>
            <w:tcW w:w="4229"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val="false"/>
              <w:spacing w:lineRule="auto" w:line="276" w:before="0" w:after="200"/>
              <w:rPr>
                <w:rFonts w:ascii="Calibri" w:hAnsi="Calibri" w:eastAsia="Quattrocento Sans" w:cs="Calibri" w:asciiTheme="majorHAnsi" w:cstheme="majorHAnsi" w:hAnsiTheme="majorHAnsi"/>
                <w:sz w:val="22"/>
                <w:szCs w:val="22"/>
              </w:rPr>
            </w:pPr>
            <w:r>
              <w:rPr>
                <w:rFonts w:eastAsia="Quattrocento Sans" w:cs="Calibri" w:cstheme="majorHAnsi"/>
                <w:sz w:val="22"/>
                <w:szCs w:val="22"/>
              </w:rPr>
            </w:r>
          </w:p>
        </w:tc>
        <w:tc>
          <w:tcPr>
            <w:tcW w:w="54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ind w:left="340" w:hanging="0"/>
              <w:jc w:val="both"/>
              <w:rPr/>
            </w:pPr>
            <w:r>
              <w:rPr>
                <w:rFonts w:eastAsia="Quattrocento Sans" w:cs="Calibri" w:cstheme="majorHAnsi"/>
                <w:sz w:val="22"/>
                <w:szCs w:val="22"/>
              </w:rPr>
              <w:t xml:space="preserve">SEMESTER </w:t>
            </w:r>
            <w:r>
              <w:rPr>
                <w:rFonts w:eastAsia="Quattrocento Sans" w:cs="Calibri" w:cstheme="majorHAnsi"/>
                <w:color w:val="auto"/>
                <w:kern w:val="0"/>
                <w:sz w:val="22"/>
                <w:szCs w:val="22"/>
                <w:lang w:val="en-US" w:eastAsia="en-US" w:bidi="ar-SA"/>
              </w:rPr>
              <w:t>5</w:t>
            </w:r>
            <w:r>
              <w:rPr>
                <w:rFonts w:eastAsia="Quattrocento Sans" w:cs="Calibri" w:cstheme="majorHAnsi"/>
                <w:sz w:val="22"/>
                <w:szCs w:val="22"/>
              </w:rPr>
              <w:t xml:space="preserve"> / SKS 3</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7DDE8" w:val="clea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Deskripsi Mata Kuliah</w:t>
            </w:r>
          </w:p>
        </w:tc>
      </w:tr>
      <w:tr>
        <w:trPr/>
        <w:tc>
          <w:tcPr>
            <w:tcW w:w="9719"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both"/>
              <w:rPr/>
            </w:pPr>
            <w:r>
              <w:rPr>
                <w:rFonts w:eastAsia="Quattrocento Sans" w:cs="Calibri" w:cstheme="majorHAnsi"/>
                <w:i w:val="false"/>
                <w:iCs w:val="false"/>
                <w:color w:val="auto"/>
                <w:kern w:val="0"/>
                <w:sz w:val="22"/>
                <w:szCs w:val="22"/>
                <w:lang w:val="en-US" w:eastAsia="en-US" w:bidi="ar-SA"/>
              </w:rPr>
              <w:t>Teknologi pengolahan sinyal digital (</w:t>
            </w:r>
            <w:r>
              <w:rPr>
                <w:rFonts w:eastAsia="Quattrocento Sans" w:cs="Calibri" w:cstheme="majorHAnsi"/>
                <w:i/>
                <w:iCs/>
                <w:color w:val="auto"/>
                <w:kern w:val="0"/>
                <w:sz w:val="22"/>
                <w:szCs w:val="22"/>
                <w:lang w:val="en-US" w:eastAsia="en-US" w:bidi="ar-SA"/>
              </w:rPr>
              <w:t xml:space="preserve">digital signal processing/ </w:t>
            </w:r>
            <w:r>
              <w:rPr>
                <w:rFonts w:eastAsia="Quattrocento Sans" w:cs="Calibri" w:cstheme="majorHAnsi"/>
                <w:i w:val="false"/>
                <w:iCs w:val="false"/>
                <w:color w:val="auto"/>
                <w:kern w:val="0"/>
                <w:sz w:val="22"/>
                <w:szCs w:val="22"/>
                <w:lang w:val="en-US" w:eastAsia="en-US" w:bidi="ar-SA"/>
              </w:rPr>
              <w:t xml:space="preserve">DSP) dan berbagai pengembangannya memberikan dampak terhadap kehidupan modern manusia. Tanpa DSP, kita tidak akan memiliki audio atau video </w:t>
            </w:r>
            <w:r>
              <w:rPr>
                <w:rFonts w:eastAsia="Quattrocento Sans" w:cs="Calibri" w:cstheme="majorHAnsi"/>
                <w:i/>
                <w:iCs/>
                <w:color w:val="auto"/>
                <w:kern w:val="0"/>
                <w:sz w:val="22"/>
                <w:szCs w:val="22"/>
                <w:lang w:val="en-US" w:eastAsia="en-US" w:bidi="ar-SA"/>
              </w:rPr>
              <w:t>digital</w:t>
            </w:r>
            <w:r>
              <w:rPr>
                <w:rFonts w:eastAsia="Quattrocento Sans" w:cs="Calibri" w:cstheme="majorHAnsi"/>
                <w:i w:val="false"/>
                <w:iCs w:val="false"/>
                <w:color w:val="auto"/>
                <w:kern w:val="0"/>
                <w:sz w:val="22"/>
                <w:szCs w:val="22"/>
                <w:lang w:val="en-US" w:eastAsia="en-US" w:bidi="ar-SA"/>
              </w:rPr>
              <w:t xml:space="preserve">; </w:t>
            </w:r>
            <w:r>
              <w:rPr>
                <w:rFonts w:eastAsia="Quattrocento Sans" w:cs="Calibri" w:cstheme="majorHAnsi"/>
                <w:i/>
                <w:iCs/>
                <w:color w:val="auto"/>
                <w:kern w:val="0"/>
                <w:sz w:val="22"/>
                <w:szCs w:val="22"/>
                <w:lang w:val="en-US" w:eastAsia="en-US" w:bidi="ar-SA"/>
              </w:rPr>
              <w:t>digital</w:t>
            </w:r>
            <w:r>
              <w:rPr>
                <w:rFonts w:eastAsia="Quattrocento Sans" w:cs="Calibri" w:cstheme="majorHAnsi"/>
                <w:i w:val="false"/>
                <w:iCs w:val="false"/>
                <w:color w:val="auto"/>
                <w:kern w:val="0"/>
                <w:sz w:val="22"/>
                <w:szCs w:val="22"/>
                <w:lang w:val="en-US" w:eastAsia="en-US" w:bidi="ar-SA"/>
              </w:rPr>
              <w:t xml:space="preserve"> </w:t>
            </w:r>
            <w:r>
              <w:rPr>
                <w:rFonts w:eastAsia="Quattrocento Sans" w:cs="Calibri" w:cstheme="majorHAnsi"/>
                <w:i/>
                <w:iCs/>
                <w:color w:val="auto"/>
                <w:kern w:val="0"/>
                <w:sz w:val="22"/>
                <w:szCs w:val="22"/>
                <w:lang w:val="en-US" w:eastAsia="en-US" w:bidi="ar-SA"/>
              </w:rPr>
              <w:t>recording</w:t>
            </w:r>
            <w:r>
              <w:rPr>
                <w:rFonts w:eastAsia="Quattrocento Sans" w:cs="Calibri" w:cstheme="majorHAnsi"/>
                <w:i w:val="false"/>
                <w:iCs w:val="false"/>
                <w:color w:val="auto"/>
                <w:kern w:val="0"/>
                <w:sz w:val="22"/>
                <w:szCs w:val="22"/>
                <w:lang w:val="en-US" w:eastAsia="en-US" w:bidi="ar-SA"/>
              </w:rPr>
              <w:t xml:space="preserve">; CD, DVD, MP3 </w:t>
            </w:r>
            <w:r>
              <w:rPr>
                <w:rFonts w:eastAsia="Quattrocento Sans" w:cs="Calibri" w:cstheme="majorHAnsi"/>
                <w:i/>
                <w:iCs/>
                <w:color w:val="auto"/>
                <w:kern w:val="0"/>
                <w:sz w:val="22"/>
                <w:szCs w:val="22"/>
                <w:lang w:val="en-US" w:eastAsia="en-US" w:bidi="ar-SA"/>
              </w:rPr>
              <w:t>player</w:t>
            </w:r>
            <w:r>
              <w:rPr>
                <w:rFonts w:eastAsia="Quattrocento Sans" w:cs="Calibri" w:cstheme="majorHAnsi"/>
                <w:i w:val="false"/>
                <w:iCs w:val="false"/>
                <w:color w:val="auto"/>
                <w:kern w:val="0"/>
                <w:sz w:val="22"/>
                <w:szCs w:val="22"/>
                <w:lang w:val="en-US" w:eastAsia="en-US" w:bidi="ar-SA"/>
              </w:rPr>
              <w:t xml:space="preserve">, </w:t>
            </w:r>
            <w:r>
              <w:rPr>
                <w:rFonts w:eastAsia="Quattrocento Sans" w:cs="Calibri" w:cstheme="majorHAnsi"/>
                <w:i/>
                <w:iCs/>
                <w:color w:val="auto"/>
                <w:kern w:val="0"/>
                <w:sz w:val="22"/>
                <w:szCs w:val="22"/>
                <w:lang w:val="en-US" w:eastAsia="en-US" w:bidi="ar-SA"/>
              </w:rPr>
              <w:t>iPhone</w:t>
            </w:r>
            <w:r>
              <w:rPr>
                <w:rFonts w:eastAsia="Quattrocento Sans" w:cs="Calibri" w:cstheme="majorHAnsi"/>
                <w:i w:val="false"/>
                <w:iCs w:val="false"/>
                <w:color w:val="auto"/>
                <w:kern w:val="0"/>
                <w:sz w:val="22"/>
                <w:szCs w:val="22"/>
                <w:lang w:val="en-US" w:eastAsia="en-US" w:bidi="ar-SA"/>
              </w:rPr>
              <w:t xml:space="preserve">, and </w:t>
            </w:r>
            <w:r>
              <w:rPr>
                <w:rFonts w:eastAsia="Quattrocento Sans" w:cs="Calibri" w:cstheme="majorHAnsi"/>
                <w:i/>
                <w:iCs/>
                <w:color w:val="auto"/>
                <w:kern w:val="0"/>
                <w:sz w:val="22"/>
                <w:szCs w:val="22"/>
                <w:lang w:val="en-US" w:eastAsia="en-US" w:bidi="ar-SA"/>
              </w:rPr>
              <w:t>iPad</w:t>
            </w:r>
            <w:r>
              <w:rPr>
                <w:rFonts w:eastAsia="Quattrocento Sans" w:cs="Calibri" w:cstheme="majorHAnsi"/>
                <w:i w:val="false"/>
                <w:iCs w:val="false"/>
                <w:color w:val="auto"/>
                <w:kern w:val="0"/>
                <w:sz w:val="22"/>
                <w:szCs w:val="22"/>
                <w:lang w:val="en-US" w:eastAsia="en-US" w:bidi="ar-SA"/>
              </w:rPr>
              <w:t xml:space="preserve">; kamera digital; telepon digital atau pun seluler; satelit digital dan TV; atau pun jaringan kabel dan nirkabel/ </w:t>
            </w:r>
            <w:r>
              <w:rPr>
                <w:rFonts w:eastAsia="Quattrocento Sans" w:cs="Calibri" w:cstheme="majorHAnsi"/>
                <w:i/>
                <w:iCs/>
                <w:color w:val="auto"/>
                <w:kern w:val="0"/>
                <w:sz w:val="22"/>
                <w:szCs w:val="22"/>
                <w:lang w:val="en-US" w:eastAsia="en-US" w:bidi="ar-SA"/>
              </w:rPr>
              <w:t>wireless</w:t>
            </w:r>
            <w:r>
              <w:rPr>
                <w:rFonts w:eastAsia="Quattrocento Sans" w:cs="Calibri" w:cstheme="majorHAnsi"/>
                <w:i w:val="false"/>
                <w:iCs w:val="false"/>
                <w:color w:val="auto"/>
                <w:kern w:val="0"/>
                <w:sz w:val="22"/>
                <w:szCs w:val="22"/>
                <w:lang w:val="en-US" w:eastAsia="en-US" w:bidi="ar-SA"/>
              </w:rPr>
              <w:t xml:space="preserve">. Peralatan medis menjadi lebih efisien. Tidak mungkin kita memperoleh hasil diagnosis yang presisi tanpa elektrokardiografi digital (ECG), atau radiografi digital dan segala citra medis. Kita juga hidup dengan cara yang berbeda sejak adanya sistem </w:t>
            </w:r>
            <w:r>
              <w:rPr>
                <w:rFonts w:eastAsia="Quattrocento Sans" w:cs="Calibri" w:cstheme="majorHAnsi"/>
                <w:i/>
                <w:iCs/>
                <w:color w:val="auto"/>
                <w:kern w:val="0"/>
                <w:sz w:val="22"/>
                <w:szCs w:val="22"/>
                <w:lang w:val="en-US" w:eastAsia="en-US" w:bidi="ar-SA"/>
              </w:rPr>
              <w:t xml:space="preserve">voice recognition, speech synthesis </w:t>
            </w:r>
            <w:r>
              <w:rPr>
                <w:rFonts w:eastAsia="Quattrocento Sans" w:cs="Calibri" w:cstheme="majorHAnsi"/>
                <w:i w:val="false"/>
                <w:iCs w:val="false"/>
                <w:color w:val="auto"/>
                <w:kern w:val="0"/>
                <w:sz w:val="22"/>
                <w:szCs w:val="22"/>
                <w:lang w:val="en-US" w:eastAsia="en-US" w:bidi="ar-SA"/>
              </w:rPr>
              <w:t xml:space="preserve">dan sistem editing gambar dan video. Tanpa DSP, ilmuan, </w:t>
            </w:r>
            <w:r>
              <w:rPr>
                <w:rFonts w:eastAsia="Quattrocento Sans" w:cs="Calibri" w:cstheme="majorHAnsi"/>
                <w:i/>
                <w:iCs/>
                <w:color w:val="auto"/>
                <w:kern w:val="0"/>
                <w:sz w:val="22"/>
                <w:szCs w:val="22"/>
                <w:lang w:val="en-US" w:eastAsia="en-US" w:bidi="ar-SA"/>
              </w:rPr>
              <w:t>engineer</w:t>
            </w:r>
            <w:r>
              <w:rPr>
                <w:rFonts w:eastAsia="Quattrocento Sans" w:cs="Calibri" w:cstheme="majorHAnsi"/>
                <w:i w:val="false"/>
                <w:iCs w:val="false"/>
                <w:color w:val="auto"/>
                <w:kern w:val="0"/>
                <w:sz w:val="22"/>
                <w:szCs w:val="22"/>
                <w:lang w:val="en-US" w:eastAsia="en-US" w:bidi="ar-SA"/>
              </w:rPr>
              <w:t xml:space="preserve">, dan teknokrat tidak akan memiliki </w:t>
            </w:r>
            <w:r>
              <w:rPr>
                <w:rFonts w:eastAsia="Quattrocento Sans" w:cs="Calibri" w:cstheme="majorHAnsi"/>
                <w:i/>
                <w:iCs/>
                <w:color w:val="auto"/>
                <w:kern w:val="0"/>
                <w:sz w:val="22"/>
                <w:szCs w:val="22"/>
                <w:lang w:val="en-US" w:eastAsia="en-US" w:bidi="ar-SA"/>
              </w:rPr>
              <w:t xml:space="preserve">tools </w:t>
            </w:r>
            <w:r>
              <w:rPr>
                <w:rFonts w:eastAsia="Quattrocento Sans" w:cs="Calibri" w:cstheme="majorHAnsi"/>
                <w:i w:val="false"/>
                <w:iCs w:val="false"/>
                <w:color w:val="auto"/>
                <w:kern w:val="0"/>
                <w:sz w:val="22"/>
                <w:szCs w:val="22"/>
                <w:lang w:val="en-US" w:eastAsia="en-US" w:bidi="ar-SA"/>
              </w:rPr>
              <w:t xml:space="preserve">yang </w:t>
            </w:r>
            <w:r>
              <w:rPr>
                <w:rFonts w:eastAsia="Quattrocento Sans" w:cs="Calibri" w:cstheme="majorHAnsi"/>
                <w:i/>
                <w:iCs/>
                <w:color w:val="auto"/>
                <w:kern w:val="0"/>
                <w:sz w:val="22"/>
                <w:szCs w:val="22"/>
                <w:lang w:val="en-US" w:eastAsia="en-US" w:bidi="ar-SA"/>
              </w:rPr>
              <w:t>powerfull</w:t>
            </w:r>
            <w:r>
              <w:rPr>
                <w:rFonts w:eastAsia="Quattrocento Sans" w:cs="Calibri" w:cstheme="majorHAnsi"/>
                <w:i w:val="false"/>
                <w:iCs w:val="false"/>
                <w:color w:val="auto"/>
                <w:kern w:val="0"/>
                <w:sz w:val="22"/>
                <w:szCs w:val="22"/>
                <w:lang w:val="en-US" w:eastAsia="en-US" w:bidi="ar-SA"/>
              </w:rPr>
              <w:t xml:space="preserve"> untuk menganalisa dan memvisualisasikan data dan mendemonstrasikan desain mereka. Oleh sebab itu, pada Mata Kuliah ini mahasiswa akan dibekali konsep dasar dari pengolahan sinyal digital. Kemudian perancangan filter FIR dan IIR secara simulasi akan diajarkan. Dan di akhir perkuliahan akan diajarkan bagaimana menganalisa spektrum frekuensi hasil dari filter. Dengan mengikuti perkuliahan ini, diharapkan mahasiswa mampu </w:t>
            </w:r>
            <w:r>
              <w:rPr>
                <w:rFonts w:eastAsia="Quattrocento Sans" w:cs="Calibri" w:cstheme="majorHAnsi"/>
                <w:b w:val="false"/>
                <w:bCs w:val="false"/>
                <w:i w:val="false"/>
                <w:iCs w:val="false"/>
                <w:color w:val="000000"/>
                <w:kern w:val="0"/>
                <w:sz w:val="22"/>
                <w:szCs w:val="22"/>
                <w:lang w:val="en-US" w:eastAsia="en-US" w:bidi="ar-SA"/>
              </w:rPr>
              <w:t>merancang suatu sistem pengolahan digital pada segala bidang Teknik Elektro.</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6DDE8" w:themeFill="accent5" w:themeFillTint="66" w:val="clear"/>
          </w:tcPr>
          <w:p>
            <w:pPr>
              <w:pStyle w:val="Normal"/>
              <w:spacing w:before="0" w:after="200"/>
              <w:jc w:val="both"/>
              <w:rPr>
                <w:rFonts w:ascii="Calibri" w:hAnsi="Calibri" w:eastAsia="Quattrocento Sans" w:cs="Calibri" w:asciiTheme="majorHAnsi" w:cstheme="majorHAnsi" w:hAnsiTheme="majorHAnsi"/>
                <w:b/>
                <w:b/>
                <w:bCs/>
                <w:color w:val="000000"/>
                <w:sz w:val="22"/>
                <w:szCs w:val="22"/>
              </w:rPr>
            </w:pPr>
            <w:r>
              <w:rPr>
                <w:rFonts w:eastAsia="Quattrocento Sans" w:cs="Calibri" w:cstheme="majorHAnsi"/>
                <w:b/>
                <w:bCs/>
                <w:color w:val="000000"/>
                <w:sz w:val="22"/>
                <w:szCs w:val="22"/>
              </w:rPr>
              <w:t>Capaian Pembelajaran Lulusan (CPL) yang dibebankan pada mata kuliah</w:t>
            </w:r>
          </w:p>
        </w:tc>
      </w:tr>
      <w:tr>
        <w:trPr/>
        <w:tc>
          <w:tcPr>
            <w:tcW w:w="28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spacing w:before="0" w:after="200"/>
              <w:contextualSpacing/>
              <w:jc w:val="both"/>
              <w:rPr/>
            </w:pPr>
            <w:r>
              <w:rPr>
                <w:rFonts w:eastAsia="Quattrocento Sans" w:cs="Calibri" w:cstheme="majorHAnsi"/>
                <w:color w:val="000000"/>
                <w:sz w:val="22"/>
                <w:szCs w:val="22"/>
              </w:rPr>
              <w:t>Sikap</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ListParagraph"/>
              <w:widowControl/>
              <w:numPr>
                <w:ilvl w:val="1"/>
                <w:numId w:val="4"/>
              </w:numPr>
              <w:bidi w:val="0"/>
              <w:spacing w:lineRule="auto" w:line="276" w:before="0" w:after="200"/>
              <w:ind w:left="567" w:right="0" w:hanging="567"/>
              <w:contextualSpacing/>
              <w:jc w:val="both"/>
              <w:rPr/>
            </w:pPr>
            <w:r>
              <w:rPr>
                <w:sz w:val="22"/>
                <w:szCs w:val="22"/>
              </w:rPr>
              <w:t>Menginternalisasi nilai, norma, dan etika akademik;</w:t>
            </w:r>
          </w:p>
          <w:p>
            <w:pPr>
              <w:pStyle w:val="ListParagraph"/>
              <w:widowControl/>
              <w:numPr>
                <w:ilvl w:val="1"/>
                <w:numId w:val="4"/>
              </w:numPr>
              <w:bidi w:val="0"/>
              <w:spacing w:lineRule="auto" w:line="276" w:before="0" w:after="200"/>
              <w:ind w:left="567" w:right="0" w:hanging="567"/>
              <w:contextualSpacing/>
              <w:jc w:val="both"/>
              <w:rPr/>
            </w:pPr>
            <w:r>
              <w:rPr>
                <w:sz w:val="22"/>
                <w:szCs w:val="22"/>
              </w:rPr>
              <w:t>Menunjukkan sikap bertanggungjawab atas pekerjaan di bidang keahliannya secara mandiri.</w:t>
            </w:r>
          </w:p>
        </w:tc>
      </w:tr>
      <w:tr>
        <w:trPr/>
        <w:tc>
          <w:tcPr>
            <w:tcW w:w="28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spacing w:before="0" w:after="200"/>
              <w:contextualSpacing/>
              <w:jc w:val="both"/>
              <w:rPr/>
            </w:pPr>
            <w:r>
              <w:rPr>
                <w:rFonts w:eastAsia="Quattrocento Sans" w:cs="Calibri" w:cstheme="majorHAnsi"/>
                <w:color w:val="000000"/>
                <w:sz w:val="22"/>
                <w:szCs w:val="22"/>
              </w:rPr>
              <w:t>Keterampilan Umum</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Mampu menerapkan pemikiran logis, kritis, sistematis, dan inovatif dalam konteks pengembangan atau implementasi ilmu pengetahuan dan teknologi yang memperhatikan dan menerapkan nilai humaniora yang sesuai dengan bidang keahliannya;</w:t>
            </w:r>
          </w:p>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Mampu menunjukkan kinerja mandiri, bermutu, dan terukur;</w:t>
            </w:r>
          </w:p>
        </w:tc>
      </w:tr>
      <w:tr>
        <w:trPr/>
        <w:tc>
          <w:tcPr>
            <w:tcW w:w="28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spacing w:before="0" w:after="200"/>
              <w:contextualSpacing/>
              <w:jc w:val="both"/>
              <w:rPr/>
            </w:pPr>
            <w:r>
              <w:rPr>
                <w:rFonts w:eastAsia="Quattrocento Sans" w:cs="Calibri" w:cstheme="majorHAnsi"/>
                <w:color w:val="000000"/>
                <w:sz w:val="22"/>
                <w:szCs w:val="22"/>
              </w:rPr>
              <w:t>Pengetahuan</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Menguasai konsep dasar sistem tenaga, sistem pengaturan, elektronika, telekomunikasi dan sistem komputer;</w:t>
            </w:r>
          </w:p>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Menguasai dasar teknik komputasi dan teknologi informasi dalam bidang sistem tenaga, sistem pengaturan, elektronika, telekomunikasi, dan sistem komputer.</w:t>
            </w:r>
          </w:p>
        </w:tc>
      </w:tr>
      <w:tr>
        <w:trPr/>
        <w:tc>
          <w:tcPr>
            <w:tcW w:w="2873"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spacing w:before="0" w:after="200"/>
              <w:contextualSpacing/>
              <w:jc w:val="both"/>
              <w:rPr/>
            </w:pPr>
            <w:r>
              <w:rPr>
                <w:rFonts w:eastAsia="Quattrocento Sans" w:cs="Calibri" w:cstheme="majorHAnsi"/>
                <w:color w:val="000000"/>
                <w:sz w:val="22"/>
                <w:szCs w:val="22"/>
              </w:rPr>
              <w:t>Keterampilan Khusus</w:t>
            </w:r>
          </w:p>
        </w:tc>
        <w:tc>
          <w:tcPr>
            <w:tcW w:w="6846" w:type="dxa"/>
            <w:gridSpan w:val="2"/>
            <w:tcBorders>
              <w:top w:val="single" w:sz="4" w:space="0" w:color="000000"/>
              <w:left w:val="single" w:sz="4" w:space="0" w:color="000000"/>
              <w:bottom w:val="single" w:sz="4" w:space="0" w:color="000000"/>
              <w:right w:val="single" w:sz="4" w:space="0" w:color="000000"/>
            </w:tcBorders>
            <w:shd w:fill="auto" w:val="clear"/>
          </w:tcPr>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Kemampuan memanfaatkan perangkat analisis berbasis teknologi informasi dan komputasi yang sesuai untuk aktivitas teknik pada bidang sistem tenaga, sistem pengaturan, elektronika, telekomunikasi dan sistem komputer;</w:t>
            </w:r>
          </w:p>
          <w:p>
            <w:pPr>
              <w:pStyle w:val="ListParagraph"/>
              <w:widowControl/>
              <w:numPr>
                <w:ilvl w:val="1"/>
                <w:numId w:val="4"/>
              </w:numPr>
              <w:bidi w:val="0"/>
              <w:spacing w:lineRule="auto" w:line="276" w:before="0" w:after="200"/>
              <w:ind w:left="567" w:right="0" w:hanging="567"/>
              <w:contextualSpacing/>
              <w:jc w:val="both"/>
              <w:rPr/>
            </w:pPr>
            <w:r>
              <w:rPr>
                <w:rFonts w:eastAsia="Quattrocento Sans" w:cs="Calibri" w:cstheme="majorHAnsi"/>
                <w:color w:val="000000"/>
                <w:sz w:val="22"/>
                <w:szCs w:val="22"/>
              </w:rPr>
              <w:t>Kemampuan untuk menerapkan metode terbaru, keterampilan, dan piranti teknik modern, yang sesuai kebutuhan dalam bidang sistem tenaga, sistem pengaturan, elektronika, telekomunikasi dan sistem komputer.</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7DDE8" w:val="clea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Capaian Pembelajaran Mata Kuliah (CPMK)</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0"/>
              </w:numPr>
              <w:spacing w:before="0" w:after="200"/>
              <w:ind w:left="720" w:hanging="0"/>
              <w:contextualSpacing/>
              <w:jc w:val="both"/>
              <w:rPr/>
            </w:pPr>
            <w:r>
              <w:rPr>
                <w:rFonts w:eastAsia="Quattrocento Sans" w:cs="Calibri" w:cstheme="majorHAnsi"/>
                <w:b w:val="false"/>
                <w:bCs w:val="false"/>
                <w:color w:val="000000"/>
                <w:kern w:val="0"/>
                <w:sz w:val="22"/>
                <w:szCs w:val="22"/>
                <w:lang w:val="en-US" w:eastAsia="en-US" w:bidi="ar-SA"/>
              </w:rPr>
              <w:t>Mahasiswa mampu merancang suatu sistem pengolahan digital secara simulasi.</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7DDE8" w:val="clea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Bahan Kajian</w:t>
            </w:r>
          </w:p>
        </w:tc>
      </w:tr>
      <w:tr>
        <w:trPr/>
        <w:tc>
          <w:tcPr>
            <w:tcW w:w="9719" w:type="dxa"/>
            <w:gridSpan w:val="3"/>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
              </w:numPr>
              <w:jc w:val="both"/>
              <w:rPr/>
            </w:pPr>
            <w:r>
              <w:rPr>
                <w:rFonts w:eastAsia="Calibri" w:cs="Calibri" w:cstheme="majorHAnsi"/>
                <w:color w:val="000000"/>
                <w:kern w:val="0"/>
                <w:sz w:val="22"/>
                <w:szCs w:val="22"/>
                <w:lang w:val="en-US" w:eastAsia="en-US" w:bidi="ar-SA"/>
              </w:rPr>
              <w:t>Konsep Dasar Pengolahan Sinyal Digital</w:t>
            </w:r>
          </w:p>
          <w:p>
            <w:pPr>
              <w:pStyle w:val="ListParagraph"/>
              <w:numPr>
                <w:ilvl w:val="0"/>
                <w:numId w:val="1"/>
              </w:numPr>
              <w:jc w:val="both"/>
              <w:rPr/>
            </w:pPr>
            <w:r>
              <w:rPr>
                <w:rFonts w:eastAsia="Calibri" w:cs="Calibri" w:cstheme="majorHAnsi"/>
                <w:color w:val="000000"/>
                <w:kern w:val="0"/>
                <w:sz w:val="22"/>
                <w:szCs w:val="22"/>
                <w:lang w:val="en-US" w:eastAsia="en-US" w:bidi="ar-SA"/>
              </w:rPr>
              <w:t>FIR Filter</w:t>
            </w:r>
          </w:p>
          <w:p>
            <w:pPr>
              <w:pStyle w:val="ListParagraph"/>
              <w:numPr>
                <w:ilvl w:val="0"/>
                <w:numId w:val="1"/>
              </w:numPr>
              <w:jc w:val="both"/>
              <w:rPr/>
            </w:pPr>
            <w:r>
              <w:rPr>
                <w:rFonts w:eastAsia="Calibri" w:cs="Calibri" w:cstheme="majorHAnsi"/>
                <w:color w:val="000000"/>
                <w:kern w:val="0"/>
                <w:sz w:val="22"/>
                <w:szCs w:val="22"/>
                <w:lang w:val="en-US" w:eastAsia="en-US" w:bidi="ar-SA"/>
              </w:rPr>
              <w:t>Respon Frekuensi pada FIR Filter</w:t>
            </w:r>
          </w:p>
          <w:p>
            <w:pPr>
              <w:pStyle w:val="ListParagraph"/>
              <w:numPr>
                <w:ilvl w:val="0"/>
                <w:numId w:val="1"/>
              </w:numPr>
              <w:jc w:val="both"/>
              <w:rPr/>
            </w:pPr>
            <w:r>
              <w:rPr>
                <w:rFonts w:eastAsia="Calibri" w:cs="Calibri" w:cstheme="majorHAnsi"/>
                <w:color w:val="000000"/>
                <w:kern w:val="0"/>
                <w:sz w:val="22"/>
                <w:szCs w:val="22"/>
                <w:lang w:val="en-US" w:eastAsia="en-US" w:bidi="ar-SA"/>
              </w:rPr>
              <w:t>Penggunaan Transformasi Z pada Analisis FIR Filter</w:t>
            </w:r>
          </w:p>
          <w:p>
            <w:pPr>
              <w:pStyle w:val="ListParagraph"/>
              <w:numPr>
                <w:ilvl w:val="0"/>
                <w:numId w:val="1"/>
              </w:numPr>
              <w:jc w:val="both"/>
              <w:rPr/>
            </w:pPr>
            <w:r>
              <w:rPr>
                <w:rFonts w:eastAsia="Calibri" w:cs="Calibri" w:cstheme="majorHAnsi"/>
                <w:color w:val="000000"/>
                <w:kern w:val="0"/>
                <w:sz w:val="22"/>
                <w:szCs w:val="22"/>
                <w:lang w:val="en-US" w:eastAsia="en-US" w:bidi="ar-SA"/>
              </w:rPr>
              <w:t>Perancangan FIR Filter dengan Teknik Windowing</w:t>
            </w:r>
          </w:p>
          <w:p>
            <w:pPr>
              <w:pStyle w:val="ListParagraph"/>
              <w:numPr>
                <w:ilvl w:val="0"/>
                <w:numId w:val="1"/>
              </w:numPr>
              <w:jc w:val="both"/>
              <w:rPr/>
            </w:pPr>
            <w:r>
              <w:rPr>
                <w:rFonts w:eastAsia="Calibri" w:cs="Calibri" w:cstheme="majorHAnsi"/>
                <w:color w:val="000000"/>
                <w:kern w:val="0"/>
                <w:sz w:val="22"/>
                <w:szCs w:val="22"/>
                <w:lang w:val="en-US" w:eastAsia="en-US" w:bidi="ar-SA"/>
              </w:rPr>
              <w:t>IIR Filter</w:t>
            </w:r>
          </w:p>
          <w:p>
            <w:pPr>
              <w:pStyle w:val="ListParagraph"/>
              <w:numPr>
                <w:ilvl w:val="0"/>
                <w:numId w:val="1"/>
              </w:numPr>
              <w:spacing w:before="0" w:after="200"/>
              <w:contextualSpacing/>
              <w:jc w:val="both"/>
              <w:rPr/>
            </w:pPr>
            <w:r>
              <w:rPr>
                <w:rFonts w:eastAsia="Calibri" w:cs="Calibri" w:cstheme="majorHAnsi"/>
                <w:color w:val="000000"/>
                <w:kern w:val="0"/>
                <w:sz w:val="22"/>
                <w:szCs w:val="22"/>
                <w:lang w:val="en-US" w:eastAsia="en-US" w:bidi="ar-SA"/>
              </w:rPr>
              <w:t>Analisa Spektrum Frekuensi</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7DDE8" w:val="clea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Mata Kuliah Prasyarat</w:t>
            </w:r>
          </w:p>
        </w:tc>
      </w:tr>
      <w:tr>
        <w:trPr/>
        <w:tc>
          <w:tcPr>
            <w:tcW w:w="9719" w:type="dxa"/>
            <w:gridSpan w:val="3"/>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5"/>
              </w:numPr>
              <w:spacing w:before="0" w:after="200"/>
              <w:contextualSpacing/>
              <w:jc w:val="both"/>
              <w:rPr/>
            </w:pPr>
            <w:r>
              <w:rPr>
                <w:rFonts w:eastAsia="Quattrocento Sans" w:cs="Calibri" w:cstheme="majorHAnsi"/>
                <w:color w:val="000000"/>
                <w:kern w:val="0"/>
                <w:sz w:val="22"/>
                <w:szCs w:val="22"/>
                <w:lang w:val="en-US" w:eastAsia="en-US" w:bidi="ar-SA"/>
              </w:rPr>
              <w:t>TE201417 - Sinyal dan Sistem</w:t>
            </w:r>
          </w:p>
          <w:p>
            <w:pPr>
              <w:pStyle w:val="ListParagraph"/>
              <w:numPr>
                <w:ilvl w:val="0"/>
                <w:numId w:val="5"/>
              </w:numPr>
              <w:spacing w:before="0" w:after="200"/>
              <w:contextualSpacing/>
              <w:jc w:val="both"/>
              <w:rPr/>
            </w:pPr>
            <w:r>
              <w:rPr>
                <w:rFonts w:eastAsia="Quattrocento Sans" w:cs="Calibri" w:cstheme="majorHAnsi"/>
                <w:color w:val="000000"/>
                <w:kern w:val="0"/>
                <w:sz w:val="22"/>
                <w:szCs w:val="22"/>
                <w:lang w:val="en-US" w:eastAsia="en-US" w:bidi="ar-SA"/>
              </w:rPr>
              <w:t>TE201418 - Komunikasi Data</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7DDE8" w:val="clear"/>
          </w:tcPr>
          <w:p>
            <w:pPr>
              <w:pStyle w:val="Normal"/>
              <w:spacing w:before="0" w:after="200"/>
              <w:jc w:val="both"/>
              <w:rPr>
                <w:rFonts w:ascii="Calibri" w:hAnsi="Calibri" w:eastAsia="Quattrocento Sans" w:cs="Calibri" w:asciiTheme="majorHAnsi" w:cstheme="majorHAnsi" w:hAnsiTheme="majorHAnsi"/>
                <w:b/>
                <w:b/>
                <w:sz w:val="22"/>
                <w:szCs w:val="22"/>
              </w:rPr>
            </w:pPr>
            <w:r>
              <w:rPr>
                <w:rFonts w:eastAsia="Quattrocento Sans" w:cs="Calibri" w:cstheme="majorHAnsi"/>
                <w:b/>
                <w:sz w:val="22"/>
                <w:szCs w:val="22"/>
              </w:rPr>
              <w:t>Pustaka Utama</w:t>
            </w:r>
          </w:p>
        </w:tc>
      </w:tr>
      <w:tr>
        <w:trPr/>
        <w:tc>
          <w:tcPr>
            <w:tcW w:w="9719" w:type="dxa"/>
            <w:gridSpan w:val="3"/>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2"/>
              </w:numPr>
              <w:rPr/>
            </w:pPr>
            <w:r>
              <w:rPr>
                <w:rFonts w:eastAsia="Quattrocento Sans" w:cs="Calibri" w:cstheme="majorHAnsi"/>
                <w:i w:val="false"/>
                <w:iCs w:val="false"/>
                <w:color w:val="000000"/>
                <w:sz w:val="22"/>
                <w:szCs w:val="22"/>
              </w:rPr>
              <w:t xml:space="preserve">Oppenheim, A. V., </w:t>
            </w:r>
            <w:r>
              <w:rPr>
                <w:rFonts w:eastAsia="Quattrocento Sans" w:cs="Calibri" w:cstheme="majorHAnsi"/>
                <w:i w:val="false"/>
                <w:iCs w:val="false"/>
                <w:color w:val="000000"/>
                <w:sz w:val="22"/>
                <w:szCs w:val="22"/>
              </w:rPr>
              <w:t xml:space="preserve">&amp; Schafer, </w:t>
            </w:r>
            <w:r>
              <w:rPr>
                <w:rFonts w:eastAsia="Quattrocento Sans" w:cs="Calibri" w:cstheme="majorHAnsi"/>
                <w:i w:val="false"/>
                <w:iCs w:val="false"/>
                <w:color w:val="000000"/>
                <w:sz w:val="22"/>
                <w:szCs w:val="22"/>
              </w:rPr>
              <w:t xml:space="preserve">R. W. </w:t>
            </w:r>
            <w:r>
              <w:rPr>
                <w:rFonts w:eastAsia="Quattrocento Sans" w:cs="Calibri" w:cstheme="majorHAnsi"/>
                <w:i w:val="false"/>
                <w:iCs w:val="false"/>
                <w:color w:val="000000"/>
                <w:sz w:val="22"/>
                <w:szCs w:val="22"/>
              </w:rPr>
              <w:t>(2014).</w:t>
            </w:r>
            <w:r>
              <w:rPr>
                <w:rFonts w:eastAsia="Quattrocento Sans" w:cs="Calibri" w:cstheme="majorHAnsi"/>
                <w:i/>
                <w:iCs/>
                <w:color w:val="000000"/>
                <w:sz w:val="22"/>
                <w:szCs w:val="22"/>
              </w:rPr>
              <w:t xml:space="preserve"> </w:t>
            </w:r>
            <w:r>
              <w:rPr>
                <w:rFonts w:eastAsia="Quattrocento Sans" w:cs="Calibri" w:cstheme="majorHAnsi"/>
                <w:i w:val="false"/>
                <w:iCs w:val="false"/>
                <w:color w:val="000000"/>
                <w:sz w:val="22"/>
                <w:szCs w:val="22"/>
              </w:rPr>
              <w:t>Discrete-Time Signal Processing 3</w:t>
            </w:r>
            <w:r>
              <w:rPr>
                <w:rFonts w:eastAsia="Quattrocento Sans" w:cs="Calibri" w:cstheme="majorHAnsi"/>
                <w:i w:val="false"/>
                <w:iCs w:val="false"/>
                <w:color w:val="000000"/>
                <w:sz w:val="22"/>
                <w:szCs w:val="22"/>
                <w:vertAlign w:val="superscript"/>
              </w:rPr>
              <w:t>rd</w:t>
            </w:r>
            <w:r>
              <w:rPr>
                <w:rFonts w:eastAsia="Quattrocento Sans" w:cs="Calibri" w:cstheme="majorHAnsi"/>
                <w:i w:val="false"/>
                <w:iCs w:val="false"/>
                <w:color w:val="000000"/>
                <w:sz w:val="22"/>
                <w:szCs w:val="22"/>
              </w:rPr>
              <w:t xml:space="preserve"> E</w:t>
            </w:r>
            <w:r>
              <w:rPr>
                <w:rFonts w:eastAsia="Quattrocento Sans" w:cs="Calibri" w:cstheme="majorHAnsi"/>
                <w:i w:val="false"/>
                <w:iCs w:val="false"/>
                <w:color w:val="000000"/>
                <w:sz w:val="22"/>
                <w:szCs w:val="22"/>
              </w:rPr>
              <w:t>d</w:t>
            </w:r>
            <w:r>
              <w:rPr>
                <w:rFonts w:eastAsia="Quattrocento Sans" w:cs="Calibri" w:cstheme="majorHAnsi"/>
                <w:i w:val="false"/>
                <w:iCs w:val="false"/>
                <w:color w:val="000000"/>
                <w:sz w:val="22"/>
                <w:szCs w:val="22"/>
              </w:rPr>
              <w:t>ition</w:t>
            </w:r>
            <w:r>
              <w:rPr>
                <w:rFonts w:eastAsia="Quattrocento Sans" w:cs="Calibri" w:cstheme="majorHAnsi"/>
                <w:i w:val="false"/>
                <w:iCs w:val="false"/>
                <w:color w:val="000000"/>
                <w:sz w:val="22"/>
                <w:szCs w:val="22"/>
              </w:rPr>
              <w:t xml:space="preserve">. </w:t>
            </w:r>
            <w:r>
              <w:rPr>
                <w:rFonts w:eastAsia="Quattrocento Sans" w:cs="Calibri" w:cstheme="majorHAnsi"/>
                <w:i w:val="false"/>
                <w:iCs w:val="false"/>
                <w:color w:val="000000"/>
                <w:sz w:val="22"/>
                <w:szCs w:val="22"/>
              </w:rPr>
              <w:t xml:space="preserve">Boston: </w:t>
            </w:r>
            <w:r>
              <w:rPr>
                <w:rFonts w:eastAsia="Quattrocento Sans" w:cs="Calibri" w:cstheme="majorHAnsi"/>
                <w:i w:val="false"/>
                <w:iCs w:val="false"/>
                <w:color w:val="000000"/>
                <w:sz w:val="22"/>
                <w:szCs w:val="22"/>
              </w:rPr>
              <w:t>Pearson.</w:t>
            </w:r>
          </w:p>
          <w:p>
            <w:pPr>
              <w:pStyle w:val="ListParagraph"/>
              <w:numPr>
                <w:ilvl w:val="0"/>
                <w:numId w:val="2"/>
              </w:numPr>
              <w:spacing w:before="0" w:after="200"/>
              <w:contextualSpacing/>
              <w:rPr>
                <w:rFonts w:eastAsia="Quattrocento Sans" w:cs="Calibri" w:cstheme="majorHAnsi"/>
                <w:i w:val="false"/>
                <w:i w:val="false"/>
                <w:iCs w:val="false"/>
                <w:color w:val="000000"/>
                <w:sz w:val="22"/>
                <w:szCs w:val="22"/>
              </w:rPr>
            </w:pPr>
            <w:r>
              <w:rPr>
                <w:rFonts w:eastAsia="Quattrocento Sans" w:cs="Calibri" w:cstheme="majorHAnsi"/>
                <w:i w:val="false"/>
                <w:iCs w:val="false"/>
                <w:color w:val="000000"/>
                <w:sz w:val="22"/>
                <w:szCs w:val="22"/>
              </w:rPr>
              <w:t xml:space="preserve">Tan, L. &amp; Jiang, J. (2019). </w:t>
            </w:r>
            <w:r>
              <w:rPr>
                <w:rFonts w:eastAsia="Quattrocento Sans" w:cs="Calibri" w:cstheme="majorHAnsi"/>
                <w:i w:val="false"/>
                <w:iCs w:val="false"/>
                <w:color w:val="000000"/>
                <w:sz w:val="22"/>
                <w:szCs w:val="22"/>
              </w:rPr>
              <w:t xml:space="preserve">Digital </w:t>
            </w:r>
            <w:r>
              <w:rPr>
                <w:rFonts w:eastAsia="Quattrocento Sans" w:cs="Calibri" w:cstheme="majorHAnsi"/>
                <w:i w:val="false"/>
                <w:iCs w:val="false"/>
                <w:color w:val="000000"/>
                <w:kern w:val="0"/>
                <w:sz w:val="22"/>
                <w:szCs w:val="22"/>
                <w:lang w:val="en-US" w:eastAsia="en-US" w:bidi="ar-SA"/>
              </w:rPr>
              <w:t>S</w:t>
            </w:r>
            <w:r>
              <w:rPr>
                <w:rFonts w:eastAsia="Quattrocento Sans" w:cs="Calibri" w:cstheme="majorHAnsi"/>
                <w:i w:val="false"/>
                <w:iCs w:val="false"/>
                <w:color w:val="000000"/>
                <w:sz w:val="22"/>
                <w:szCs w:val="22"/>
              </w:rPr>
              <w:t xml:space="preserve">ignal </w:t>
            </w:r>
            <w:r>
              <w:rPr>
                <w:rFonts w:eastAsia="Quattrocento Sans" w:cs="Calibri" w:cstheme="majorHAnsi"/>
                <w:i w:val="false"/>
                <w:iCs w:val="false"/>
                <w:color w:val="000000"/>
                <w:kern w:val="0"/>
                <w:sz w:val="22"/>
                <w:szCs w:val="22"/>
                <w:lang w:val="en-US" w:eastAsia="en-US" w:bidi="ar-SA"/>
              </w:rPr>
              <w:t>P</w:t>
            </w:r>
            <w:r>
              <w:rPr>
                <w:rFonts w:eastAsia="Quattrocento Sans" w:cs="Calibri" w:cstheme="majorHAnsi"/>
                <w:i w:val="false"/>
                <w:iCs w:val="false"/>
                <w:color w:val="000000"/>
                <w:sz w:val="22"/>
                <w:szCs w:val="22"/>
              </w:rPr>
              <w:t xml:space="preserve">rocessing. Fundamentals and </w:t>
            </w:r>
            <w:r>
              <w:rPr>
                <w:rFonts w:eastAsia="Quattrocento Sans" w:cs="Calibri" w:cstheme="majorHAnsi"/>
                <w:i w:val="false"/>
                <w:iCs w:val="false"/>
                <w:color w:val="000000"/>
                <w:kern w:val="0"/>
                <w:sz w:val="22"/>
                <w:szCs w:val="22"/>
                <w:lang w:val="en-US" w:eastAsia="en-US" w:bidi="ar-SA"/>
              </w:rPr>
              <w:t>A</w:t>
            </w:r>
            <w:r>
              <w:rPr>
                <w:rFonts w:eastAsia="Quattrocento Sans" w:cs="Calibri" w:cstheme="majorHAnsi"/>
                <w:i w:val="false"/>
                <w:iCs w:val="false"/>
                <w:color w:val="000000"/>
                <w:sz w:val="22"/>
                <w:szCs w:val="22"/>
              </w:rPr>
              <w:t xml:space="preserve">pplications </w:t>
            </w:r>
            <w:r>
              <w:rPr>
                <w:rFonts w:eastAsia="Quattrocento Sans" w:cs="Calibri" w:cstheme="majorHAnsi"/>
                <w:i w:val="false"/>
                <w:iCs w:val="false"/>
                <w:color w:val="000000"/>
                <w:sz w:val="22"/>
                <w:szCs w:val="22"/>
              </w:rPr>
              <w:t>3</w:t>
            </w:r>
            <w:r>
              <w:rPr>
                <w:rFonts w:eastAsia="Quattrocento Sans" w:cs="Calibri" w:cstheme="majorHAnsi"/>
                <w:i w:val="false"/>
                <w:iCs w:val="false"/>
                <w:color w:val="000000"/>
                <w:sz w:val="22"/>
                <w:szCs w:val="22"/>
                <w:vertAlign w:val="superscript"/>
              </w:rPr>
              <w:t>rd</w:t>
            </w:r>
            <w:r>
              <w:rPr>
                <w:rFonts w:eastAsia="Quattrocento Sans" w:cs="Calibri" w:cstheme="majorHAnsi"/>
                <w:i w:val="false"/>
                <w:iCs w:val="false"/>
                <w:color w:val="000000"/>
                <w:sz w:val="22"/>
                <w:szCs w:val="22"/>
              </w:rPr>
              <w:t xml:space="preserve"> Edition</w:t>
            </w:r>
            <w:r>
              <w:rPr>
                <w:rFonts w:eastAsia="Quattrocento Sans" w:cs="Calibri" w:cstheme="majorHAnsi"/>
                <w:i/>
                <w:iCs/>
                <w:color w:val="000000"/>
                <w:sz w:val="22"/>
                <w:szCs w:val="22"/>
              </w:rPr>
              <w:t xml:space="preserve">. </w:t>
            </w:r>
            <w:r>
              <w:rPr>
                <w:rFonts w:eastAsia="Quattrocento Sans" w:cs="Calibri" w:cstheme="majorHAnsi"/>
                <w:i w:val="false"/>
                <w:iCs w:val="false"/>
                <w:color w:val="000000"/>
                <w:sz w:val="22"/>
                <w:szCs w:val="22"/>
              </w:rPr>
              <w:t>Cambridge: AcademiC Press.</w:t>
            </w:r>
          </w:p>
        </w:tc>
      </w:tr>
      <w:tr>
        <w:trPr/>
        <w:tc>
          <w:tcPr>
            <w:tcW w:w="9719" w:type="dxa"/>
            <w:gridSpan w:val="3"/>
            <w:tcBorders>
              <w:top w:val="single" w:sz="4" w:space="0" w:color="000000"/>
              <w:left w:val="single" w:sz="4" w:space="0" w:color="000000"/>
              <w:bottom w:val="single" w:sz="4" w:space="0" w:color="000000"/>
              <w:right w:val="single" w:sz="4" w:space="0" w:color="000000"/>
            </w:tcBorders>
            <w:shd w:color="auto" w:fill="B6DDE8" w:themeFill="accent5" w:themeFillTint="66" w:val="clear"/>
          </w:tcPr>
          <w:p>
            <w:pPr>
              <w:pStyle w:val="Normal"/>
              <w:spacing w:before="0" w:after="200"/>
              <w:rPr>
                <w:rFonts w:ascii="Calibri" w:hAnsi="Calibri" w:eastAsia="Quattrocento Sans" w:cs="Calibri" w:asciiTheme="majorHAnsi" w:cstheme="majorHAnsi" w:hAnsiTheme="majorHAnsi"/>
                <w:color w:val="000000"/>
                <w:sz w:val="22"/>
                <w:szCs w:val="22"/>
              </w:rPr>
            </w:pPr>
            <w:r>
              <w:rPr>
                <w:rFonts w:eastAsia="Quattrocento Sans" w:cs="Calibri" w:cstheme="majorHAnsi"/>
                <w:b/>
                <w:sz w:val="22"/>
                <w:szCs w:val="22"/>
              </w:rPr>
              <w:t>Pustaka Pendukung</w:t>
            </w:r>
          </w:p>
        </w:tc>
      </w:tr>
      <w:tr>
        <w:trPr/>
        <w:tc>
          <w:tcPr>
            <w:tcW w:w="9719" w:type="dxa"/>
            <w:gridSpan w:val="3"/>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spacing w:before="0" w:after="200"/>
              <w:contextualSpacing/>
              <w:rPr/>
            </w:pPr>
            <w:r>
              <w:rPr/>
              <w:t xml:space="preserve">Schilling, R. J. &amp; Harris, S.L. (2011). Fundamentals of Digital Signal Processing using MATLAB. </w:t>
            </w:r>
            <w:r>
              <w:rPr/>
              <w:t>Boston: Cengage Learning.</w:t>
            </w:r>
          </w:p>
        </w:tc>
      </w:tr>
    </w:tbl>
    <w:p>
      <w:pPr>
        <w:pStyle w:val="Normal"/>
        <w:spacing w:lineRule="auto" w:line="240" w:before="0" w:after="0"/>
        <w:rPr>
          <w:rFonts w:ascii="Calibri" w:hAnsi="Calibri" w:cs="Calibri" w:asciiTheme="majorHAnsi" w:cstheme="majorHAnsi" w:hAnsiTheme="majorHAnsi"/>
          <w:sz w:val="22"/>
          <w:szCs w:val="22"/>
        </w:rPr>
      </w:pPr>
      <w:r>
        <w:rPr/>
      </w:r>
    </w:p>
    <w:sectPr>
      <w:headerReference w:type="default" r:id="rId2"/>
      <w:type w:val="nextPage"/>
      <w:pgSz w:w="12240" w:h="15840"/>
      <w:pgMar w:left="1440" w:right="1440" w:header="720" w:top="1440" w:footer="0" w:bottom="1440" w:gutter="0"/>
      <w:pgNumType w:start="0"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color w:val="000000"/>
      </w:rPr>
    </w:pPr>
    <w:r>
      <w:rPr>
        <w:color w:val="000000"/>
      </w:rPr>
    </w:r>
  </w:p>
  <w:tbl>
    <w:tblPr>
      <w:tblStyle w:val="a1"/>
      <w:tblW w:w="9715" w:type="dxa"/>
      <w:jc w:val="center"/>
      <w:tblInd w:w="0" w:type="dxa"/>
      <w:tblCellMar>
        <w:top w:w="0" w:type="dxa"/>
        <w:left w:w="108" w:type="dxa"/>
        <w:bottom w:w="0" w:type="dxa"/>
        <w:right w:w="108" w:type="dxa"/>
      </w:tblCellMar>
      <w:tblLook w:val="0000" w:noVBand="0" w:noHBand="0" w:lastColumn="0" w:firstColumn="0" w:lastRow="0" w:firstRow="0"/>
    </w:tblPr>
    <w:tblGrid>
      <w:gridCol w:w="2169"/>
      <w:gridCol w:w="4303"/>
      <w:gridCol w:w="1164"/>
      <w:gridCol w:w="547"/>
      <w:gridCol w:w="1532"/>
    </w:tblGrid>
    <w:tr>
      <w:trPr>
        <w:trHeight w:val="20" w:hRule="atLeast"/>
      </w:trPr>
      <w:tc>
        <w:tcPr>
          <w:tcW w:w="216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left="-120" w:hanging="0"/>
            <w:jc w:val="center"/>
            <w:rPr>
              <w:b/>
              <w:b/>
            </w:rPr>
          </w:pPr>
          <w:r>
            <w:rPr/>
            <w:drawing>
              <wp:inline distT="0" distB="0" distL="0" distR="0">
                <wp:extent cx="832485" cy="5397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832485" cy="539750"/>
                        </a:xfrm>
                        <a:prstGeom prst="rect">
                          <a:avLst/>
                        </a:prstGeom>
                      </pic:spPr>
                    </pic:pic>
                  </a:graphicData>
                </a:graphic>
              </wp:inline>
            </w:drawing>
          </w:r>
        </w:p>
      </w:tc>
      <w:tc>
        <w:tcPr>
          <w:tcW w:w="43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sz w:val="24"/>
              <w:szCs w:val="24"/>
            </w:rPr>
          </w:pPr>
          <w:r>
            <w:rPr>
              <w:b/>
              <w:sz w:val="32"/>
              <w:szCs w:val="32"/>
            </w:rPr>
            <w:t>SILABUS</w:t>
          </w:r>
        </w:p>
        <w:p>
          <w:pPr>
            <w:pStyle w:val="Normal"/>
            <w:spacing w:lineRule="auto" w:line="240" w:before="0" w:after="0"/>
            <w:jc w:val="center"/>
            <w:rPr/>
          </w:pPr>
          <w:r>
            <w:rPr>
              <w:b/>
              <w:sz w:val="24"/>
              <w:szCs w:val="24"/>
            </w:rPr>
            <w:t>PROGRAM STUDI TEKNIK ELEKTRO</w:t>
          </w:r>
        </w:p>
        <w:p>
          <w:pPr>
            <w:pStyle w:val="Normal"/>
            <w:spacing w:lineRule="auto" w:line="240" w:before="0" w:after="0"/>
            <w:jc w:val="center"/>
            <w:rPr>
              <w:b/>
              <w:b/>
            </w:rPr>
          </w:pPr>
          <w:r>
            <w:rPr>
              <w:b/>
            </w:rPr>
            <w:t>Tahun ajaran 2020 - 2025</w:t>
          </w:r>
        </w:p>
      </w:tc>
      <w:tc>
        <w:tcPr>
          <w:tcW w:w="1164" w:type="dxa"/>
          <w:tcBorders>
            <w:top w:val="single" w:sz="4" w:space="0" w:color="000000"/>
            <w:left w:val="single" w:sz="4" w:space="0" w:color="000000"/>
            <w:bottom w:val="single" w:sz="4" w:space="0" w:color="000000"/>
          </w:tcBorders>
          <w:shd w:color="auto" w:fill="auto" w:val="clear"/>
          <w:vAlign w:val="center"/>
        </w:tcPr>
        <w:p>
          <w:pPr>
            <w:pStyle w:val="Normal"/>
            <w:spacing w:lineRule="auto" w:line="240" w:before="0" w:after="0"/>
            <w:rPr/>
          </w:pPr>
          <w:r>
            <w:rPr/>
            <w:t>No. Dok.</w:t>
          </w:r>
        </w:p>
      </w:tc>
      <w:tc>
        <w:tcPr>
          <w:tcW w:w="547" w:type="dxa"/>
          <w:tcBorders>
            <w:top w:val="single" w:sz="4" w:space="0" w:color="000000"/>
            <w:bottom w:val="single" w:sz="4" w:space="0" w:color="000000"/>
          </w:tcBorders>
          <w:shd w:color="auto" w:fill="auto" w:val="clear"/>
          <w:vAlign w:val="center"/>
        </w:tcPr>
        <w:p>
          <w:pPr>
            <w:pStyle w:val="Normal"/>
            <w:spacing w:lineRule="auto" w:line="240" w:before="0" w:after="0"/>
            <w:rPr/>
          </w:pPr>
          <w:r>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ind w:right="-60" w:hanging="0"/>
            <w:rPr>
              <w:highlight w:val="red"/>
            </w:rPr>
          </w:pPr>
          <w:r>
            <w:rPr>
              <w:highlight w:val="red"/>
            </w:rPr>
          </w:r>
        </w:p>
      </w:tc>
    </w:tr>
    <w:tr>
      <w:trPr>
        <w:trHeight w:val="20" w:hRule="atLeast"/>
      </w:trPr>
      <w:tc>
        <w:tcPr>
          <w:tcW w:w="216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430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1164" w:type="dxa"/>
          <w:tcBorders>
            <w:top w:val="single" w:sz="4" w:space="0" w:color="000000"/>
            <w:left w:val="single" w:sz="4" w:space="0" w:color="000000"/>
            <w:bottom w:val="single" w:sz="4" w:space="0" w:color="000000"/>
          </w:tcBorders>
          <w:shd w:color="auto" w:fill="auto" w:val="clear"/>
          <w:vAlign w:val="center"/>
        </w:tcPr>
        <w:p>
          <w:pPr>
            <w:pStyle w:val="Normal"/>
            <w:spacing w:lineRule="auto" w:line="240" w:before="0" w:after="0"/>
            <w:rPr/>
          </w:pPr>
          <w:r>
            <w:rPr/>
            <w:t>Tgl. Terbit</w:t>
          </w:r>
        </w:p>
      </w:tc>
      <w:tc>
        <w:tcPr>
          <w:tcW w:w="547" w:type="dxa"/>
          <w:tcBorders>
            <w:top w:val="single" w:sz="4" w:space="0" w:color="000000"/>
            <w:bottom w:val="single" w:sz="4" w:space="0" w:color="000000"/>
          </w:tcBorders>
          <w:shd w:color="auto" w:fill="auto" w:val="clear"/>
          <w:vAlign w:val="center"/>
        </w:tcPr>
        <w:p>
          <w:pPr>
            <w:pStyle w:val="Normal"/>
            <w:spacing w:lineRule="auto" w:line="240" w:before="0" w:after="0"/>
            <w:rPr/>
          </w:pPr>
          <w:r>
            <w:rPr/>
            <w:t xml:space="preserve">: </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dd/mm/yyyy</w:t>
          </w:r>
        </w:p>
      </w:tc>
    </w:tr>
    <w:tr>
      <w:trPr>
        <w:trHeight w:val="20" w:hRule="atLeast"/>
      </w:trPr>
      <w:tc>
        <w:tcPr>
          <w:tcW w:w="216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430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1164" w:type="dxa"/>
          <w:tcBorders>
            <w:top w:val="single" w:sz="4" w:space="0" w:color="000000"/>
            <w:left w:val="single" w:sz="4" w:space="0" w:color="000000"/>
            <w:bottom w:val="single" w:sz="4" w:space="0" w:color="000000"/>
          </w:tcBorders>
          <w:shd w:color="auto" w:fill="auto" w:val="clear"/>
          <w:vAlign w:val="center"/>
        </w:tcPr>
        <w:p>
          <w:pPr>
            <w:pStyle w:val="Normal"/>
            <w:spacing w:lineRule="auto" w:line="240" w:before="0" w:after="0"/>
            <w:ind w:left="175" w:hanging="175"/>
            <w:rPr/>
          </w:pPr>
          <w:r>
            <w:rPr/>
            <w:t xml:space="preserve">No. Revisi </w:t>
          </w:r>
        </w:p>
      </w:tc>
      <w:tc>
        <w:tcPr>
          <w:tcW w:w="547" w:type="dxa"/>
          <w:tcBorders>
            <w:top w:val="single" w:sz="4" w:space="0" w:color="000000"/>
            <w:bottom w:val="single" w:sz="4" w:space="0" w:color="000000"/>
          </w:tcBorders>
          <w:shd w:color="auto" w:fill="auto" w:val="clear"/>
          <w:vAlign w:val="center"/>
        </w:tcPr>
        <w:p>
          <w:pPr>
            <w:pStyle w:val="Normal"/>
            <w:spacing w:lineRule="auto" w:line="240" w:before="0" w:after="0"/>
            <w:rPr/>
          </w:pPr>
          <w:r>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00</w:t>
          </w:r>
        </w:p>
      </w:tc>
    </w:tr>
    <w:tr>
      <w:trPr>
        <w:trHeight w:val="20" w:hRule="atLeast"/>
      </w:trPr>
      <w:tc>
        <w:tcPr>
          <w:tcW w:w="216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430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pPr>
          <w:r>
            <w:rPr/>
          </w:r>
        </w:p>
      </w:tc>
      <w:tc>
        <w:tcPr>
          <w:tcW w:w="1164" w:type="dxa"/>
          <w:tcBorders>
            <w:top w:val="single" w:sz="4" w:space="0" w:color="000000"/>
            <w:left w:val="single" w:sz="4" w:space="0" w:color="000000"/>
            <w:bottom w:val="single" w:sz="4" w:space="0" w:color="000000"/>
          </w:tcBorders>
          <w:shd w:color="auto" w:fill="auto" w:val="clear"/>
          <w:vAlign w:val="center"/>
        </w:tcPr>
        <w:p>
          <w:pPr>
            <w:pStyle w:val="Normal"/>
            <w:spacing w:lineRule="auto" w:line="240" w:before="0" w:after="0"/>
            <w:rPr/>
          </w:pPr>
          <w:r>
            <w:rPr/>
            <w:t>Hal</w:t>
          </w:r>
        </w:p>
      </w:tc>
      <w:tc>
        <w:tcPr>
          <w:tcW w:w="547" w:type="dxa"/>
          <w:tcBorders>
            <w:top w:val="single" w:sz="4" w:space="0" w:color="000000"/>
            <w:bottom w:val="single" w:sz="4" w:space="0" w:color="000000"/>
          </w:tcBorders>
          <w:shd w:color="auto" w:fill="auto" w:val="clear"/>
          <w:vAlign w:val="center"/>
        </w:tcPr>
        <w:p>
          <w:pPr>
            <w:pStyle w:val="Normal"/>
            <w:spacing w:lineRule="auto" w:line="240" w:before="0" w:after="0"/>
            <w:rPr/>
          </w:pPr>
          <w:r>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pPr>
          <w:r>
            <w:rPr/>
            <w:t>2/2</w:t>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spacing w:lineRule="auto" w:line="240" w:before="0" w:after="0"/>
      <w:ind w:left="720" w:hanging="360"/>
      <w:outlineLvl w:val="0"/>
    </w:pPr>
    <w:rPr>
      <w:b/>
      <w:color w:val="000000"/>
      <w:sz w:val="28"/>
      <w:szCs w:val="28"/>
    </w:rPr>
  </w:style>
  <w:style w:type="paragraph" w:styleId="Heading2">
    <w:name w:val="Heading 2"/>
    <w:basedOn w:val="Normal"/>
    <w:next w:val="Normal"/>
    <w:uiPriority w:val="9"/>
    <w:unhideWhenUsed/>
    <w:qFormat/>
    <w:pPr>
      <w:keepNext w:val="true"/>
      <w:keepLines/>
      <w:spacing w:before="200" w:after="0"/>
      <w:outlineLvl w:val="1"/>
    </w:pPr>
    <w:rPr>
      <w:b/>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2203"/>
    <w:rPr/>
  </w:style>
  <w:style w:type="character" w:styleId="FooterChar" w:customStyle="1">
    <w:name w:val="Footer Char"/>
    <w:basedOn w:val="DefaultParagraphFont"/>
    <w:link w:val="Footer"/>
    <w:uiPriority w:val="99"/>
    <w:qFormat/>
    <w:rsid w:val="00d72203"/>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pBdr>
        <w:bottom w:val="single" w:sz="8" w:space="4" w:color="4F81BD"/>
      </w:pBdr>
      <w:spacing w:lineRule="auto" w:line="240" w:before="0" w:after="300"/>
    </w:pPr>
    <w:rPr>
      <w:rFonts w:ascii="Cambria" w:hAnsi="Cambria" w:eastAsia="Cambria" w:cs="Cambria"/>
      <w:color w:val="17365D"/>
      <w:sz w:val="52"/>
      <w:szCs w:val="52"/>
    </w:rPr>
  </w:style>
  <w:style w:type="paragraph" w:styleId="Subtitle">
    <w:name w:val="Subtitle"/>
    <w:basedOn w:val="Normal"/>
    <w:next w:val="Normal"/>
    <w:uiPriority w:val="11"/>
    <w:qFormat/>
    <w:pPr/>
    <w:rPr>
      <w:rFonts w:ascii="Cambria" w:hAnsi="Cambria" w:eastAsia="Cambria" w:cs="Cambria"/>
      <w:i/>
      <w:color w:val="4F81BD"/>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d722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220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736ce"/>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005F8-E280-4A07-9EE1-0CBAEF06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Application>LibreOffice/6.4.0.3$Linux_X86_64 LibreOffice_project/40$Build-3</Application>
  <Pages>3</Pages>
  <Words>525</Words>
  <Characters>3390</Characters>
  <CharactersWithSpaces>3841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 Nur Farid</dc:creator>
  <dc:description/>
  <cp:lastModifiedBy>Mifta Nur Farid</cp:lastModifiedBy>
  <cp:revision>23</cp:revision>
  <dcterms:created xsi:type="dcterms:W3CDTF">2019-08-26T03:22:00Z</dcterms:created>
  <dcterms:modified xsi:type="dcterms:W3CDTF">2020-02-17T13:15:16Z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