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6"/>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auto"/>
          </w:tcPr>
          <w:p>
            <w:pPr>
              <w:rPr>
                <w:rFonts w:hint="default"/>
                <w:b/>
                <w:lang w:val="en"/>
              </w:rPr>
            </w:pPr>
            <w:r>
              <w:rPr>
                <w:rFonts w:hint="default"/>
                <w:b/>
                <w:lang w:val="en"/>
              </w:rPr>
              <w:t>Rangkaian Elektronika II</w:t>
            </w:r>
          </w:p>
        </w:tc>
        <w:tc>
          <w:tcPr>
            <w:tcW w:w="1628" w:type="dxa"/>
            <w:shd w:val="clear" w:color="auto" w:fill="auto"/>
          </w:tcPr>
          <w:p>
            <w:pPr>
              <w:rPr>
                <w:rFonts w:hint="default"/>
                <w:lang w:val="en"/>
              </w:rPr>
            </w:pPr>
            <w:r>
              <w:rPr>
                <w:rFonts w:hint="default"/>
                <w:lang w:val="en"/>
              </w:rPr>
              <w:t>TE 201414</w:t>
            </w:r>
          </w:p>
        </w:tc>
        <w:tc>
          <w:tcPr>
            <w:tcW w:w="3468" w:type="dxa"/>
            <w:shd w:val="clear" w:color="auto" w:fill="auto"/>
          </w:tcPr>
          <w:p>
            <w:pPr>
              <w:rPr>
                <w:rFonts w:hint="default"/>
                <w:lang w:val="en"/>
              </w:rPr>
            </w:pPr>
            <w:r>
              <w:rPr>
                <w:rFonts w:hint="default"/>
                <w:lang w:val="en"/>
              </w:rPr>
              <w:t>Mifta Nur Farid,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15 Februari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both"/>
              <w:rPr>
                <w:rFonts w:hint="default"/>
                <w:b/>
                <w:lang w:val="en"/>
              </w:rPr>
            </w:pPr>
            <w:r>
              <w:rPr>
                <w:rFonts w:hint="default"/>
                <w:b w:val="0"/>
                <w:bCs/>
                <w:lang w:val="en"/>
              </w:rPr>
              <w:t>Mudeng, Vicky Vendy Hengki, S.T., M.Sc.</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lang w:val="en"/>
              </w:rPr>
              <w:t>Sikap</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Keterampilan Umum</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Mampu menerapkan pemikiran logis, kritis, sistematis, dan inovatif dalam konteks pengembangan atau implementasi ilmu pengetahuan dan teknologi yang memperhatikan dan menerapkan nilai humaniora yang sesuai dengan bidang keahliannya</w:t>
            </w:r>
            <w:r>
              <w:rPr>
                <w:rFonts w:hint="default"/>
                <w:lang w:val="en"/>
              </w:rPr>
              <w:t xml:space="preserve"> </w:t>
            </w:r>
            <w:r>
              <w:rPr>
                <w:rFonts w:hint="default"/>
                <w:b/>
                <w:bCs/>
                <w:lang w:val="en"/>
              </w:rPr>
              <w:t>(</w:t>
            </w:r>
            <w:r>
              <w:rPr>
                <w:rFonts w:ascii="Calibri" w:hAnsi="Calibri" w:eastAsia="Calibri" w:cs="Calibri"/>
                <w:b/>
                <w:bCs/>
                <w:color w:val="000000"/>
                <w:sz w:val="22"/>
                <w:szCs w:val="22"/>
                <w:rtl w:val="0"/>
              </w:rPr>
              <w:t>KU.1</w:t>
            </w:r>
            <w:r>
              <w:rPr>
                <w:rFonts w:hint="default" w:cs="Calibri"/>
                <w:b/>
                <w:bCs/>
                <w:color w:val="000000"/>
                <w:sz w:val="22"/>
                <w:szCs w:val="22"/>
                <w:rtl w:val="0"/>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KU.2  Mampu menunjukkan kinerja mandiri, bermutu, dan terukur</w:t>
            </w:r>
            <w:r>
              <w:rPr>
                <w:rFonts w:hint="default"/>
                <w:lang w:val="en"/>
              </w:rPr>
              <w:t xml:space="preserve"> </w:t>
            </w:r>
            <w:r>
              <w:rPr>
                <w:rFonts w:hint="default"/>
                <w:b/>
                <w:bCs/>
                <w:lang w:val="en"/>
              </w:rPr>
              <w:t>(</w:t>
            </w:r>
            <w:r>
              <w:rPr>
                <w:rFonts w:ascii="Calibri" w:hAnsi="Calibri" w:eastAsia="Calibri" w:cs="Calibri"/>
                <w:b/>
                <w:bCs/>
                <w:color w:val="000000"/>
                <w:sz w:val="22"/>
                <w:szCs w:val="22"/>
                <w:rtl w:val="0"/>
              </w:rPr>
              <w:t>KU.2</w:t>
            </w:r>
            <w:r>
              <w:rPr>
                <w:rFonts w:hint="default"/>
                <w:b/>
                <w:bCs/>
                <w:lang w:val="en"/>
              </w:rPr>
              <w:t>)</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Pengetahuan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w:t>
            </w:r>
            <w:r>
              <w:rPr>
                <w:rFonts w:hint="default"/>
                <w:b/>
                <w:bCs/>
              </w:rPr>
              <w:t>P.2</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Menguasai konsep dasar sistem tenaga, sistem pengaturan, elektronika, telekomunikasi dan sistem komputer</w:t>
            </w:r>
            <w:r>
              <w:rPr>
                <w:rFonts w:hint="default"/>
                <w:lang w:val="en"/>
              </w:rPr>
              <w:t xml:space="preserve"> </w:t>
            </w:r>
            <w:r>
              <w:rPr>
                <w:rFonts w:hint="default"/>
                <w:b/>
                <w:bCs/>
                <w:lang w:val="en"/>
              </w:rPr>
              <w:t>(</w:t>
            </w:r>
            <w:r>
              <w:rPr>
                <w:rFonts w:hint="default"/>
                <w:b/>
                <w:bCs/>
              </w:rPr>
              <w:t>P.3</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Menguasai dasar teknik komputasi dan teknologi informasi dalam bidang sistem tenaga, sistem pengaturan, elektronika, telekomunikasi, dan sistem komputer</w:t>
            </w:r>
            <w:r>
              <w:rPr>
                <w:rFonts w:hint="default"/>
                <w:lang w:val="en"/>
              </w:rPr>
              <w:t xml:space="preserve"> </w:t>
            </w:r>
            <w:r>
              <w:rPr>
                <w:rFonts w:hint="default"/>
                <w:b/>
                <w:bCs/>
                <w:lang w:val="en"/>
              </w:rPr>
              <w:t>(</w:t>
            </w:r>
            <w:r>
              <w:rPr>
                <w:rFonts w:hint="default"/>
                <w:b/>
                <w:bCs/>
              </w:rPr>
              <w:t>P.4</w:t>
            </w:r>
            <w:r>
              <w:rPr>
                <w:rFonts w:hint="default"/>
                <w:b/>
                <w:bCs/>
                <w:lang w:val="en"/>
              </w:rPr>
              <w:t>)</w:t>
            </w:r>
            <w:r>
              <w:rPr>
                <w:rFonts w:hint="default"/>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5" w:leftChars="0" w:hanging="425" w:firstLineChars="0"/>
            </w:pPr>
            <w:r>
              <w:rPr>
                <w:rFonts w:hint="default"/>
              </w:rPr>
              <w:t>Keterampilan Khusus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rPr>
                <w:rFonts w:hint="default"/>
              </w:rPr>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w:t>
            </w:r>
            <w:r>
              <w:rPr>
                <w:rFonts w:hint="default"/>
                <w:b/>
                <w:bCs/>
              </w:rPr>
              <w:t>KK.2</w:t>
            </w:r>
            <w:r>
              <w:rPr>
                <w:rFonts w:hint="default"/>
                <w:b/>
                <w:bCs/>
                <w:lang w:val="en"/>
              </w:rPr>
              <w:t>)</w:t>
            </w:r>
            <w:r>
              <w:rPr>
                <w:rFonts w:hint="default"/>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845" w:leftChars="0" w:hanging="425" w:firstLineChars="0"/>
            </w:pPr>
            <w:r>
              <w:rPr>
                <w:rFonts w:hint="default"/>
              </w:rPr>
              <w:t>Kemampuan memanfaatkan perangkat analisis berbasis teknologi informasi dan komputasi yang sesuai untuk aktivitas teknik pada bidang sistem tenaga, sistem pengaturan, elektronika, telekomunikasi dan sistem komputer</w:t>
            </w:r>
            <w:r>
              <w:rPr>
                <w:rFonts w:hint="default"/>
                <w:lang w:val="en"/>
              </w:rPr>
              <w:t xml:space="preserve"> </w:t>
            </w:r>
            <w:r>
              <w:rPr>
                <w:rFonts w:hint="default"/>
                <w:b/>
                <w:bCs/>
                <w:lang w:val="en"/>
              </w:rPr>
              <w:t>(</w:t>
            </w:r>
            <w:r>
              <w:rPr>
                <w:rFonts w:hint="default"/>
                <w:b/>
                <w:bCs/>
              </w:rPr>
              <w:t>KK.4</w:t>
            </w:r>
            <w:r>
              <w:rPr>
                <w:rFonts w:hint="default"/>
                <w:b/>
                <w:bCs/>
                <w:lang w:val="en"/>
              </w:rPr>
              <w:t>)</w:t>
            </w:r>
            <w:r>
              <w:rPr>
                <w:rFonts w:hint="default"/>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spacing w:after="0" w:line="240" w:lineRule="auto"/>
              <w:rPr>
                <w:i w:val="0"/>
                <w:smallCaps w:val="0"/>
                <w:strike w:val="0"/>
                <w:color w:val="000000"/>
                <w:sz w:val="22"/>
                <w:szCs w:val="22"/>
                <w:u w:val="none"/>
                <w:shd w:val="clear" w:fill="auto"/>
                <w:vertAlign w:val="baseline"/>
                <w:rtl w:val="0"/>
              </w:rPr>
            </w:pPr>
            <w:r>
              <w:rPr>
                <w:i w:val="0"/>
                <w:smallCaps w:val="0"/>
                <w:strike w:val="0"/>
                <w:color w:val="000000"/>
                <w:sz w:val="22"/>
                <w:szCs w:val="22"/>
                <w:u w:val="none"/>
                <w:shd w:val="clear" w:fill="auto"/>
                <w:vertAlign w:val="baseline"/>
                <w:rtl w:val="0"/>
              </w:rPr>
              <w:t>Mahasiswa mampu merancang rangkaian penguat dari peralatan elektronika</w:t>
            </w:r>
          </w:p>
          <w:p>
            <w:pPr>
              <w:pBdr>
                <w:top w:val="none" w:color="auto" w:sz="0" w:space="0"/>
                <w:left w:val="none" w:color="auto" w:sz="0" w:space="0"/>
                <w:bottom w:val="none" w:color="auto" w:sz="0" w:space="0"/>
                <w:right w:val="none" w:color="auto" w:sz="0" w:space="0"/>
                <w:between w:val="none" w:color="auto" w:sz="0" w:space="0"/>
              </w:pBdr>
              <w:spacing w:after="0" w:line="240" w:lineRule="auto"/>
              <w:rPr>
                <w:i w:val="0"/>
                <w:smallCaps w:val="0"/>
                <w:strike w:val="0"/>
                <w:color w:val="000000"/>
                <w:sz w:val="22"/>
                <w:szCs w:val="22"/>
                <w:u w:val="none"/>
                <w:shd w:val="clear" w:fill="auto"/>
                <w:vertAlign w:val="baseline"/>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rPr>
            </w:pPr>
            <w:r>
              <w:rPr>
                <w:rFonts w:hint="default"/>
              </w:rPr>
              <w:t xml:space="preserve">Mata kuliah lanjutan </w:t>
            </w:r>
            <w:r>
              <w:rPr>
                <w:rFonts w:hint="default"/>
                <w:lang w:val="en"/>
              </w:rPr>
              <w:t>R</w:t>
            </w:r>
            <w:r>
              <w:rPr>
                <w:rFonts w:hint="default"/>
              </w:rPr>
              <w:t xml:space="preserve">angkaian </w:t>
            </w:r>
            <w:r>
              <w:rPr>
                <w:rFonts w:hint="default"/>
                <w:lang w:val="en"/>
              </w:rPr>
              <w:t>E</w:t>
            </w:r>
            <w:r>
              <w:rPr>
                <w:rFonts w:hint="default"/>
              </w:rPr>
              <w:t xml:space="preserve">lektronika I adalah </w:t>
            </w:r>
            <w:r>
              <w:rPr>
                <w:rFonts w:hint="default"/>
                <w:i/>
                <w:iCs/>
              </w:rPr>
              <w:t>advance electronics</w:t>
            </w:r>
            <w:r>
              <w:rPr>
                <w:rFonts w:hint="default"/>
              </w:rPr>
              <w:t xml:space="preserve"> yang menggunakan rangkaian penguat operasional sebagai rangkaian pengondisi sinyal. Kemampuan merancang sistem instrumentasi elektronika menggunakan penguat operasional yang baik sangat menentukan kualitas sistem yang dirancang. Oleh karena itu, mata kuliah ini bertujuan agar mahasiswa mampu merancang rangkaian penguat dari peralatan elektronika yang meliputi </w:t>
            </w:r>
            <w:r>
              <w:rPr>
                <w:rFonts w:hint="default"/>
                <w:i/>
                <w:iCs/>
              </w:rPr>
              <w:t>discrete‐device amplifier concepts</w:t>
            </w:r>
            <w:r>
              <w:rPr>
                <w:rFonts w:hint="default"/>
              </w:rPr>
              <w:t xml:space="preserve">, </w:t>
            </w:r>
            <w:r>
              <w:rPr>
                <w:rFonts w:hint="default"/>
                <w:i/>
                <w:iCs/>
              </w:rPr>
              <w:t>design and operation</w:t>
            </w:r>
            <w:r>
              <w:rPr>
                <w:rFonts w:hint="default"/>
              </w:rPr>
              <w:t>, penguat operasional ideal, penguat operasional differensial, dan perancangan rangkaian pengondisi sinyal. Kegiatan pembelajaran terdiri atas perkuliahan mengenai teori rangkaian penguat operasional dan tugas besar desain rangkaian pengondisi sinyal dari besaran fisik ke besaran listrik sampai pada tampilan (</w:t>
            </w:r>
            <w:r>
              <w:rPr>
                <w:rFonts w:hint="default"/>
                <w:i/>
                <w:iCs/>
              </w:rPr>
              <w:t>display</w:t>
            </w:r>
            <w:r>
              <w:rPr>
                <w:rFonts w:hint="default"/>
              </w:rPr>
              <w:t>) agar dapat dimengerti oleh manusia.</w:t>
            </w:r>
          </w:p>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Discrete‐Device Amplifier Concepts, Design and Operation</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Penguat operasional ideal</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rFonts w:hint="default"/>
                <w:color w:val="000000"/>
              </w:rPr>
            </w:pPr>
            <w:r>
              <w:rPr>
                <w:rFonts w:hint="default"/>
                <w:color w:val="000000"/>
              </w:rPr>
              <w:t>Penguat operasional differensial</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425" w:leftChars="0" w:hanging="425" w:firstLineChars="0"/>
              <w:rPr>
                <w:color w:val="000000"/>
              </w:rPr>
            </w:pPr>
            <w:r>
              <w:rPr>
                <w:rFonts w:hint="default"/>
                <w:color w:val="000000"/>
              </w:rPr>
              <w:t>Perancangan rangkaian pengondisi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Boylestad, R</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L.</w:t>
            </w:r>
            <w:r>
              <w:rPr>
                <w:sz w:val="22"/>
                <w:szCs w:val="22"/>
                <w:rtl w:val="0"/>
              </w:rPr>
              <w:t xml:space="preserve"> &amp;</w:t>
            </w:r>
            <w:r>
              <w:rPr>
                <w:rFonts w:ascii="Calibri" w:hAnsi="Calibri" w:eastAsia="Calibri" w:cs="Calibri"/>
                <w:b w:val="0"/>
                <w:i w:val="0"/>
                <w:smallCaps w:val="0"/>
                <w:strike w:val="0"/>
                <w:color w:val="000000"/>
                <w:sz w:val="22"/>
                <w:szCs w:val="22"/>
                <w:u w:val="none"/>
                <w:shd w:val="clear" w:fill="auto"/>
                <w:vertAlign w:val="baseline"/>
                <w:rtl w:val="0"/>
              </w:rPr>
              <w:t xml:space="preserve"> Nashelsky</w:t>
            </w:r>
            <w:r>
              <w:rPr>
                <w:sz w:val="22"/>
                <w:szCs w:val="22"/>
                <w:rtl w:val="0"/>
              </w:rPr>
              <w:t>, L.</w:t>
            </w:r>
            <w:r>
              <w:rPr>
                <w:rFonts w:ascii="Calibri" w:hAnsi="Calibri" w:eastAsia="Calibri" w:cs="Calibri"/>
                <w:b w:val="0"/>
                <w:i w:val="0"/>
                <w:smallCaps w:val="0"/>
                <w:strike w:val="0"/>
                <w:color w:val="000000"/>
                <w:sz w:val="22"/>
                <w:szCs w:val="22"/>
                <w:u w:val="none"/>
                <w:shd w:val="clear" w:fill="auto"/>
                <w:vertAlign w:val="baseline"/>
                <w:rtl w:val="0"/>
              </w:rPr>
              <w:t xml:space="preserve"> (2012). Electronic Devices and Circuit Theory</w:t>
            </w:r>
            <w:r>
              <w:rPr>
                <w:sz w:val="22"/>
                <w:szCs w:val="22"/>
                <w:rtl w:val="0"/>
              </w:rPr>
              <w:t>. New Jersey:</w:t>
            </w:r>
            <w:r>
              <w:rPr>
                <w:rFonts w:ascii="Calibri" w:hAnsi="Calibri" w:eastAsia="Calibri" w:cs="Calibri"/>
                <w:b w:val="0"/>
                <w:i w:val="0"/>
                <w:smallCaps w:val="0"/>
                <w:strike w:val="0"/>
                <w:color w:val="000000"/>
                <w:sz w:val="22"/>
                <w:szCs w:val="22"/>
                <w:u w:val="none"/>
                <w:shd w:val="clear" w:fill="auto"/>
                <w:vertAlign w:val="baseline"/>
                <w:rtl w:val="0"/>
              </w:rPr>
              <w:t xml:space="preserve"> Prentice Hall, Inc.</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45" w:right="0" w:hanging="360"/>
              <w:jc w:val="left"/>
              <w:rPr>
                <w:color w:val="000000"/>
              </w:rPr>
            </w:pPr>
            <w:r>
              <w:rPr>
                <w:rFonts w:ascii="Calibri" w:hAnsi="Calibri" w:eastAsia="Calibri" w:cs="Calibri"/>
                <w:b w:val="0"/>
                <w:i w:val="0"/>
                <w:smallCaps w:val="0"/>
                <w:strike w:val="0"/>
                <w:color w:val="000000"/>
                <w:sz w:val="22"/>
                <w:szCs w:val="22"/>
                <w:u w:val="none"/>
                <w:shd w:val="clear" w:fill="auto"/>
                <w:vertAlign w:val="baseline"/>
                <w:rtl w:val="0"/>
              </w:rPr>
              <w:t>Malvino, 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P</w:t>
            </w:r>
            <w:r>
              <w:rPr>
                <w:sz w:val="22"/>
                <w:szCs w:val="22"/>
                <w:rtl w:val="0"/>
              </w:rPr>
              <w:t xml:space="preserve">. (1979). </w:t>
            </w:r>
            <w:r>
              <w:rPr>
                <w:rFonts w:ascii="Calibri" w:hAnsi="Calibri" w:eastAsia="Calibri" w:cs="Calibri"/>
                <w:b w:val="0"/>
                <w:i w:val="0"/>
                <w:smallCaps w:val="0"/>
                <w:strike w:val="0"/>
                <w:color w:val="000000"/>
                <w:sz w:val="22"/>
                <w:szCs w:val="22"/>
                <w:u w:val="none"/>
                <w:shd w:val="clear" w:fill="auto"/>
                <w:vertAlign w:val="baseline"/>
                <w:rtl w:val="0"/>
              </w:rPr>
              <w:t>Electronic Principles 2nd Edition</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USA</w:t>
            </w:r>
            <w:r>
              <w:rPr>
                <w:sz w:val="22"/>
                <w:szCs w:val="22"/>
                <w:rtl w:val="0"/>
              </w:rPr>
              <w:t>:</w:t>
            </w:r>
            <w:r>
              <w:rPr>
                <w:rFonts w:ascii="Calibri" w:hAnsi="Calibri" w:eastAsia="Calibri" w:cs="Calibri"/>
                <w:b w:val="0"/>
                <w:i w:val="0"/>
                <w:smallCaps w:val="0"/>
                <w:strike w:val="0"/>
                <w:color w:val="000000"/>
                <w:sz w:val="22"/>
                <w:szCs w:val="22"/>
                <w:u w:val="none"/>
                <w:shd w:val="clear" w:fill="auto"/>
                <w:vertAlign w:val="baseline"/>
                <w:rtl w:val="0"/>
              </w:rPr>
              <w:t xml:space="preserve"> McGraw-Hill</w:t>
            </w:r>
            <w:r>
              <w:rPr>
                <w:sz w:val="22"/>
                <w:szCs w:val="22"/>
                <w:rtl w:val="0"/>
              </w:rPr>
              <w:t>.</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5" w:leftChars="0" w:right="0" w:rightChars="0"/>
              <w:jc w:val="left"/>
              <w:rPr>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pStyle w:val="21"/>
              <w:tabs>
                <w:tab w:val="left" w:pos="0"/>
              </w:tabs>
              <w:spacing w:after="0"/>
              <w:ind w:left="0" w:lef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1"/>
              <w:numPr>
                <w:ilvl w:val="0"/>
                <w:numId w:val="4"/>
              </w:numPr>
              <w:tabs>
                <w:tab w:val="left" w:pos="0"/>
                <w:tab w:val="clear" w:pos="425"/>
              </w:tabs>
              <w:ind w:left="425" w:leftChars="0" w:hanging="425" w:firstLineChars="0"/>
            </w:pPr>
            <w:r>
              <w:rPr>
                <w:rFonts w:hint="default"/>
                <w:lang w:val="en"/>
              </w:rPr>
              <w:t>Bahan Tayang;</w:t>
            </w:r>
          </w:p>
          <w:p>
            <w:pPr>
              <w:pStyle w:val="21"/>
              <w:numPr>
                <w:ilvl w:val="0"/>
                <w:numId w:val="4"/>
              </w:numPr>
              <w:tabs>
                <w:tab w:val="left" w:pos="0"/>
                <w:tab w:val="clear" w:pos="425"/>
              </w:tabs>
              <w:ind w:left="425" w:leftChars="0" w:hanging="425" w:firstLineChars="0"/>
            </w:pPr>
            <w:r>
              <w:rPr>
                <w:rFonts w:hint="default"/>
                <w:lang w:val="en"/>
              </w:rPr>
              <w:t>Buku Referensi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numPr>
                <w:ilvl w:val="0"/>
                <w:numId w:val="5"/>
              </w:numPr>
              <w:tabs>
                <w:tab w:val="clear" w:pos="425"/>
              </w:tabs>
              <w:ind w:left="425" w:leftChars="0" w:hanging="425" w:firstLineChars="0"/>
            </w:pPr>
            <w:r>
              <w:rPr>
                <w:rFonts w:hint="default"/>
              </w:rPr>
              <w:t>TE201410 - Rangkaian Elektronika I</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0" distR="0">
            <wp:extent cx="6054090" cy="5309870"/>
            <wp:effectExtent l="0" t="0" r="3810" b="508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6054090" cy="5309870"/>
                    </a:xfrm>
                    <a:prstGeom prst="rect">
                      <a:avLst/>
                    </a:prstGeom>
                    <a:noFill/>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ascii="Quattrocento Sans" w:hAnsi="Quattrocento Sans" w:eastAsia="Quattrocento Sans" w:cs="Quattrocento Sans"/>
          <w:b/>
        </w:rPr>
      </w:pPr>
      <w:r>
        <w:drawing>
          <wp:inline distT="0" distB="0" distL="0" distR="0">
            <wp:extent cx="5341620" cy="5328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false"/>
                  </pic:nvPicPr>
                  <pic:blipFill>
                    <a:blip r:embed="rId9"/>
                    <a:srcRect/>
                    <a:stretch>
                      <a:fillRect/>
                    </a:stretch>
                  </pic:blipFill>
                  <pic:spPr>
                    <a:xfrm>
                      <a:off x="0" y="0"/>
                      <a:ext cx="5341759" cy="5329106"/>
                    </a:xfrm>
                    <a:prstGeom prst="rect">
                      <a:avLst/>
                    </a:prstGeom>
                  </pic:spPr>
                </pic:pic>
              </a:graphicData>
            </a:graphic>
          </wp:inline>
        </w:drawing>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9"/>
        <w:gridCol w:w="1885"/>
        <w:gridCol w:w="1800"/>
        <w:gridCol w:w="1887"/>
        <w:gridCol w:w="2019"/>
        <w:gridCol w:w="1620"/>
        <w:gridCol w:w="1660"/>
        <w:gridCol w:w="1497"/>
        <w:gridCol w:w="1010"/>
        <w:gridCol w:w="993"/>
        <w:gridCol w:w="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Minggu ke-</w:t>
            </w:r>
          </w:p>
        </w:tc>
        <w:tc>
          <w:tcPr>
            <w:tcW w:w="1885"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Sub-CPMK (Kemampuan akhir yg direncanakan)</w:t>
            </w:r>
          </w:p>
        </w:tc>
        <w:tc>
          <w:tcPr>
            <w:tcW w:w="1800"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Bahan Kajian</w:t>
            </w:r>
          </w:p>
        </w:tc>
        <w:tc>
          <w:tcPr>
            <w:tcW w:w="1887"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Bentuk/ Metode Pembelajaran</w:t>
            </w:r>
          </w:p>
        </w:tc>
        <w:tc>
          <w:tcPr>
            <w:tcW w:w="2019"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Aktivitas Belajar</w:t>
            </w:r>
          </w:p>
        </w:tc>
        <w:tc>
          <w:tcPr>
            <w:tcW w:w="4777" w:type="dxa"/>
            <w:gridSpan w:val="3"/>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Penilaian</w:t>
            </w:r>
          </w:p>
        </w:tc>
        <w:tc>
          <w:tcPr>
            <w:tcW w:w="1010"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Durasi (menit)</w:t>
            </w:r>
          </w:p>
        </w:tc>
        <w:tc>
          <w:tcPr>
            <w:tcW w:w="993"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vMerge w:val="continue"/>
          </w:tcPr>
          <w:p>
            <w:pPr>
              <w:spacing w:after="0" w:line="240" w:lineRule="auto"/>
              <w:rPr>
                <w:rFonts w:eastAsia="Quattrocento Sans" w:asciiTheme="majorHAnsi" w:hAnsiTheme="majorHAnsi" w:cstheme="majorHAnsi"/>
                <w:b/>
              </w:rPr>
            </w:pPr>
          </w:p>
        </w:tc>
        <w:tc>
          <w:tcPr>
            <w:tcW w:w="1885" w:type="dxa"/>
            <w:vMerge w:val="continue"/>
          </w:tcPr>
          <w:p>
            <w:pPr>
              <w:spacing w:after="0" w:line="240" w:lineRule="auto"/>
              <w:rPr>
                <w:rFonts w:eastAsia="Quattrocento Sans" w:asciiTheme="majorHAnsi" w:hAnsiTheme="majorHAnsi" w:cstheme="majorHAnsi"/>
                <w:b/>
              </w:rPr>
            </w:pPr>
          </w:p>
        </w:tc>
        <w:tc>
          <w:tcPr>
            <w:tcW w:w="1800" w:type="dxa"/>
            <w:vMerge w:val="continue"/>
          </w:tcPr>
          <w:p>
            <w:pPr>
              <w:spacing w:after="0" w:line="240" w:lineRule="auto"/>
              <w:rPr>
                <w:rFonts w:eastAsia="Quattrocento Sans" w:asciiTheme="majorHAnsi" w:hAnsiTheme="majorHAnsi" w:cstheme="majorHAnsi"/>
                <w:b/>
              </w:rPr>
            </w:pPr>
          </w:p>
        </w:tc>
        <w:tc>
          <w:tcPr>
            <w:tcW w:w="1887" w:type="dxa"/>
            <w:vMerge w:val="continue"/>
          </w:tcPr>
          <w:p>
            <w:pPr>
              <w:spacing w:after="0" w:line="240" w:lineRule="auto"/>
              <w:rPr>
                <w:rFonts w:eastAsia="Quattrocento Sans" w:asciiTheme="majorHAnsi" w:hAnsiTheme="majorHAnsi" w:cstheme="majorHAnsi"/>
                <w:b/>
              </w:rPr>
            </w:pPr>
          </w:p>
        </w:tc>
        <w:tc>
          <w:tcPr>
            <w:tcW w:w="2019" w:type="dxa"/>
            <w:vMerge w:val="continue"/>
          </w:tcPr>
          <w:p>
            <w:pPr>
              <w:spacing w:after="0" w:line="240" w:lineRule="auto"/>
              <w:rPr>
                <w:rFonts w:eastAsia="Quattrocento Sans" w:asciiTheme="majorHAnsi" w:hAnsiTheme="majorHAnsi" w:cstheme="majorHAnsi"/>
                <w:b/>
              </w:rPr>
            </w:pPr>
          </w:p>
        </w:tc>
        <w:tc>
          <w:tcPr>
            <w:tcW w:w="1620"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Kriteria</w:t>
            </w:r>
          </w:p>
        </w:tc>
        <w:tc>
          <w:tcPr>
            <w:tcW w:w="1660"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Indikator</w:t>
            </w:r>
          </w:p>
        </w:tc>
        <w:tc>
          <w:tcPr>
            <w:tcW w:w="1497"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Bobot</w:t>
            </w:r>
          </w:p>
        </w:tc>
        <w:tc>
          <w:tcPr>
            <w:tcW w:w="1010" w:type="dxa"/>
            <w:vMerge w:val="continue"/>
          </w:tcPr>
          <w:p>
            <w:pPr>
              <w:spacing w:after="0" w:line="240" w:lineRule="auto"/>
              <w:rPr>
                <w:rFonts w:eastAsia="Quattrocento Sans" w:asciiTheme="majorHAnsi" w:hAnsiTheme="majorHAnsi" w:cstheme="majorHAnsi"/>
                <w:b/>
              </w:rPr>
            </w:pPr>
          </w:p>
        </w:tc>
        <w:tc>
          <w:tcPr>
            <w:tcW w:w="993" w:type="dxa"/>
            <w:vMerge w:val="continue"/>
          </w:tcPr>
          <w:p>
            <w:pPr>
              <w:spacing w:after="0" w:line="240" w:lineRule="auto"/>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p>
        </w:tc>
        <w:tc>
          <w:tcPr>
            <w:tcW w:w="1885"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(2)</w:t>
            </w:r>
          </w:p>
        </w:tc>
        <w:tc>
          <w:tcPr>
            <w:tcW w:w="180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(4)</w:t>
            </w:r>
          </w:p>
        </w:tc>
        <w:tc>
          <w:tcPr>
            <w:tcW w:w="1887"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(5)</w:t>
            </w:r>
          </w:p>
        </w:tc>
        <w:tc>
          <w:tcPr>
            <w:tcW w:w="201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(6)</w:t>
            </w:r>
          </w:p>
        </w:tc>
        <w:tc>
          <w:tcPr>
            <w:tcW w:w="162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(7)</w:t>
            </w:r>
          </w:p>
        </w:tc>
        <w:tc>
          <w:tcPr>
            <w:tcW w:w="166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(8)</w:t>
            </w:r>
          </w:p>
        </w:tc>
        <w:tc>
          <w:tcPr>
            <w:tcW w:w="1497"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(9)</w:t>
            </w:r>
          </w:p>
        </w:tc>
        <w:tc>
          <w:tcPr>
            <w:tcW w:w="101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w:t>
            </w:r>
          </w:p>
        </w:tc>
        <w:tc>
          <w:tcPr>
            <w:tcW w:w="993"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3063"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rPr>
                <w:rFonts w:eastAsia="Quattrocento Sans" w:asciiTheme="majorHAnsi" w:hAnsiTheme="majorHAnsi" w:cstheme="majorHAnsi"/>
                <w:bCs/>
                <w:sz w:val="16"/>
                <w:szCs w:val="16"/>
              </w:rPr>
            </w:pPr>
            <w:r>
              <w:rPr>
                <w:rFonts w:eastAsia="Quattrocento Sans" w:asciiTheme="majorHAnsi" w:hAnsiTheme="majorHAnsi" w:cstheme="majorHAnsi"/>
                <w:bCs/>
                <w:sz w:val="16"/>
                <w:szCs w:val="16"/>
              </w:rPr>
              <w:t xml:space="preserve">*Bentuk pembelajaran terdiri dari: kuliah, responsi, tutorial, seminar, praktikum, penelitian, pegabdian masyarakat, dll </w:t>
            </w:r>
            <w:r>
              <w:rPr>
                <w:rFonts w:eastAsia="Quattrocento Sans" w:asciiTheme="majorHAnsi" w:hAnsiTheme="majorHAnsi" w:cstheme="majorHAnsi"/>
                <w:bCs/>
                <w:sz w:val="16"/>
                <w:szCs w:val="16"/>
              </w:rPr>
              <w:br w:type="textWrapping"/>
            </w:r>
            <w:r>
              <w:rPr>
                <w:rFonts w:eastAsia="Quattrocento Sans" w:asciiTheme="majorHAnsi" w:hAnsiTheme="majorHAnsi" w:cstheme="majorHAnsi"/>
                <w:bCs/>
                <w:sz w:val="16"/>
                <w:szCs w:val="16"/>
              </w:rPr>
              <w:t>**Metode pembelajaran terdiri dari: diskusi kelompok, simulasi, studi kasus, pembelajaran kolaboratif, pembelajaran kooperatif, pembelajaran berbasis proyek, pembelajaran berbasis masalah, dll.</w:t>
            </w:r>
          </w:p>
        </w:tc>
        <w:tc>
          <w:tcPr>
            <w:tcW w:w="2019" w:type="dxa"/>
            <w:vAlign w:val="center"/>
          </w:tcPr>
          <w:p>
            <w:pPr>
              <w:spacing w:after="0" w:line="240" w:lineRule="auto"/>
              <w:rPr>
                <w:rFonts w:eastAsia="Quattrocento Sans" w:asciiTheme="majorHAnsi" w:hAnsiTheme="majorHAnsi" w:cstheme="majorHAnsi"/>
                <w:bCs/>
                <w:sz w:val="16"/>
                <w:szCs w:val="16"/>
              </w:rPr>
            </w:pPr>
            <w:r>
              <w:rPr>
                <w:rFonts w:eastAsia="Quattrocento Sans" w:asciiTheme="majorHAnsi" w:hAnsiTheme="majorHAnsi" w:cstheme="majorHAnsi"/>
                <w:bCs/>
                <w:sz w:val="16"/>
                <w:szCs w:val="16"/>
              </w:rPr>
              <w:t>*Kegiatan yang dilakukan dalam proses penilaian, seperti tugas dan presentasi atau cara-cara lainnya.</w:t>
            </w:r>
          </w:p>
        </w:tc>
        <w:tc>
          <w:tcPr>
            <w:tcW w:w="1620" w:type="dxa"/>
            <w:vAlign w:val="center"/>
          </w:tcPr>
          <w:p>
            <w:pPr>
              <w:spacing w:after="0" w:line="240" w:lineRule="auto"/>
              <w:rPr>
                <w:rFonts w:eastAsia="Quattrocento Sans" w:asciiTheme="majorHAnsi" w:hAnsiTheme="majorHAnsi" w:cstheme="majorHAnsi"/>
                <w:b/>
              </w:rPr>
            </w:pPr>
            <w:r>
              <w:rPr>
                <w:rFonts w:eastAsia="Quattrocento Sans" w:asciiTheme="majorHAnsi" w:hAnsiTheme="majorHAnsi" w:cstheme="majorHAnsi"/>
                <w:bCs/>
                <w:sz w:val="16"/>
                <w:szCs w:val="16"/>
              </w:rPr>
              <w:t>*standar keberhasilan mahasiswa dalam sebuah tahapan pembelajaran</w:t>
            </w:r>
          </w:p>
        </w:tc>
        <w:tc>
          <w:tcPr>
            <w:tcW w:w="1660" w:type="dxa"/>
            <w:vAlign w:val="center"/>
          </w:tcPr>
          <w:p>
            <w:pPr>
              <w:spacing w:after="0" w:line="240" w:lineRule="auto"/>
              <w:rPr>
                <w:rFonts w:eastAsia="Quattrocento Sans" w:asciiTheme="majorHAnsi" w:hAnsiTheme="majorHAnsi" w:cstheme="majorHAnsi"/>
                <w:b/>
              </w:rPr>
            </w:pPr>
            <w:r>
              <w:rPr>
                <w:rFonts w:eastAsia="Quattrocento Sans" w:asciiTheme="majorHAnsi" w:hAnsiTheme="majorHAnsi" w:cstheme="majorHAnsi"/>
                <w:bCs/>
                <w:sz w:val="16"/>
                <w:szCs w:val="16"/>
              </w:rPr>
              <w:t>*unsur yang menunjukkan kualitas kinerja mahasiswa</w:t>
            </w:r>
          </w:p>
        </w:tc>
        <w:tc>
          <w:tcPr>
            <w:tcW w:w="1497" w:type="dxa"/>
            <w:vAlign w:val="center"/>
          </w:tcPr>
          <w:p>
            <w:pPr>
              <w:spacing w:after="0" w:line="240" w:lineRule="auto"/>
              <w:rPr>
                <w:rFonts w:eastAsia="Quattrocento Sans" w:asciiTheme="majorHAnsi" w:hAnsiTheme="majorHAnsi" w:cstheme="majorHAnsi"/>
                <w:b/>
              </w:rPr>
            </w:pPr>
            <w:r>
              <w:rPr>
                <w:rFonts w:eastAsia="Quattrocento Sans" w:asciiTheme="majorHAnsi" w:hAnsiTheme="majorHAnsi" w:cstheme="majorHAnsi"/>
                <w:bCs/>
                <w:sz w:val="16"/>
                <w:szCs w:val="16"/>
              </w:rPr>
              <w:t>*persentase penilaian keberhasilan</w:t>
            </w:r>
          </w:p>
        </w:tc>
        <w:tc>
          <w:tcPr>
            <w:tcW w:w="1010" w:type="dxa"/>
            <w:vAlign w:val="center"/>
          </w:tcPr>
          <w:p>
            <w:pPr>
              <w:spacing w:after="0" w:line="240" w:lineRule="auto"/>
              <w:rPr>
                <w:rFonts w:eastAsia="Quattrocento Sans" w:asciiTheme="majorHAnsi" w:hAnsiTheme="majorHAnsi" w:cstheme="majorHAnsi"/>
                <w:b/>
              </w:rPr>
            </w:pPr>
            <w:r>
              <w:rPr>
                <w:rFonts w:eastAsia="Quattrocento Sans" w:asciiTheme="majorHAnsi" w:hAnsiTheme="majorHAnsi" w:cstheme="majorHAnsi"/>
                <w:bCs/>
                <w:sz w:val="16"/>
                <w:szCs w:val="16"/>
              </w:rPr>
              <w:t xml:space="preserve">*waktu takaran belajar yang dikonversi ke dalam satuan sks </w:t>
            </w:r>
          </w:p>
        </w:tc>
        <w:tc>
          <w:tcPr>
            <w:tcW w:w="993"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Cs/>
                <w:sz w:val="16"/>
                <w:szCs w:val="16"/>
              </w:rPr>
              <w:t xml:space="preserve">*buku referensi/ acuan yang digunakan sebagai sumber belajar dalam pebelajaran mata kuliah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2</w:t>
            </w:r>
          </w:p>
        </w:tc>
        <w:tc>
          <w:tcPr>
            <w:tcW w:w="1885" w:type="dxa"/>
            <w:vMerge w:val="restart"/>
            <w:vAlign w:val="center"/>
          </w:tcPr>
          <w:p>
            <w:pPr>
              <w:spacing w:after="0" w:line="240" w:lineRule="auto"/>
              <w:rPr>
                <w:rFonts w:eastAsia="Quattrocento Sans" w:asciiTheme="majorHAnsi" w:hAnsiTheme="majorHAnsi" w:cstheme="majorHAnsi"/>
                <w:bCs/>
              </w:rPr>
            </w:pPr>
            <w:r>
              <w:rPr>
                <w:rFonts w:eastAsia="Quattrocento Sans" w:asciiTheme="majorHAnsi" w:hAnsiTheme="majorHAnsi" w:cstheme="majorHAnsi"/>
                <w:bCs/>
                <w:highlight w:val="yellow"/>
              </w:rPr>
              <w:t>(Contoh)</w:t>
            </w:r>
            <w:r>
              <w:rPr>
                <w:rFonts w:eastAsia="Quattrocento Sans" w:asciiTheme="majorHAnsi" w:hAnsiTheme="majorHAnsi" w:cstheme="majorHAnsi"/>
                <w:bCs/>
              </w:rPr>
              <w:br w:type="textWrapping"/>
            </w:r>
            <w:r>
              <w:rPr>
                <w:rFonts w:eastAsia="Quattrocento Sans" w:asciiTheme="majorHAnsi" w:hAnsiTheme="majorHAnsi" w:cstheme="majorHAnsi"/>
                <w:bCs/>
              </w:rPr>
              <w:t xml:space="preserve">Mahasiswa mampu menentukan sruktur kristal pada material keramik </w:t>
            </w:r>
          </w:p>
        </w:tc>
        <w:tc>
          <w:tcPr>
            <w:tcW w:w="1800" w:type="dxa"/>
            <w:vAlign w:val="center"/>
          </w:tcPr>
          <w:p>
            <w:pPr>
              <w:spacing w:after="0" w:line="240" w:lineRule="auto"/>
              <w:rPr>
                <w:rFonts w:eastAsia="Quattrocento Sans" w:asciiTheme="majorHAnsi" w:hAnsiTheme="majorHAnsi" w:cstheme="majorHAnsi"/>
                <w:bCs/>
              </w:rPr>
            </w:pPr>
            <w:r>
              <w:rPr>
                <w:rFonts w:eastAsia="Quattrocento Sans" w:asciiTheme="majorHAnsi" w:hAnsiTheme="majorHAnsi" w:cstheme="majorHAnsi"/>
                <w:bCs/>
              </w:rPr>
              <w:t>Ikatan ionik dan ikatan kovalen</w:t>
            </w:r>
          </w:p>
        </w:tc>
        <w:tc>
          <w:tcPr>
            <w:tcW w:w="1887" w:type="dxa"/>
            <w:vMerge w:val="restart"/>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Kuliah/ studi kasus</w:t>
            </w:r>
          </w:p>
        </w:tc>
        <w:tc>
          <w:tcPr>
            <w:tcW w:w="2019" w:type="dxa"/>
            <w:vMerge w:val="restart"/>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Tugas</w:t>
            </w:r>
          </w:p>
        </w:tc>
        <w:tc>
          <w:tcPr>
            <w:tcW w:w="1620" w:type="dxa"/>
            <w:vMerge w:val="restart"/>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Ketepatan dalam menjawab</w:t>
            </w:r>
          </w:p>
        </w:tc>
        <w:tc>
          <w:tcPr>
            <w:tcW w:w="1660" w:type="dxa"/>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Menguraikan perbedaan ikatan ionik dan kovalen</w:t>
            </w:r>
          </w:p>
        </w:tc>
        <w:tc>
          <w:tcPr>
            <w:tcW w:w="1497" w:type="dxa"/>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100%</w:t>
            </w:r>
          </w:p>
        </w:tc>
        <w:tc>
          <w:tcPr>
            <w:tcW w:w="1010" w:type="dxa"/>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100</w:t>
            </w:r>
          </w:p>
        </w:tc>
        <w:tc>
          <w:tcPr>
            <w:tcW w:w="993" w:type="dxa"/>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r>
              <w:rPr>
                <w:rFonts w:eastAsia="Quattrocento Sans" w:asciiTheme="majorHAnsi" w:hAnsiTheme="majorHAnsi" w:cstheme="majorHAnsi"/>
                <w:bCs/>
              </w:rPr>
              <w:br w:type="textWrapping"/>
            </w:r>
            <w:r>
              <w:rPr>
                <w:rFonts w:eastAsia="Quattrocento Sans" w:asciiTheme="majorHAnsi" w:hAnsiTheme="majorHAnsi" w:cstheme="majorHAnsi"/>
                <w:bCs/>
                <w:sz w:val="16"/>
                <w:szCs w:val="16"/>
              </w:rPr>
              <w:t>(merujuk pada pustaka nomor 1 pada halaman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3</w:t>
            </w:r>
          </w:p>
        </w:tc>
        <w:tc>
          <w:tcPr>
            <w:tcW w:w="1885" w:type="dxa"/>
            <w:vMerge w:val="continue"/>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rPr>
                <w:rFonts w:eastAsia="Quattrocento Sans" w:asciiTheme="majorHAnsi" w:hAnsiTheme="majorHAnsi" w:cstheme="majorHAnsi"/>
                <w:bCs/>
              </w:rPr>
            </w:pPr>
            <w:r>
              <w:rPr>
                <w:rFonts w:eastAsia="Quattrocento Sans" w:asciiTheme="majorHAnsi" w:hAnsiTheme="majorHAnsi" w:cstheme="majorHAnsi"/>
                <w:bCs/>
              </w:rPr>
              <w:t xml:space="preserve">Struktur kristal tipe AX, AmXp, dan AmBnXp berdasarkan </w:t>
            </w:r>
            <w:r>
              <w:rPr>
                <w:rFonts w:eastAsia="Quattrocento Sans" w:asciiTheme="majorHAnsi" w:hAnsiTheme="majorHAnsi" w:cstheme="majorHAnsi"/>
                <w:bCs/>
              </w:rPr>
              <w:br w:type="textWrapping"/>
            </w:r>
            <w:r>
              <w:rPr>
                <w:rFonts w:eastAsia="Quattrocento Sans" w:asciiTheme="majorHAnsi" w:hAnsiTheme="majorHAnsi" w:cstheme="majorHAnsi"/>
                <w:bCs/>
              </w:rPr>
              <w:t>perhitungan r</w:t>
            </w:r>
            <w:r>
              <w:rPr>
                <w:rFonts w:eastAsia="Quattrocento Sans" w:asciiTheme="majorHAnsi" w:hAnsiTheme="majorHAnsi" w:cstheme="majorHAnsi"/>
                <w:bCs/>
                <w:vertAlign w:val="subscript"/>
              </w:rPr>
              <w:t>c</w:t>
            </w:r>
            <w:r>
              <w:rPr>
                <w:rFonts w:eastAsia="Quattrocento Sans" w:asciiTheme="majorHAnsi" w:hAnsiTheme="majorHAnsi" w:cstheme="majorHAnsi"/>
                <w:bCs/>
              </w:rPr>
              <w:t>/r</w:t>
            </w:r>
            <w:r>
              <w:rPr>
                <w:rFonts w:eastAsia="Quattrocento Sans" w:asciiTheme="majorHAnsi" w:hAnsiTheme="majorHAnsi" w:cstheme="majorHAnsi"/>
                <w:bCs/>
                <w:vertAlign w:val="subscript"/>
              </w:rPr>
              <w:t>a</w:t>
            </w:r>
          </w:p>
        </w:tc>
        <w:tc>
          <w:tcPr>
            <w:tcW w:w="1887" w:type="dxa"/>
            <w:vMerge w:val="continue"/>
            <w:vAlign w:val="center"/>
          </w:tcPr>
          <w:p>
            <w:pPr>
              <w:spacing w:after="0" w:line="240" w:lineRule="auto"/>
              <w:jc w:val="center"/>
              <w:rPr>
                <w:rFonts w:eastAsia="Quattrocento Sans" w:asciiTheme="majorHAnsi" w:hAnsiTheme="majorHAnsi" w:cstheme="majorHAnsi"/>
                <w:b/>
              </w:rPr>
            </w:pPr>
          </w:p>
        </w:tc>
        <w:tc>
          <w:tcPr>
            <w:tcW w:w="2019" w:type="dxa"/>
            <w:vMerge w:val="continue"/>
            <w:vAlign w:val="center"/>
          </w:tcPr>
          <w:p>
            <w:pPr>
              <w:spacing w:after="0" w:line="240" w:lineRule="auto"/>
              <w:jc w:val="center"/>
              <w:rPr>
                <w:rFonts w:eastAsia="Quattrocento Sans" w:asciiTheme="majorHAnsi" w:hAnsiTheme="majorHAnsi" w:cstheme="majorHAnsi"/>
                <w:b/>
              </w:rPr>
            </w:pPr>
          </w:p>
        </w:tc>
        <w:tc>
          <w:tcPr>
            <w:tcW w:w="1620" w:type="dxa"/>
            <w:vMerge w:val="continue"/>
            <w:vAlign w:val="center"/>
          </w:tcPr>
          <w:p>
            <w:pPr>
              <w:spacing w:after="0" w:line="240" w:lineRule="auto"/>
              <w:jc w:val="center"/>
              <w:rPr>
                <w:rFonts w:eastAsia="Quattrocento Sans" w:asciiTheme="majorHAnsi" w:hAnsiTheme="majorHAnsi" w:cstheme="majorHAnsi"/>
                <w:bCs/>
              </w:rPr>
            </w:pPr>
          </w:p>
        </w:tc>
        <w:tc>
          <w:tcPr>
            <w:tcW w:w="1660" w:type="dxa"/>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Menentukan struktur kristal yang tepat sesuai dengan perbandingan r</w:t>
            </w:r>
            <w:r>
              <w:rPr>
                <w:rFonts w:eastAsia="Quattrocento Sans" w:asciiTheme="majorHAnsi" w:hAnsiTheme="majorHAnsi" w:cstheme="majorHAnsi"/>
                <w:bCs/>
                <w:vertAlign w:val="subscript"/>
              </w:rPr>
              <w:t>c</w:t>
            </w:r>
            <w:r>
              <w:rPr>
                <w:rFonts w:eastAsia="Quattrocento Sans" w:asciiTheme="majorHAnsi" w:hAnsiTheme="majorHAnsi" w:cstheme="majorHAnsi"/>
                <w:bCs/>
              </w:rPr>
              <w:t>/r</w:t>
            </w:r>
            <w:r>
              <w:rPr>
                <w:rFonts w:eastAsia="Quattrocento Sans" w:asciiTheme="majorHAnsi" w:hAnsiTheme="majorHAnsi" w:cstheme="majorHAnsi"/>
                <w:bCs/>
                <w:vertAlign w:val="subscript"/>
              </w:rPr>
              <w:t>a</w:t>
            </w:r>
            <w:r>
              <w:rPr>
                <w:rFonts w:eastAsia="Quattrocento Sans" w:asciiTheme="majorHAnsi" w:hAnsiTheme="majorHAnsi" w:cstheme="majorHAnsi"/>
                <w:bCs/>
              </w:rPr>
              <w:t xml:space="preserve"> </w:t>
            </w:r>
          </w:p>
        </w:tc>
        <w:tc>
          <w:tcPr>
            <w:tcW w:w="1497" w:type="dxa"/>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100%</w:t>
            </w:r>
          </w:p>
        </w:tc>
        <w:tc>
          <w:tcPr>
            <w:tcW w:w="1010" w:type="dxa"/>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100</w:t>
            </w:r>
          </w:p>
        </w:tc>
        <w:tc>
          <w:tcPr>
            <w:tcW w:w="993" w:type="dxa"/>
            <w:vAlign w:val="center"/>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1</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2</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3</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4</w:t>
            </w:r>
            <w:bookmarkStart w:id="0" w:name="_GoBack"/>
            <w:bookmarkEnd w:id="0"/>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9" w:type="dxa"/>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8</w:t>
            </w:r>
          </w:p>
        </w:tc>
        <w:tc>
          <w:tcPr>
            <w:tcW w:w="14388"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9</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10</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11</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12</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13</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14</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15</w:t>
            </w:r>
          </w:p>
        </w:tc>
        <w:tc>
          <w:tcPr>
            <w:tcW w:w="1885" w:type="dxa"/>
            <w:vAlign w:val="center"/>
          </w:tcPr>
          <w:p>
            <w:pPr>
              <w:spacing w:after="0" w:line="240" w:lineRule="auto"/>
              <w:jc w:val="center"/>
              <w:rPr>
                <w:rFonts w:eastAsia="Quattrocento Sans" w:asciiTheme="majorHAnsi" w:hAnsiTheme="majorHAnsi" w:cstheme="majorHAnsi"/>
                <w:b w:val="0"/>
                <w:bCs/>
              </w:rPr>
            </w:pPr>
          </w:p>
        </w:tc>
        <w:tc>
          <w:tcPr>
            <w:tcW w:w="1800" w:type="dxa"/>
            <w:vAlign w:val="center"/>
          </w:tcPr>
          <w:p>
            <w:pPr>
              <w:spacing w:after="0" w:line="240" w:lineRule="auto"/>
              <w:jc w:val="center"/>
              <w:rPr>
                <w:rFonts w:eastAsia="Quattrocento Sans" w:asciiTheme="majorHAnsi" w:hAnsiTheme="majorHAnsi" w:cstheme="majorHAnsi"/>
                <w:b w:val="0"/>
                <w:bCs/>
              </w:rPr>
            </w:pPr>
          </w:p>
        </w:tc>
        <w:tc>
          <w:tcPr>
            <w:tcW w:w="1887" w:type="dxa"/>
            <w:vAlign w:val="center"/>
          </w:tcPr>
          <w:p>
            <w:pPr>
              <w:spacing w:after="0" w:line="240" w:lineRule="auto"/>
              <w:jc w:val="center"/>
              <w:rPr>
                <w:rFonts w:eastAsia="Quattrocento Sans" w:asciiTheme="majorHAnsi" w:hAnsiTheme="majorHAnsi" w:cstheme="majorHAnsi"/>
                <w:b w:val="0"/>
                <w:bCs/>
              </w:rPr>
            </w:pPr>
          </w:p>
        </w:tc>
        <w:tc>
          <w:tcPr>
            <w:tcW w:w="2019" w:type="dxa"/>
            <w:vAlign w:val="center"/>
          </w:tcPr>
          <w:p>
            <w:pPr>
              <w:spacing w:after="0" w:line="240" w:lineRule="auto"/>
              <w:jc w:val="center"/>
              <w:rPr>
                <w:rFonts w:eastAsia="Quattrocento Sans" w:asciiTheme="majorHAnsi" w:hAnsiTheme="majorHAnsi" w:cstheme="majorHAnsi"/>
                <w:b w:val="0"/>
                <w:bCs/>
              </w:rPr>
            </w:pPr>
          </w:p>
        </w:tc>
        <w:tc>
          <w:tcPr>
            <w:tcW w:w="1620" w:type="dxa"/>
            <w:vAlign w:val="center"/>
          </w:tcPr>
          <w:p>
            <w:pPr>
              <w:spacing w:after="0" w:line="240" w:lineRule="auto"/>
              <w:jc w:val="center"/>
              <w:rPr>
                <w:rFonts w:eastAsia="Quattrocento Sans" w:asciiTheme="majorHAnsi" w:hAnsiTheme="majorHAnsi" w:cstheme="majorHAnsi"/>
                <w:b w:val="0"/>
                <w:bCs/>
              </w:rPr>
            </w:pPr>
          </w:p>
        </w:tc>
        <w:tc>
          <w:tcPr>
            <w:tcW w:w="1660" w:type="dxa"/>
            <w:vAlign w:val="center"/>
          </w:tcPr>
          <w:p>
            <w:pPr>
              <w:spacing w:after="0" w:line="240" w:lineRule="auto"/>
              <w:jc w:val="center"/>
              <w:rPr>
                <w:rFonts w:eastAsia="Quattrocento Sans" w:asciiTheme="majorHAnsi" w:hAnsiTheme="majorHAnsi" w:cstheme="majorHAnsi"/>
                <w:b w:val="0"/>
                <w:bCs/>
              </w:rPr>
            </w:pPr>
          </w:p>
        </w:tc>
        <w:tc>
          <w:tcPr>
            <w:tcW w:w="1497" w:type="dxa"/>
            <w:vAlign w:val="center"/>
          </w:tcPr>
          <w:p>
            <w:pPr>
              <w:spacing w:after="0" w:line="240" w:lineRule="auto"/>
              <w:jc w:val="center"/>
              <w:rPr>
                <w:rFonts w:eastAsia="Quattrocento Sans" w:asciiTheme="majorHAnsi" w:hAnsiTheme="majorHAnsi" w:cstheme="majorHAnsi"/>
                <w:b w:val="0"/>
                <w:bCs/>
              </w:rPr>
            </w:pPr>
          </w:p>
        </w:tc>
        <w:tc>
          <w:tcPr>
            <w:tcW w:w="1010" w:type="dxa"/>
            <w:vAlign w:val="center"/>
          </w:tcPr>
          <w:p>
            <w:pPr>
              <w:spacing w:after="0" w:line="240" w:lineRule="auto"/>
              <w:jc w:val="center"/>
              <w:rPr>
                <w:rFonts w:eastAsia="Quattrocento Sans" w:asciiTheme="majorHAnsi" w:hAnsiTheme="majorHAnsi" w:cstheme="majorHAnsi"/>
                <w:b w:val="0"/>
                <w:bCs/>
              </w:rPr>
            </w:pPr>
          </w:p>
        </w:tc>
        <w:tc>
          <w:tcPr>
            <w:tcW w:w="993" w:type="dxa"/>
            <w:vAlign w:val="center"/>
          </w:tcPr>
          <w:p>
            <w:pPr>
              <w:spacing w:after="0" w:line="240" w:lineRule="auto"/>
              <w:jc w:val="center"/>
              <w:rPr>
                <w:rFonts w:eastAsia="Quattrocento Sans" w:asciiTheme="majorHAnsi" w:hAnsiTheme="majorHAnsi" w:cstheme="majorHAnsi"/>
                <w:b w:val="0"/>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9" w:type="dxa"/>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16</w:t>
            </w:r>
          </w:p>
        </w:tc>
        <w:tc>
          <w:tcPr>
            <w:tcW w:w="14388"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6"/>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Tugas Besar</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40%</w:t>
      </w:r>
    </w:p>
    <w:p>
      <w:pPr>
        <w:numPr>
          <w:ilvl w:val="0"/>
          <w:numId w:val="6"/>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 xml:space="preserve">Quiz </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10%</w:t>
      </w:r>
    </w:p>
    <w:p>
      <w:pPr>
        <w:numPr>
          <w:ilvl w:val="0"/>
          <w:numId w:val="6"/>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25%</w:t>
      </w:r>
    </w:p>
    <w:p>
      <w:pPr>
        <w:numPr>
          <w:ilvl w:val="0"/>
          <w:numId w:val="6"/>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Tugas Harian 25%</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8"/>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b/>
              <w:color w:val="FF0000"/>
              <w:sz w:val="24"/>
              <w:szCs w:val="24"/>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18</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6E3E93"/>
    <w:multiLevelType w:val="singleLevel"/>
    <w:tmpl w:val="AF6E3E93"/>
    <w:lvl w:ilvl="0" w:tentative="0">
      <w:start w:val="1"/>
      <w:numFmt w:val="decimal"/>
      <w:lvlText w:val="%1."/>
      <w:lvlJc w:val="left"/>
      <w:pPr>
        <w:tabs>
          <w:tab w:val="left" w:pos="425"/>
        </w:tabs>
        <w:ind w:left="425" w:leftChars="0" w:hanging="425" w:firstLineChars="0"/>
      </w:pPr>
      <w:rPr>
        <w:rFonts w:hint="default"/>
      </w:rPr>
    </w:lvl>
  </w:abstractNum>
  <w:abstractNum w:abstractNumId="1">
    <w:nsid w:val="B9FEB075"/>
    <w:multiLevelType w:val="singleLevel"/>
    <w:tmpl w:val="B9FEB075"/>
    <w:lvl w:ilvl="0" w:tentative="0">
      <w:start w:val="1"/>
      <w:numFmt w:val="decimal"/>
      <w:lvlText w:val="%1."/>
      <w:lvlJc w:val="left"/>
      <w:pPr>
        <w:tabs>
          <w:tab w:val="left" w:pos="425"/>
        </w:tabs>
        <w:ind w:left="425" w:leftChars="0" w:hanging="425" w:firstLineChars="0"/>
      </w:pPr>
      <w:rPr>
        <w:rFonts w:hint="default"/>
      </w:rPr>
    </w:lvl>
  </w:abstractNum>
  <w:abstractNum w:abstractNumId="2">
    <w:nsid w:val="BFBC5B58"/>
    <w:multiLevelType w:val="multilevel"/>
    <w:tmpl w:val="BFBC5B5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DCB2DE94"/>
    <w:multiLevelType w:val="singleLevel"/>
    <w:tmpl w:val="DCB2DE94"/>
    <w:lvl w:ilvl="0" w:tentative="0">
      <w:start w:val="1"/>
      <w:numFmt w:val="decimal"/>
      <w:lvlText w:val="%1."/>
      <w:lvlJc w:val="left"/>
      <w:pPr>
        <w:tabs>
          <w:tab w:val="left" w:pos="425"/>
        </w:tabs>
        <w:ind w:left="425" w:leftChars="0" w:hanging="425" w:firstLineChars="0"/>
      </w:pPr>
      <w:rPr>
        <w:rFonts w:hint="default"/>
      </w:rPr>
    </w:lvl>
  </w:abstractNum>
  <w:abstractNum w:abstractNumId="4">
    <w:nsid w:val="FFFE2B78"/>
    <w:multiLevelType w:val="multilevel"/>
    <w:tmpl w:val="FFFE2B7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5">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145952E6"/>
    <w:rsid w:val="1B7FDEE6"/>
    <w:rsid w:val="24D47657"/>
    <w:rsid w:val="33FBC13B"/>
    <w:rsid w:val="34FF4E0F"/>
    <w:rsid w:val="37ED2940"/>
    <w:rsid w:val="37EEF65B"/>
    <w:rsid w:val="37F55D91"/>
    <w:rsid w:val="4FAF1E45"/>
    <w:rsid w:val="5BB7F92E"/>
    <w:rsid w:val="5FFFF8CF"/>
    <w:rsid w:val="6B772245"/>
    <w:rsid w:val="6EEA21E0"/>
    <w:rsid w:val="77EED41E"/>
    <w:rsid w:val="7BE59DAF"/>
    <w:rsid w:val="7D5FD6E6"/>
    <w:rsid w:val="7D79F444"/>
    <w:rsid w:val="7F7DFC1F"/>
    <w:rsid w:val="7F7F24A3"/>
    <w:rsid w:val="7FD370B4"/>
    <w:rsid w:val="7FDE135D"/>
    <w:rsid w:val="AEFF8784"/>
    <w:rsid w:val="AF6CD7FF"/>
    <w:rsid w:val="B32DB69C"/>
    <w:rsid w:val="B3FE5AB0"/>
    <w:rsid w:val="D5FD572E"/>
    <w:rsid w:val="F36FBB28"/>
    <w:rsid w:val="F7AFDF95"/>
    <w:rsid w:val="FCFF95AC"/>
    <w:rsid w:val="FEFB1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nhideWhenUsed/>
    <w:uiPriority w:val="99"/>
    <w:pPr>
      <w:tabs>
        <w:tab w:val="center" w:pos="4680"/>
        <w:tab w:val="right" w:pos="9360"/>
      </w:tabs>
      <w:spacing w:after="0" w:line="240" w:lineRule="auto"/>
    </w:pPr>
  </w:style>
  <w:style w:type="paragraph" w:styleId="11">
    <w:name w:val="header"/>
    <w:basedOn w:val="1"/>
    <w:link w:val="19"/>
    <w:unhideWhenUsed/>
    <w:uiPriority w:val="99"/>
    <w:pPr>
      <w:tabs>
        <w:tab w:val="center" w:pos="4680"/>
        <w:tab w:val="right" w:pos="9360"/>
      </w:tabs>
      <w:spacing w:after="0" w:line="240" w:lineRule="auto"/>
    </w:pPr>
  </w:style>
  <w:style w:type="character" w:styleId="12">
    <w:name w:val="Hyperlink"/>
    <w:basedOn w:val="8"/>
    <w:semiHidden/>
    <w:unhideWhenUsed/>
    <w:uiPriority w:val="99"/>
    <w:rPr>
      <w:color w:val="0000FF"/>
      <w:u w:val="single"/>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table" w:customStyle="1" w:styleId="16">
    <w:name w:val="_Style 11"/>
    <w:basedOn w:val="9"/>
    <w:uiPriority w:val="0"/>
    <w:tblPr>
      <w:tblCellMar>
        <w:left w:w="115" w:type="dxa"/>
        <w:right w:w="115" w:type="dxa"/>
      </w:tblCellMar>
    </w:tblPr>
  </w:style>
  <w:style w:type="table" w:customStyle="1" w:styleId="17">
    <w:name w:val="_Style 12"/>
    <w:basedOn w:val="9"/>
    <w:uiPriority w:val="0"/>
    <w:pPr>
      <w:spacing w:after="0" w:line="240" w:lineRule="auto"/>
    </w:pPr>
  </w:style>
  <w:style w:type="table" w:customStyle="1" w:styleId="18">
    <w:name w:val="_Style 13"/>
    <w:basedOn w:val="9"/>
    <w:uiPriority w:val="0"/>
    <w:tblPr>
      <w:tblCellMar>
        <w:left w:w="115" w:type="dxa"/>
        <w:right w:w="115" w:type="dxa"/>
      </w:tblCellMar>
    </w:tblPr>
  </w:style>
  <w:style w:type="character" w:customStyle="1" w:styleId="19">
    <w:name w:val="Header Char"/>
    <w:basedOn w:val="8"/>
    <w:link w:val="11"/>
    <w:uiPriority w:val="99"/>
  </w:style>
  <w:style w:type="character" w:customStyle="1" w:styleId="20">
    <w:name w:val="Footer Char"/>
    <w:basedOn w:val="8"/>
    <w:link w:val="10"/>
    <w:uiPriority w:val="99"/>
  </w:style>
  <w:style w:type="paragraph" w:styleId="21">
    <w:name w:val="List Paragraph"/>
    <w:basedOn w:val="1"/>
    <w:qFormat/>
    <w:uiPriority w:val="34"/>
    <w:pPr>
      <w:ind w:left="720"/>
      <w:contextualSpacing/>
    </w:pPr>
  </w:style>
  <w:style w:type="table" w:customStyle="1" w:styleId="22">
    <w:name w:val="_Style 29"/>
    <w:basedOn w:val="23"/>
    <w:uiPriority w:val="0"/>
    <w:pPr>
      <w:spacing w:after="0" w:line="240" w:lineRule="auto"/>
    </w:pPr>
    <w:tblPr>
      <w:tblCellMar>
        <w:top w:w="0" w:type="dxa"/>
        <w:left w:w="115" w:type="dxa"/>
        <w:bottom w:w="0" w:type="dxa"/>
        <w:right w:w="115" w:type="dxa"/>
      </w:tblCellMar>
    </w:tblPr>
  </w:style>
  <w:style w:type="table" w:customStyle="1" w:styleId="2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16</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2020-03-10T10:01:00Z</dcterms:created>
  <dc:creator>GUSTI UNT</dc:creator>
  <cp:lastModifiedBy>fafaa</cp:lastModifiedBy>
  <dcterms:modified xsi:type="dcterms:W3CDTF">2021-02-15T10:27:37Z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