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355"/>
        <w:gridCol w:w="5490"/>
        <w:tblGridChange w:id="0">
          <w:tblGrid>
            <w:gridCol w:w="2875"/>
            <w:gridCol w:w="1355"/>
            <w:gridCol w:w="5490"/>
          </w:tblGrid>
        </w:tblGridChange>
      </w:tblGrid>
      <w:tr>
        <w:tc>
          <w:tcPr>
            <w:gridSpan w:val="2"/>
            <w:vMerge w:val="restart"/>
            <w:vAlign w:val="center"/>
          </w:tcPr>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w:t>
            </w:r>
          </w:p>
        </w:tc>
        <w:tc>
          <w:tcPr/>
          <w:p w:rsidR="00000000" w:rsidDel="00000000" w:rsidP="00000000" w:rsidRDefault="00000000" w:rsidRPr="00000000" w14:paraId="00000004">
            <w:pPr>
              <w:pStyle w:val="Heading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TE20141</w:t>
            </w:r>
            <w:r w:rsidDel="00000000" w:rsidR="00000000" w:rsidRPr="00000000">
              <w:rPr>
                <w:sz w:val="22"/>
                <w:szCs w:val="22"/>
                <w:rtl w:val="0"/>
              </w:rPr>
              <w:t xml:space="preserve">4</w:t>
            </w:r>
            <w:r w:rsidDel="00000000" w:rsidR="00000000" w:rsidRPr="00000000">
              <w:rPr>
                <w:rFonts w:ascii="Calibri" w:cs="Calibri" w:eastAsia="Calibri" w:hAnsi="Calibri"/>
                <w:sz w:val="22"/>
                <w:szCs w:val="22"/>
                <w:rtl w:val="0"/>
              </w:rPr>
              <w:t xml:space="preserve"> : RANGKAIAN ELEKTRONIKA II</w:t>
            </w:r>
          </w:p>
        </w:tc>
      </w:tr>
      <w:tr>
        <w:tc>
          <w:tcPr>
            <w:gridSpan w:val="2"/>
            <w:vMerge w:val="continue"/>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7">
            <w:pPr>
              <w:ind w:left="340" w:firstLine="0"/>
              <w:jc w:val="both"/>
              <w:rPr>
                <w:rFonts w:ascii="Calibri" w:cs="Calibri" w:eastAsia="Calibri" w:hAnsi="Calibri"/>
                <w:sz w:val="22"/>
                <w:szCs w:val="22"/>
              </w:rPr>
            </w:pPr>
            <w:r w:rsidDel="00000000" w:rsidR="00000000" w:rsidRPr="00000000">
              <w:rPr>
                <w:sz w:val="22"/>
                <w:szCs w:val="22"/>
                <w:rtl w:val="0"/>
              </w:rPr>
              <w:t xml:space="preserve">SEMESTER 4 </w:t>
            </w:r>
            <w:r w:rsidDel="00000000" w:rsidR="00000000" w:rsidRPr="00000000">
              <w:rPr>
                <w:rFonts w:ascii="Calibri" w:cs="Calibri" w:eastAsia="Calibri" w:hAnsi="Calibri"/>
                <w:sz w:val="22"/>
                <w:szCs w:val="22"/>
                <w:rtl w:val="0"/>
              </w:rPr>
              <w:t xml:space="preserve"> / 3 SKS</w:t>
            </w:r>
          </w:p>
        </w:tc>
      </w:tr>
      <w:tr>
        <w:tc>
          <w:tcPr>
            <w:gridSpan w:val="3"/>
            <w:shd w:fill="b7dde8" w:val="clear"/>
          </w:tcPr>
          <w:p w:rsidR="00000000" w:rsidDel="00000000" w:rsidP="00000000" w:rsidRDefault="00000000" w:rsidRPr="00000000" w14:paraId="0000000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Mata Kuliah</w:t>
            </w:r>
          </w:p>
        </w:tc>
      </w:tr>
      <w:tr>
        <w:tc>
          <w:tcPr>
            <w:gridSpan w:val="3"/>
          </w:tcPr>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Mata kuliah lanjutan rangkaian elektronika I adalah </w:t>
            </w:r>
            <w:r w:rsidDel="00000000" w:rsidR="00000000" w:rsidRPr="00000000">
              <w:rPr>
                <w:rFonts w:ascii="Calibri" w:cs="Calibri" w:eastAsia="Calibri" w:hAnsi="Calibri"/>
                <w:i w:val="1"/>
                <w:sz w:val="22"/>
                <w:szCs w:val="22"/>
                <w:rtl w:val="0"/>
              </w:rPr>
              <w:t xml:space="preserve">advance electronics</w:t>
            </w:r>
            <w:r w:rsidDel="00000000" w:rsidR="00000000" w:rsidRPr="00000000">
              <w:rPr>
                <w:rFonts w:ascii="Calibri" w:cs="Calibri" w:eastAsia="Calibri" w:hAnsi="Calibri"/>
                <w:sz w:val="22"/>
                <w:szCs w:val="22"/>
                <w:rtl w:val="0"/>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sidDel="00000000" w:rsidR="00000000" w:rsidRPr="00000000">
              <w:rPr>
                <w:rFonts w:ascii="Calibri" w:cs="Calibri" w:eastAsia="Calibri" w:hAnsi="Calibri"/>
                <w:i w:val="1"/>
                <w:color w:val="000000"/>
                <w:sz w:val="22"/>
                <w:szCs w:val="22"/>
                <w:rtl w:val="0"/>
              </w:rPr>
              <w:t xml:space="preserve">discrete‐device amplifier concepts</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i w:val="1"/>
                <w:color w:val="000000"/>
                <w:sz w:val="22"/>
                <w:szCs w:val="22"/>
                <w:rtl w:val="0"/>
              </w:rPr>
              <w:t xml:space="preserve"> design and operation</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sidDel="00000000" w:rsidR="00000000" w:rsidRPr="00000000">
              <w:rPr>
                <w:rFonts w:ascii="Calibri" w:cs="Calibri" w:eastAsia="Calibri" w:hAnsi="Calibri"/>
                <w:i w:val="1"/>
                <w:color w:val="000000"/>
                <w:sz w:val="22"/>
                <w:szCs w:val="22"/>
                <w:rtl w:val="0"/>
              </w:rPr>
              <w:t xml:space="preserve">display</w:t>
            </w:r>
            <w:r w:rsidDel="00000000" w:rsidR="00000000" w:rsidRPr="00000000">
              <w:rPr>
                <w:rFonts w:ascii="Calibri" w:cs="Calibri" w:eastAsia="Calibri" w:hAnsi="Calibri"/>
                <w:color w:val="000000"/>
                <w:sz w:val="22"/>
                <w:szCs w:val="22"/>
                <w:rtl w:val="0"/>
              </w:rPr>
              <w:t xml:space="preserve">) agar dapat dimengerti oleh manusia.</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Capaian Pembelajaran Lulusan (CPL) yang dibebankan pada mata kuliah</w:t>
            </w:r>
          </w:p>
        </w:tc>
      </w:tr>
      <w:tr>
        <w:tc>
          <w:tcPr/>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4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Pr>
          <w:p w:rsidR="00000000" w:rsidDel="00000000" w:rsidP="00000000" w:rsidRDefault="00000000" w:rsidRPr="00000000" w14:paraId="00000013">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S.8     Menginternalisasi nilai, norma, dan etika akademik;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S.9  Menunjukkan sikap bertanggungjawab atas pekerjaan di bidang keahliannya secara mandiri;</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r>
      <w:tr>
        <w:tc>
          <w:tcPr/>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4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KU.1</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 Mampu menerapkan pemikiran logis, kritis, sistematis, dan 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KU.2  Mampu menunjukkan kinerja mandiri, bermutu, dan terukur;</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r>
      <w:tr>
        <w:tc>
          <w:tcPr/>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4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540" w:hanging="540"/>
              <w:rPr>
                <w:sz w:val="22"/>
                <w:szCs w:val="22"/>
              </w:rPr>
            </w:pPr>
            <w:r w:rsidDel="00000000" w:rsidR="00000000" w:rsidRPr="00000000">
              <w:rPr>
                <w:rFonts w:ascii="Calibri" w:cs="Calibri" w:eastAsia="Calibri" w:hAnsi="Calibri"/>
                <w:color w:val="000000"/>
                <w:sz w:val="22"/>
                <w:szCs w:val="22"/>
                <w:rtl w:val="0"/>
              </w:rPr>
              <w:t xml:space="preserve">P.2 </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Menguasai pengetahuan inti bidang teknik elektro termasuk rangkaian elektrik, sistem dan sinyal, sistem digital, elektromagnetik, dan elektronika;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540" w:hanging="540"/>
              <w:rPr>
                <w:sz w:val="22"/>
                <w:szCs w:val="22"/>
              </w:rPr>
            </w:pPr>
            <w:r w:rsidDel="00000000" w:rsidR="00000000" w:rsidRPr="00000000">
              <w:rPr>
                <w:rFonts w:ascii="Calibri" w:cs="Calibri" w:eastAsia="Calibri" w:hAnsi="Calibri"/>
                <w:color w:val="000000"/>
                <w:sz w:val="22"/>
                <w:szCs w:val="22"/>
                <w:rtl w:val="0"/>
              </w:rPr>
              <w:t xml:space="preserve">P.3      Menguasai konsep dasar sistem tenaga, sistem pengaturan, elektronika, telekomunikasi dan sistem komputer;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P.4   Menguasai dasar teknik komputasi dan teknologi informasi dalam bidang sistem tenaga, sistem pengaturan, elektronika, telekomunikasi, dan sistem komputer;</w:t>
              <w:br w:type="textWrapping"/>
            </w:r>
          </w:p>
        </w:tc>
      </w:tr>
      <w:tr>
        <w:tc>
          <w:tcPr/>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4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Pr>
          <w:p w:rsidR="00000000" w:rsidDel="00000000" w:rsidP="00000000" w:rsidRDefault="00000000" w:rsidRPr="00000000" w14:paraId="00000022">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sz w:val="22"/>
                <w:szCs w:val="22"/>
                <w:rtl w:val="0"/>
              </w:rPr>
              <w:t xml:space="preserve">KK.2 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KK.4 Kemampuan memanfaatkan perangkat analisis berbasis teknologi informasi dan komputasi yang sesuai untuk aktivitas teknik pada bidang sistem tenaga, sistem pengaturan, elektronika, telekomunikasi dan sistem komputer;</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2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Mata Kuliah (CPMK)</w:t>
            </w:r>
          </w:p>
        </w:tc>
      </w:tr>
      <w:tr>
        <w:tc>
          <w:tcPr>
            <w:gridSpan w:val="3"/>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Mahasiswa mampu merancang rangkaian penguat dari peralatan elektronika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2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w:t>
            </w:r>
          </w:p>
        </w:tc>
      </w:tr>
      <w:tr>
        <w:tc>
          <w:tcPr>
            <w:gridSpan w:val="3"/>
          </w:tcPr>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45"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Discrete‐Device Amplifier Concepts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Design and Operation</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45"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Penguat operasional ideal</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45"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Penguat operasional differensial</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45"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Perancangan rangkaian pengondisi sinyal</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3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Prasyarat</w:t>
            </w:r>
          </w:p>
        </w:tc>
      </w:tr>
      <w:tr>
        <w:tc>
          <w:tcPr>
            <w:gridSpan w:val="3"/>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4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TE201410 -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Rangkaian Elektronika I</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3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 Utama</w:t>
            </w:r>
          </w:p>
        </w:tc>
      </w:tr>
      <w:tr>
        <w:tc>
          <w:tcPr>
            <w:gridSpan w:val="3"/>
          </w:tcPr>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Boylestad, R</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w:t>
            </w:r>
            <w:r w:rsidDel="00000000" w:rsidR="00000000" w:rsidRPr="00000000">
              <w:rPr>
                <w:sz w:val="22"/>
                <w:szCs w:val="22"/>
                <w:rtl w:val="0"/>
              </w:rPr>
              <w:t xml:space="preserve"> &amp;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Nashelsky</w:t>
            </w:r>
            <w:r w:rsidDel="00000000" w:rsidR="00000000" w:rsidRPr="00000000">
              <w:rPr>
                <w:sz w:val="22"/>
                <w:szCs w:val="22"/>
                <w:rtl w:val="0"/>
              </w:rPr>
              <w:t xml:space="preserve">,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(2012). Electronic Devices and Circuit Theory</w:t>
            </w:r>
            <w:r w:rsidDel="00000000" w:rsidR="00000000" w:rsidRPr="00000000">
              <w:rPr>
                <w:sz w:val="22"/>
                <w:szCs w:val="22"/>
                <w:rtl w:val="0"/>
              </w:rPr>
              <w:t xml:space="preserve">. New Jersey: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Prentice Hall, Inc.</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4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Malvino, A</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w:t>
            </w:r>
            <w:r w:rsidDel="00000000" w:rsidR="00000000" w:rsidRPr="00000000">
              <w:rPr>
                <w:sz w:val="22"/>
                <w:szCs w:val="22"/>
                <w:rtl w:val="0"/>
              </w:rPr>
              <w:t xml:space="preserve">. (1979).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Principles 2nd Edition</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McGraw-Hill</w:t>
            </w:r>
            <w:r w:rsidDel="00000000" w:rsidR="00000000" w:rsidRPr="00000000">
              <w:rPr>
                <w:sz w:val="22"/>
                <w:szCs w:val="22"/>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Pustaka Pendukung</w:t>
            </w:r>
            <w:r w:rsidDel="00000000" w:rsidR="00000000" w:rsidRPr="00000000">
              <w:rPr>
                <w:rtl w:val="0"/>
              </w:rPr>
            </w:r>
          </w:p>
        </w:tc>
      </w:tr>
      <w:tr>
        <w:tc>
          <w:tcPr>
            <w:gridSpan w:val="3"/>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bl>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2"/>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ind w:left="-120" w:firstLine="0"/>
            <w:jc w:val="center"/>
            <w:rPr>
              <w:b w:val="1"/>
            </w:rPr>
          </w:pPr>
          <w:r w:rsidDel="00000000" w:rsidR="00000000" w:rsidRPr="00000000">
            <w:rPr>
              <w:b w:val="1"/>
            </w:rPr>
            <w:drawing>
              <wp:inline distB="0" distT="0" distL="0" distR="0">
                <wp:extent cx="836157" cy="54203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50">
          <w:pPr>
            <w:spacing w:after="0" w:line="240" w:lineRule="auto"/>
            <w:jc w:val="center"/>
            <w:rPr>
              <w:b w:val="1"/>
              <w:color w:val="ff0000"/>
              <w:sz w:val="24"/>
              <w:szCs w:val="24"/>
            </w:rPr>
          </w:pPr>
          <w:r w:rsidDel="00000000" w:rsidR="00000000" w:rsidRPr="00000000">
            <w:rPr>
              <w:b w:val="1"/>
              <w:sz w:val="24"/>
              <w:szCs w:val="24"/>
              <w:rtl w:val="0"/>
            </w:rPr>
            <w:t xml:space="preserve">PROGRAM STUDI </w:t>
          </w:r>
          <w:r w:rsidDel="00000000" w:rsidR="00000000" w:rsidRPr="00000000">
            <w:rPr>
              <w:b w:val="1"/>
              <w:sz w:val="24"/>
              <w:szCs w:val="24"/>
              <w:highlight w:val="yellow"/>
              <w:rtl w:val="0"/>
            </w:rPr>
            <w:t xml:space="preserve">XXXXX</w:t>
          </w:r>
          <w:r w:rsidDel="00000000" w:rsidR="00000000" w:rsidRPr="00000000">
            <w:rPr>
              <w:rtl w:val="0"/>
            </w:rPr>
          </w:r>
        </w:p>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2">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8">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C">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1/2</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3"/>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ind w:left="-120" w:firstLine="0"/>
            <w:jc w:val="center"/>
            <w:rPr>
              <w:b w:val="1"/>
            </w:rPr>
          </w:pPr>
          <w:r w:rsidDel="00000000" w:rsidR="00000000" w:rsidRPr="00000000">
            <w:rPr>
              <w:b w:val="1"/>
            </w:rPr>
            <w:drawing>
              <wp:inline distB="0" distT="0" distL="0" distR="0">
                <wp:extent cx="836157" cy="54203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68">
          <w:pPr>
            <w:spacing w:after="0" w:line="240" w:lineRule="auto"/>
            <w:jc w:val="center"/>
            <w:rPr>
              <w:b w:val="1"/>
              <w:color w:val="ff0000"/>
              <w:sz w:val="24"/>
              <w:szCs w:val="24"/>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69">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4">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2/2</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uiPriority w:val="9"/>
    <w:qFormat w:val="1"/>
    <w:pPr>
      <w:spacing w:after="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rPr>
      <w:rFonts w:ascii="Cambria" w:cs="Cambria" w:eastAsia="Cambria" w:hAnsi="Cambria"/>
      <w:i w:val="1"/>
      <w:color w:val="4f81bd"/>
      <w:sz w:val="24"/>
      <w:szCs w:val="24"/>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D722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203"/>
  </w:style>
  <w:style w:type="paragraph" w:styleId="Footer">
    <w:name w:val="footer"/>
    <w:basedOn w:val="Normal"/>
    <w:link w:val="FooterChar"/>
    <w:uiPriority w:val="99"/>
    <w:unhideWhenUsed w:val="1"/>
    <w:rsid w:val="00D722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203"/>
  </w:style>
  <w:style w:type="paragraph" w:styleId="ListParagraph">
    <w:name w:val="List Paragraph"/>
    <w:basedOn w:val="Normal"/>
    <w:uiPriority w:val="34"/>
    <w:qFormat w:val="1"/>
    <w:rsid w:val="001736CE"/>
    <w:pPr>
      <w:ind w:left="720"/>
      <w:contextualSpacing w:val="1"/>
    </w:p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tX+7vwXrxMxi6WScCBG/1NaYQ==">AMUW2mWgX1U/+ElU9Wp1TRrVrhWtWcQqt/OJqGg62Voqg5ZSCWd4ONPHf8tZ5Oyy0WGq2pFFFNBlf1V7vrIgRx8j5Dt5WxHcMSGFIsaQI8urEW5iTgSZKZSk3QAeCLFZXKlPD68DQeSp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2019-08-26T03:22:00Z</dcterms:created>
  <dc:creator>GUSTI UNT</dc:creator>
</cp:coreProperties>
</file>