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355"/>
        <w:gridCol w:w="5490"/>
        <w:tblGridChange w:id="0">
          <w:tblGrid>
            <w:gridCol w:w="2875"/>
            <w:gridCol w:w="1355"/>
            <w:gridCol w:w="5490"/>
          </w:tblGrid>
        </w:tblGridChange>
      </w:tblGrid>
      <w:tr>
        <w:tc>
          <w:tcPr>
            <w:gridSpan w:val="2"/>
            <w:vMerge w:val="restart"/>
            <w:vAlign w:val="center"/>
          </w:tcPr>
          <w:p w:rsidR="00000000" w:rsidDel="00000000" w:rsidP="00000000" w:rsidRDefault="00000000" w:rsidRPr="00000000" w14:paraId="0000000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w:t>
            </w:r>
          </w:p>
        </w:tc>
        <w:tc>
          <w:tcPr/>
          <w:p w:rsidR="00000000" w:rsidDel="00000000" w:rsidP="00000000" w:rsidRDefault="00000000" w:rsidRPr="00000000" w14:paraId="00000004">
            <w:pPr>
              <w:pStyle w:val="Heading1"/>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TE20141</w:t>
            </w: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SINYAL DAN SISTEM</w:t>
            </w:r>
            <w:r w:rsidDel="00000000" w:rsidR="00000000" w:rsidRPr="00000000">
              <w:rPr>
                <w:rtl w:val="0"/>
              </w:rPr>
            </w:r>
          </w:p>
        </w:tc>
      </w:tr>
      <w:tr>
        <w:tc>
          <w:tcPr>
            <w:gridSpan w:val="2"/>
            <w:vMerge w:val="continue"/>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highlight w:val="yellow"/>
              </w:rPr>
            </w:pPr>
            <w:r w:rsidDel="00000000" w:rsidR="00000000" w:rsidRPr="00000000">
              <w:rPr>
                <w:rtl w:val="0"/>
              </w:rPr>
            </w:r>
          </w:p>
        </w:tc>
        <w:tc>
          <w:tcPr/>
          <w:p w:rsidR="00000000" w:rsidDel="00000000" w:rsidP="00000000" w:rsidRDefault="00000000" w:rsidRPr="00000000" w14:paraId="00000007">
            <w:pPr>
              <w:ind w:left="340" w:firstLine="20"/>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SEMESTER 4 / 3 SKS</w:t>
            </w:r>
            <w:r w:rsidDel="00000000" w:rsidR="00000000" w:rsidRPr="00000000">
              <w:rPr>
                <w:rtl w:val="0"/>
              </w:rPr>
            </w:r>
          </w:p>
        </w:tc>
      </w:tr>
      <w:tr>
        <w:tc>
          <w:tcPr>
            <w:gridSpan w:val="3"/>
            <w:shd w:fill="b7dde8" w:val="clear"/>
          </w:tcPr>
          <w:p w:rsidR="00000000" w:rsidDel="00000000" w:rsidP="00000000" w:rsidRDefault="00000000" w:rsidRPr="00000000" w14:paraId="0000000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Deskripsi Mata Kuliah</w:t>
            </w:r>
          </w:p>
        </w:tc>
      </w:tr>
      <w:tr>
        <w:tc>
          <w:tcPr>
            <w:gridSpan w:val="3"/>
          </w:tcPr>
          <w:p w:rsidR="00000000" w:rsidDel="00000000" w:rsidP="00000000" w:rsidRDefault="00000000" w:rsidRPr="00000000" w14:paraId="0000000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Capaian Pembelajaran Lulusan (CPL) yang dibebankan pada mata kuliah</w:t>
            </w:r>
          </w:p>
        </w:tc>
      </w:tr>
      <w:tr>
        <w:tc>
          <w:tcPr/>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Sikap</w:t>
            </w:r>
          </w:p>
        </w:tc>
        <w:tc>
          <w:tcPr>
            <w:gridSpan w:val="2"/>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left"/>
              <w:rPr>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S.8     Menginternalisasi nilai, norma, dan etika akademik;</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S.9     Menunjukkan sikap bertanggungjawab atas pekerjaan di bidang keahliannya secara mandiri;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Umum</w:t>
            </w:r>
          </w:p>
        </w:tc>
        <w:tc>
          <w:tcPr>
            <w:gridSpan w:val="2"/>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Fonts w:ascii="Calibri" w:cs="Calibri" w:eastAsia="Calibri" w:hAnsi="Calibri"/>
                <w:color w:val="000000"/>
                <w:sz w:val="22"/>
                <w:szCs w:val="22"/>
                <w:rtl w:val="0"/>
              </w:rPr>
              <w:t xml:space="preserve">KU.1  </w:t>
            </w:r>
            <w:r w:rsidDel="00000000" w:rsidR="00000000" w:rsidRPr="00000000">
              <w:rPr>
                <w:sz w:val="22"/>
                <w:szCs w:val="22"/>
                <w:rtl w:val="0"/>
              </w:rPr>
              <w:t xml:space="preserve">M</w:t>
            </w:r>
            <w:r w:rsidDel="00000000" w:rsidR="00000000" w:rsidRPr="00000000">
              <w:rPr>
                <w:rFonts w:ascii="Calibri" w:cs="Calibri" w:eastAsia="Calibri" w:hAnsi="Calibri"/>
                <w:color w:val="000000"/>
                <w:sz w:val="22"/>
                <w:szCs w:val="22"/>
                <w:rtl w:val="0"/>
              </w:rPr>
              <w:t xml:space="preserve">ampu menerapkan pemikiran logis, kritis, sistematis, dan inovatif dalam konteks pengembangan atau implementasi ilmu pengetahuan dan teknologi yang memperhatikan dan menerapkan nilai humaniora yang sesuai dengan bidang keahliannya;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KU.2  Mampu menunjukkan kinerja mandiri, bermutu, dan terukur;</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360"/>
              <w:rPr>
                <w:rFonts w:ascii="Calibri" w:cs="Calibri" w:eastAsia="Calibri" w:hAnsi="Calibri"/>
                <w:color w:val="000000"/>
                <w:sz w:val="22"/>
                <w:szCs w:val="22"/>
              </w:rPr>
            </w:pPr>
            <w:r w:rsidDel="00000000" w:rsidR="00000000" w:rsidRPr="00000000">
              <w:rPr>
                <w:rtl w:val="0"/>
              </w:rPr>
            </w:r>
          </w:p>
        </w:tc>
      </w:tr>
      <w:tr>
        <w:tc>
          <w:tcPr/>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w:t>
            </w:r>
          </w:p>
        </w:tc>
        <w:tc>
          <w:tcPr>
            <w:gridSpan w:val="2"/>
          </w:tcPr>
          <w:p w:rsidR="00000000" w:rsidDel="00000000" w:rsidP="00000000" w:rsidRDefault="00000000" w:rsidRPr="00000000" w14:paraId="0000001D">
            <w:pPr>
              <w:pBdr>
                <w:top w:space="0" w:sz="0" w:val="nil"/>
                <w:left w:space="0" w:sz="0" w:val="nil"/>
                <w:bottom w:space="0" w:sz="0" w:val="nil"/>
                <w:right w:space="0" w:sz="0" w:val="nil"/>
                <w:between w:space="0" w:sz="0" w:val="nil"/>
              </w:pBdr>
              <w:ind w:left="540" w:hanging="54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P.2      Menguasai pengetahuan inti bidang teknik elektro termasuk rangkaian elektrik, sistem dan sinyal, sistem digital, elektromagnetik, dan elektronika;</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360"/>
              <w:jc w:val="both"/>
              <w:rPr>
                <w:rFonts w:ascii="Calibri" w:cs="Calibri" w:eastAsia="Calibri" w:hAnsi="Calibri"/>
                <w:color w:val="000000"/>
                <w:sz w:val="22"/>
                <w:szCs w:val="22"/>
              </w:rPr>
            </w:pPr>
            <w:r w:rsidDel="00000000" w:rsidR="00000000" w:rsidRPr="00000000">
              <w:rPr>
                <w:rtl w:val="0"/>
              </w:rPr>
            </w:r>
          </w:p>
        </w:tc>
      </w:tr>
      <w:tr>
        <w:tc>
          <w:tcPr/>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Khusus</w:t>
            </w:r>
          </w:p>
        </w:tc>
        <w:tc>
          <w:tcPr>
            <w:gridSpan w:val="2"/>
          </w:tcPr>
          <w:p w:rsidR="00000000" w:rsidDel="00000000" w:rsidP="00000000" w:rsidRDefault="00000000" w:rsidRPr="00000000" w14:paraId="00000021">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KK.2 Kemampuan mendesain sistem untuk memberikan solusi teknik dalam bidang sistem tenaga, sistem pengaturan, elektronika, telekomunikasi dan sistem komputer dengan mempertimbangkan standar teknis, kesehatan dan keselamatan kerja, kemudahan penerapan, dan aplikasi keberlanjutan;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shd w:fill="b7dde8" w:val="clear"/>
          </w:tcPr>
          <w:p w:rsidR="00000000" w:rsidDel="00000000" w:rsidP="00000000" w:rsidRDefault="00000000" w:rsidRPr="00000000" w14:paraId="00000024">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Mata Kuliah (CPMK)</w:t>
            </w:r>
          </w:p>
        </w:tc>
      </w:tr>
      <w:tr>
        <w:tc>
          <w:tcPr>
            <w:gridSpan w:val="3"/>
            <w:shd w:fill="auto" w:val="clear"/>
          </w:tcPr>
          <w:p w:rsidR="00000000" w:rsidDel="00000000" w:rsidP="00000000" w:rsidRDefault="00000000" w:rsidRPr="00000000" w14:paraId="00000027">
            <w:pPr>
              <w:jc w:val="both"/>
              <w:rPr>
                <w:b w:val="1"/>
                <w:sz w:val="22"/>
                <w:szCs w:val="22"/>
              </w:rPr>
            </w:pPr>
            <w:r w:rsidDel="00000000" w:rsidR="00000000" w:rsidRPr="00000000">
              <w:rPr>
                <w:rFonts w:ascii="Calibri" w:cs="Calibri" w:eastAsia="Calibri" w:hAnsi="Calibri"/>
                <w:sz w:val="22"/>
                <w:szCs w:val="22"/>
                <w:rtl w:val="0"/>
              </w:rPr>
              <w:t xml:space="preserve">Mahasiswa mampu menganalisis permasalahan dari sinyal dan sistem sehingga diperoleh bentuk penyelesaian permasalahan dalam permasalahan sinyal.</w:t>
            </w:r>
            <w:r w:rsidDel="00000000" w:rsidR="00000000" w:rsidRPr="00000000">
              <w:rPr>
                <w:rtl w:val="0"/>
              </w:rPr>
            </w:r>
          </w:p>
          <w:p w:rsidR="00000000" w:rsidDel="00000000" w:rsidP="00000000" w:rsidRDefault="00000000" w:rsidRPr="00000000" w14:paraId="00000028">
            <w:pPr>
              <w:jc w:val="both"/>
              <w:rPr>
                <w:b w:val="1"/>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2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Bahan Kajian</w:t>
            </w:r>
          </w:p>
        </w:tc>
      </w:tr>
      <w:tr>
        <w:tc>
          <w:tcPr>
            <w:gridSpan w:val="3"/>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Konsep dasar Sinyal dan Sistem</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LTI Waktu Kontinu</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 LTI Waktu Diskrit</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Transformasi Laplace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Transformasi Z</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Transformasi Fourier Waktu Kontinu</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Transformasi Fourier Waktu Diskrit</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3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Prasyarat</w:t>
            </w:r>
          </w:p>
        </w:tc>
      </w:tr>
      <w:tr>
        <w:tc>
          <w:tcPr>
            <w:gridSpan w:val="3"/>
          </w:tcPr>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TE201405 -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Matematika Teknik II</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sz w:val="22"/>
                <w:szCs w:val="22"/>
                <w:u w:val="none"/>
              </w:rPr>
            </w:pPr>
            <w:r w:rsidDel="00000000" w:rsidR="00000000" w:rsidRPr="00000000">
              <w:rPr>
                <w:sz w:val="22"/>
                <w:szCs w:val="22"/>
                <w:rtl w:val="0"/>
              </w:rPr>
              <w:t xml:space="preserve">TE201406 - Metode Numerik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40">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Pustaka Utama</w:t>
            </w:r>
          </w:p>
        </w:tc>
      </w:tr>
      <w:tr>
        <w:tc>
          <w:tcPr>
            <w:gridSpan w:val="3"/>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Oppenheim, A. V. &amp; Young, I. T., (1990).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Signal and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Delhi: Prentice-Hall of India.</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Apte, S. D., (2016).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Signals and Systems - Principles and 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York: Cambridge University Press.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gridSpan w:val="3"/>
            <w:shd w:fill="b7dde8" w:val="clear"/>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Pustaka Pendukung</w:t>
            </w:r>
            <w:r w:rsidDel="00000000" w:rsidR="00000000" w:rsidRPr="00000000">
              <w:rPr>
                <w:rtl w:val="0"/>
              </w:rPr>
            </w:r>
          </w:p>
        </w:tc>
      </w:tr>
      <w:tr>
        <w:tc>
          <w:tcPr>
            <w:gridSpan w:val="3"/>
          </w:tcPr>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Gopalan, G., (2009).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Introduction to Signal and System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Canada: Nelson Education.</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Rao, K. D., (2018).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Signals and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Switzerland: Springer.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tc>
      </w:tr>
    </w:tbl>
    <w:p w:rsidR="00000000" w:rsidDel="00000000" w:rsidP="00000000" w:rsidRDefault="00000000" w:rsidRPr="00000000" w14:paraId="00000050">
      <w:pPr>
        <w:spacing w:after="0" w:line="240" w:lineRule="auto"/>
        <w:rPr>
          <w:rFonts w:ascii="Calibri" w:cs="Calibri" w:eastAsia="Calibri" w:hAnsi="Calibri"/>
          <w:sz w:val="22"/>
          <w:szCs w:val="22"/>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2"/>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2"/>
      <w:gridCol w:w="4303"/>
      <w:gridCol w:w="1170"/>
      <w:gridCol w:w="547"/>
      <w:gridCol w:w="1523"/>
      <w:tblGridChange w:id="0">
        <w:tblGrid>
          <w:gridCol w:w="2172"/>
          <w:gridCol w:w="4303"/>
          <w:gridCol w:w="1170"/>
          <w:gridCol w:w="547"/>
          <w:gridCol w:w="1523"/>
        </w:tblGrid>
      </w:tblGridChange>
    </w:tblGrid>
    <w:tr>
      <w:trPr>
        <w:trHeight w:val="2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ind w:left="-120"/>
            <w:jc w:val="center"/>
            <w:rPr>
              <w:b w:val="1"/>
            </w:rPr>
          </w:pPr>
          <w:r w:rsidDel="00000000" w:rsidR="00000000" w:rsidRPr="00000000">
            <w:rPr>
              <w:b w:val="1"/>
            </w:rPr>
            <w:drawing>
              <wp:inline distB="0" distT="0" distL="0" distR="0">
                <wp:extent cx="836157" cy="54203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157" cy="542032"/>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54">
          <w:pPr>
            <w:spacing w:after="0" w:line="240" w:lineRule="auto"/>
            <w:jc w:val="center"/>
            <w:rPr>
              <w:b w:val="1"/>
              <w:color w:val="ff0000"/>
              <w:sz w:val="24"/>
              <w:szCs w:val="24"/>
            </w:rPr>
          </w:pPr>
          <w:r w:rsidDel="00000000" w:rsidR="00000000" w:rsidRPr="00000000">
            <w:rPr>
              <w:b w:val="1"/>
              <w:sz w:val="24"/>
              <w:szCs w:val="24"/>
              <w:rtl w:val="0"/>
            </w:rPr>
            <w:t xml:space="preserve">PROGRAM STUDI </w:t>
          </w:r>
          <w:r w:rsidDel="00000000" w:rsidR="00000000" w:rsidRPr="00000000">
            <w:rPr>
              <w:b w:val="1"/>
              <w:sz w:val="24"/>
              <w:szCs w:val="24"/>
              <w:highlight w:val="yellow"/>
              <w:rtl w:val="0"/>
            </w:rPr>
            <w:t xml:space="preserve">XXXXX</w:t>
          </w:r>
          <w:r w:rsidDel="00000000" w:rsidR="00000000" w:rsidRPr="00000000">
            <w:rPr>
              <w:rtl w:val="0"/>
            </w:rPr>
          </w:r>
        </w:p>
        <w:p w:rsidR="00000000" w:rsidDel="00000000" w:rsidP="00000000" w:rsidRDefault="00000000" w:rsidRPr="00000000" w14:paraId="00000055">
          <w:pPr>
            <w:spacing w:after="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6">
          <w:pPr>
            <w:spacing w:after="0" w:line="240" w:lineRule="auto"/>
            <w:rPr/>
          </w:pPr>
          <w:r w:rsidDel="00000000" w:rsidR="00000000" w:rsidRPr="00000000">
            <w:rPr>
              <w:rtl w:val="0"/>
            </w:rPr>
            <w:t xml:space="preserve">No. Dok.</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7">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ind w:right="-6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B">
          <w:pPr>
            <w:spacing w:after="0" w:line="240" w:lineRule="auto"/>
            <w:rPr/>
          </w:pPr>
          <w:r w:rsidDel="00000000" w:rsidR="00000000" w:rsidRPr="00000000">
            <w:rPr>
              <w:rtl w:val="0"/>
            </w:rPr>
            <w:t xml:space="preserve">Tgl. Terbit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C">
          <w:pPr>
            <w:spacing w:after="0" w:line="240" w:lineRule="auto"/>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0">
          <w:pPr>
            <w:spacing w:after="0" w:line="240" w:lineRule="auto"/>
            <w:ind w:left="175" w:hanging="175"/>
            <w:rPr/>
          </w:pPr>
          <w:r w:rsidDel="00000000" w:rsidR="00000000" w:rsidRPr="00000000">
            <w:rPr>
              <w:rtl w:val="0"/>
            </w:rPr>
            <w:t xml:space="preserve">No. Revisi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1">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5">
          <w:pPr>
            <w:spacing w:after="0" w:line="240" w:lineRule="auto"/>
            <w:rPr/>
          </w:pPr>
          <w:r w:rsidDel="00000000" w:rsidR="00000000" w:rsidRPr="00000000">
            <w:rPr>
              <w:rtl w:val="0"/>
            </w:rPr>
            <w:t xml:space="preserve">Hal</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6">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rPr/>
          </w:pPr>
          <w:r w:rsidDel="00000000" w:rsidR="00000000" w:rsidRPr="00000000">
            <w:rPr>
              <w:rtl w:val="0"/>
            </w:rPr>
            <w:t xml:space="preserve">1/2</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3"/>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2"/>
      <w:gridCol w:w="4303"/>
      <w:gridCol w:w="1170"/>
      <w:gridCol w:w="547"/>
      <w:gridCol w:w="1523"/>
      <w:tblGridChange w:id="0">
        <w:tblGrid>
          <w:gridCol w:w="2172"/>
          <w:gridCol w:w="4303"/>
          <w:gridCol w:w="1170"/>
          <w:gridCol w:w="547"/>
          <w:gridCol w:w="1523"/>
        </w:tblGrid>
      </w:tblGridChange>
    </w:tblGrid>
    <w:tr>
      <w:trPr>
        <w:trHeight w:val="2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ind w:left="-120"/>
            <w:jc w:val="center"/>
            <w:rPr>
              <w:b w:val="1"/>
            </w:rPr>
          </w:pPr>
          <w:r w:rsidDel="00000000" w:rsidR="00000000" w:rsidRPr="00000000">
            <w:rPr>
              <w:b w:val="1"/>
            </w:rPr>
            <w:drawing>
              <wp:inline distB="0" distT="0" distL="0" distR="0">
                <wp:extent cx="836157" cy="542032"/>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157" cy="542032"/>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6C">
          <w:pPr>
            <w:spacing w:after="0" w:line="240" w:lineRule="auto"/>
            <w:jc w:val="center"/>
            <w:rPr>
              <w:b w:val="1"/>
              <w:color w:val="ff0000"/>
              <w:sz w:val="24"/>
              <w:szCs w:val="24"/>
            </w:rPr>
          </w:pPr>
          <w:r w:rsidDel="00000000" w:rsidR="00000000" w:rsidRPr="00000000">
            <w:rPr>
              <w:b w:val="1"/>
              <w:sz w:val="24"/>
              <w:szCs w:val="24"/>
              <w:rtl w:val="0"/>
            </w:rPr>
            <w:t xml:space="preserve">PROGRAM STUDI TEKNIK ELEKTRO</w:t>
          </w:r>
          <w:r w:rsidDel="00000000" w:rsidR="00000000" w:rsidRPr="00000000">
            <w:rPr>
              <w:rtl w:val="0"/>
            </w:rPr>
          </w:r>
        </w:p>
        <w:p w:rsidR="00000000" w:rsidDel="00000000" w:rsidP="00000000" w:rsidRDefault="00000000" w:rsidRPr="00000000" w14:paraId="0000006D">
          <w:pPr>
            <w:spacing w:after="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E">
          <w:pPr>
            <w:spacing w:after="0" w:line="240" w:lineRule="auto"/>
            <w:rPr/>
          </w:pPr>
          <w:r w:rsidDel="00000000" w:rsidR="00000000" w:rsidRPr="00000000">
            <w:rPr>
              <w:rtl w:val="0"/>
            </w:rPr>
            <w:t xml:space="preserve">No. Dok.</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ind w:right="-6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73">
          <w:pPr>
            <w:spacing w:after="0" w:line="240" w:lineRule="auto"/>
            <w:rPr/>
          </w:pPr>
          <w:r w:rsidDel="00000000" w:rsidR="00000000" w:rsidRPr="00000000">
            <w:rPr>
              <w:rtl w:val="0"/>
            </w:rPr>
            <w:t xml:space="preserve">Tgl. Terbit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4">
          <w:pPr>
            <w:spacing w:after="0" w:line="240" w:lineRule="auto"/>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78">
          <w:pPr>
            <w:spacing w:after="0" w:line="240" w:lineRule="auto"/>
            <w:ind w:left="175" w:hanging="175"/>
            <w:rPr/>
          </w:pPr>
          <w:r w:rsidDel="00000000" w:rsidR="00000000" w:rsidRPr="00000000">
            <w:rPr>
              <w:rtl w:val="0"/>
            </w:rPr>
            <w:t xml:space="preserve">No. Revisi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7D">
          <w:pPr>
            <w:spacing w:after="0" w:line="240" w:lineRule="auto"/>
            <w:rPr/>
          </w:pPr>
          <w:r w:rsidDel="00000000" w:rsidR="00000000" w:rsidRPr="00000000">
            <w:rPr>
              <w:rtl w:val="0"/>
            </w:rPr>
            <w:t xml:space="preserve">Hal</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E">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rPr/>
          </w:pPr>
          <w:r w:rsidDel="00000000" w:rsidR="00000000" w:rsidRPr="00000000">
            <w:rPr>
              <w:rtl w:val="0"/>
            </w:rPr>
            <w:t xml:space="preserve">2/2</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ind w:left="720" w:hanging="360"/>
    </w:pPr>
    <w:rPr>
      <w:b w:val="1"/>
      <w:color w:val="000000"/>
      <w:sz w:val="28"/>
      <w:szCs w:val="28"/>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spacing w:after="0" w:line="240" w:lineRule="auto"/>
      <w:ind w:left="720" w:hanging="360"/>
      <w:outlineLvl w:val="0"/>
    </w:pPr>
    <w:rPr>
      <w:b w:val="1"/>
      <w:color w:val="000000"/>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b w:val="1"/>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uiPriority w:val="11"/>
    <w:qFormat w:val="1"/>
    <w:rPr>
      <w:rFonts w:ascii="Cambria" w:cs="Cambria" w:eastAsia="Cambria" w:hAnsi="Cambria"/>
      <w:i w:val="1"/>
      <w:color w:val="4f81bd"/>
      <w:sz w:val="24"/>
      <w:szCs w:val="24"/>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D722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2203"/>
  </w:style>
  <w:style w:type="paragraph" w:styleId="Footer">
    <w:name w:val="footer"/>
    <w:basedOn w:val="Normal"/>
    <w:link w:val="FooterChar"/>
    <w:uiPriority w:val="99"/>
    <w:unhideWhenUsed w:val="1"/>
    <w:rsid w:val="00D722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2203"/>
  </w:style>
  <w:style w:type="paragraph" w:styleId="ListParagraph">
    <w:name w:val="List Paragraph"/>
    <w:basedOn w:val="Normal"/>
    <w:uiPriority w:val="34"/>
    <w:qFormat w:val="1"/>
    <w:rsid w:val="001736CE"/>
    <w:pPr>
      <w:ind w:left="720"/>
      <w:contextualSpacing w:val="1"/>
    </w:pPr>
  </w:style>
  <w:style w:type="paragraph" w:styleId="Bibliography">
    <w:name w:val="Bibliography"/>
    <w:basedOn w:val="Normal"/>
    <w:next w:val="Normal"/>
    <w:uiPriority w:val="37"/>
    <w:unhideWhenUsed w:val="1"/>
    <w:rsid w:val="00B11A2F"/>
  </w:style>
  <w:style w:type="character" w:styleId="Heading1Char" w:customStyle="1">
    <w:name w:val="Heading 1 Char"/>
    <w:basedOn w:val="DefaultParagraphFont"/>
    <w:link w:val="Heading1"/>
    <w:uiPriority w:val="9"/>
    <w:rsid w:val="00B11A2F"/>
    <w:rPr>
      <w:b w:val="1"/>
      <w:color w:val="000000"/>
      <w:sz w:val="28"/>
      <w:szCs w:val="28"/>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s84Yt6jGBLNtJKHjHvCeX0DCg==">AMUW2mVFkUD533esMi8/dsg4i8iyaLGqU/ri6FoF2EF4rC+jlVtpTi9vxfClyUOtlHVIVNqJVNnrEHEZISCL7T7xpNLeiiAdMijA8NWkPtmzpvf2JnHS2SZT+xIMXEVmasbi1B+pv50s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2020-01-17T01:25:00Z</dcterms:created>
  <dc:creator>GUSTI UNT</dc:creator>
</cp:coreProperties>
</file>