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486968" w14:textId="77777777" w:rsidR="00BE1A1E" w:rsidRPr="00BE1A1E" w:rsidRDefault="00BE1A1E" w:rsidP="00BE1A1E">
      <w:pPr>
        <w:rPr>
          <w:lang w:val="es-ES"/>
        </w:rPr>
      </w:pPr>
      <w:r w:rsidRPr="00BE1A1E">
        <w:rPr>
          <w:lang w:val="es-ES"/>
        </w:rPr>
        <w:t xml:space="preserve">El </w:t>
      </w:r>
      <w:r w:rsidRPr="00BE1A1E">
        <w:rPr>
          <w:b/>
          <w:bCs/>
          <w:lang w:val="es-ES"/>
        </w:rPr>
        <w:t>Instituto Nacional de Estadística (INE)</w:t>
      </w:r>
      <w:r w:rsidRPr="00BE1A1E">
        <w:rPr>
          <w:lang w:val="es-ES"/>
        </w:rPr>
        <w:t xml:space="preserve"> de España publica los indicadores de </w:t>
      </w:r>
      <w:r w:rsidRPr="00BE1A1E">
        <w:rPr>
          <w:b/>
          <w:bCs/>
          <w:lang w:val="es-ES"/>
        </w:rPr>
        <w:t>Renta Media y Mediana</w:t>
      </w:r>
      <w:r w:rsidRPr="00BE1A1E">
        <w:rPr>
          <w:lang w:val="es-ES"/>
        </w:rPr>
        <w:t xml:space="preserve"> a nivel de </w:t>
      </w:r>
      <w:r w:rsidRPr="00BE1A1E">
        <w:rPr>
          <w:b/>
          <w:bCs/>
          <w:lang w:val="es-ES"/>
        </w:rPr>
        <w:t>Sección Censal</w:t>
      </w:r>
      <w:r w:rsidRPr="00BE1A1E">
        <w:rPr>
          <w:lang w:val="es-ES"/>
        </w:rPr>
        <w:t xml:space="preserve"> dentro de su proyecto de </w:t>
      </w:r>
      <w:r w:rsidRPr="00BE1A1E">
        <w:rPr>
          <w:b/>
          <w:bCs/>
          <w:lang w:val="es-ES"/>
        </w:rPr>
        <w:t>Indicadores Urbanos</w:t>
      </w:r>
      <w:r w:rsidRPr="00BE1A1E">
        <w:rPr>
          <w:lang w:val="es-ES"/>
        </w:rPr>
        <w:t xml:space="preserve"> y la explotación de los datos de la Agencia Tributaria (AEAT).</w:t>
      </w:r>
    </w:p>
    <w:p w14:paraId="2B008111" w14:textId="77777777" w:rsidR="00BE1A1E" w:rsidRPr="00BE1A1E" w:rsidRDefault="00BE1A1E" w:rsidP="00BE1A1E">
      <w:pPr>
        <w:rPr>
          <w:lang w:val="es-ES"/>
        </w:rPr>
      </w:pPr>
      <w:r w:rsidRPr="00BE1A1E">
        <w:rPr>
          <w:lang w:val="es-ES"/>
        </w:rPr>
        <w:t xml:space="preserve">La serie de datos que busca se encuentra específicamente en la publicación </w:t>
      </w:r>
      <w:r w:rsidRPr="00BE1A1E">
        <w:rPr>
          <w:b/>
          <w:bCs/>
          <w:lang w:val="es-ES"/>
        </w:rPr>
        <w:t>"Indicadores Urbanos"</w:t>
      </w:r>
      <w:r w:rsidRPr="00BE1A1E">
        <w:rPr>
          <w:lang w:val="es-ES"/>
        </w:rPr>
        <w:t xml:space="preserve"> (Urban Audit).</w:t>
      </w:r>
    </w:p>
    <w:p w14:paraId="4D642B30" w14:textId="77777777" w:rsidR="00BE1A1E" w:rsidRPr="00BE1A1E" w:rsidRDefault="00F31583" w:rsidP="00BE1A1E">
      <w:pPr>
        <w:rPr>
          <w:lang w:val="en-US"/>
        </w:rPr>
      </w:pPr>
      <w:r w:rsidRPr="00F31583">
        <w:rPr>
          <w:noProof/>
          <w:lang w:val="en-US"/>
        </w:rPr>
        <w:pict w14:anchorId="7F7E1863">
          <v:rect id="_x0000_i1026" alt="" style="width:468pt;height:.05pt;mso-width-percent:0;mso-height-percent:0;mso-width-percent:0;mso-height-percent:0" o:hralign="center" o:hrstd="t" o:hrnoshade="t" o:hr="t" fillcolor="gray" stroked="f"/>
        </w:pict>
      </w:r>
    </w:p>
    <w:p w14:paraId="16D9AB41" w14:textId="7863D3A1" w:rsidR="00BE1A1E" w:rsidRPr="00BE1A1E" w:rsidRDefault="00BE1A1E" w:rsidP="00BE1A1E">
      <w:pPr>
        <w:rPr>
          <w:b/>
          <w:bCs/>
          <w:lang w:val="es-ES"/>
        </w:rPr>
      </w:pPr>
      <w:r w:rsidRPr="00BE1A1E">
        <w:rPr>
          <w:b/>
          <w:bCs/>
          <w:lang w:val="es-ES"/>
        </w:rPr>
        <w:t>¿Dónde encontrar los datos?</w:t>
      </w:r>
    </w:p>
    <w:p w14:paraId="378B95C9" w14:textId="77777777" w:rsidR="00BE1A1E" w:rsidRPr="00BE1A1E" w:rsidRDefault="00BE1A1E" w:rsidP="00BE1A1E">
      <w:pPr>
        <w:rPr>
          <w:lang w:val="es-ES"/>
        </w:rPr>
      </w:pPr>
      <w:r w:rsidRPr="00BE1A1E">
        <w:rPr>
          <w:lang w:val="es-ES"/>
        </w:rPr>
        <w:t xml:space="preserve">Para acceder a los indicadores de renta por sección censal, debe dirigirse a la sección de </w:t>
      </w:r>
      <w:r w:rsidRPr="00BE1A1E">
        <w:rPr>
          <w:b/>
          <w:bCs/>
          <w:lang w:val="es-ES"/>
        </w:rPr>
        <w:t>Indicadores Urbanos</w:t>
      </w:r>
      <w:r w:rsidRPr="00BE1A1E">
        <w:rPr>
          <w:lang w:val="es-ES"/>
        </w:rPr>
        <w:t xml:space="preserve"> en la web del INE.</w:t>
      </w:r>
    </w:p>
    <w:p w14:paraId="00FE0A34" w14:textId="77777777" w:rsidR="00BE1A1E" w:rsidRPr="00BE1A1E" w:rsidRDefault="00BE1A1E" w:rsidP="00BE1A1E">
      <w:pPr>
        <w:numPr>
          <w:ilvl w:val="0"/>
          <w:numId w:val="1"/>
        </w:numPr>
        <w:rPr>
          <w:lang w:val="es-ES"/>
        </w:rPr>
      </w:pPr>
      <w:r w:rsidRPr="00BE1A1E">
        <w:rPr>
          <w:b/>
          <w:bCs/>
          <w:lang w:val="es-ES"/>
        </w:rPr>
        <w:t>Producto Principal:</w:t>
      </w:r>
      <w:r w:rsidRPr="00BE1A1E">
        <w:rPr>
          <w:lang w:val="es-ES"/>
        </w:rPr>
        <w:t xml:space="preserve"> </w:t>
      </w:r>
      <w:r w:rsidRPr="00BE1A1E">
        <w:rPr>
          <w:b/>
          <w:bCs/>
          <w:lang w:val="es-ES"/>
        </w:rPr>
        <w:t>Indicadores Urbanos (Urban Audit).</w:t>
      </w:r>
    </w:p>
    <w:p w14:paraId="2CDA19A0" w14:textId="77777777" w:rsidR="00BE1A1E" w:rsidRPr="00BE1A1E" w:rsidRDefault="00BE1A1E" w:rsidP="00BE1A1E">
      <w:pPr>
        <w:numPr>
          <w:ilvl w:val="0"/>
          <w:numId w:val="1"/>
        </w:numPr>
        <w:rPr>
          <w:lang w:val="es-ES"/>
        </w:rPr>
      </w:pPr>
      <w:r w:rsidRPr="00BE1A1E">
        <w:rPr>
          <w:b/>
          <w:bCs/>
          <w:lang w:val="es-ES"/>
        </w:rPr>
        <w:t>Fuente de Datos:</w:t>
      </w:r>
      <w:r w:rsidRPr="00BE1A1E">
        <w:rPr>
          <w:lang w:val="es-ES"/>
        </w:rPr>
        <w:t xml:space="preserve"> La renta se estima a partir de la explotación estadística de los </w:t>
      </w:r>
      <w:r w:rsidRPr="00BE1A1E">
        <w:rPr>
          <w:b/>
          <w:bCs/>
          <w:lang w:val="es-ES"/>
        </w:rPr>
        <w:t>Registros de la Agencia Estatal de Administración Tributaria (AEAT)</w:t>
      </w:r>
      <w:r w:rsidRPr="00BE1A1E">
        <w:rPr>
          <w:lang w:val="es-ES"/>
        </w:rPr>
        <w:t>, que proporciona al INE la renta agregada (bruta y neta) y sus componentes.</w:t>
      </w:r>
    </w:p>
    <w:p w14:paraId="4615D376" w14:textId="77777777" w:rsidR="00BE1A1E" w:rsidRPr="00BE1A1E" w:rsidRDefault="00BE1A1E" w:rsidP="00BE1A1E">
      <w:pPr>
        <w:numPr>
          <w:ilvl w:val="0"/>
          <w:numId w:val="1"/>
        </w:numPr>
        <w:rPr>
          <w:lang w:val="es-ES"/>
        </w:rPr>
      </w:pPr>
      <w:r w:rsidRPr="00BE1A1E">
        <w:rPr>
          <w:b/>
          <w:bCs/>
          <w:lang w:val="es-ES"/>
        </w:rPr>
        <w:t>Ámbito Geográfico:</w:t>
      </w:r>
      <w:r w:rsidRPr="00BE1A1E">
        <w:rPr>
          <w:lang w:val="es-ES"/>
        </w:rPr>
        <w:t xml:space="preserve"> La información se presenta desagregada al máximo nivel posible, que es la </w:t>
      </w:r>
      <w:r w:rsidRPr="00BE1A1E">
        <w:rPr>
          <w:b/>
          <w:bCs/>
          <w:lang w:val="es-ES"/>
        </w:rPr>
        <w:t>sección censal</w:t>
      </w:r>
      <w:r w:rsidRPr="00BE1A1E">
        <w:rPr>
          <w:lang w:val="es-ES"/>
        </w:rPr>
        <w:t>.</w:t>
      </w:r>
    </w:p>
    <w:p w14:paraId="4E5E2E05" w14:textId="77777777" w:rsidR="00BE1A1E" w:rsidRPr="00BE1A1E" w:rsidRDefault="00BE1A1E" w:rsidP="00BE1A1E">
      <w:pPr>
        <w:rPr>
          <w:b/>
          <w:bCs/>
          <w:lang w:val="es-ES"/>
        </w:rPr>
      </w:pPr>
      <w:r w:rsidRPr="00BE1A1E">
        <w:rPr>
          <w:b/>
          <w:bCs/>
          <w:lang w:val="es-ES"/>
        </w:rPr>
        <w:t>Variables clave disponibles</w:t>
      </w:r>
    </w:p>
    <w:p w14:paraId="0E185760" w14:textId="77777777" w:rsidR="00BE1A1E" w:rsidRPr="00BE1A1E" w:rsidRDefault="00BE1A1E" w:rsidP="00BE1A1E">
      <w:pPr>
        <w:rPr>
          <w:lang w:val="es-ES"/>
        </w:rPr>
      </w:pPr>
      <w:r w:rsidRPr="00BE1A1E">
        <w:rPr>
          <w:lang w:val="es-ES"/>
        </w:rPr>
        <w:t>Las variables de renta que ofrece el INE a nivel de sección censal suelen incluir:</w:t>
      </w:r>
    </w:p>
    <w:tbl>
      <w:tblPr>
        <w:tblW w:w="0" w:type="auto"/>
        <w:tblCellSpacing w:w="15" w:type="dxa"/>
        <w:tblCellMar>
          <w:left w:w="0" w:type="dxa"/>
          <w:right w:w="0" w:type="dxa"/>
        </w:tblCellMar>
        <w:tblLook w:val="04A0" w:firstRow="1" w:lastRow="0" w:firstColumn="1" w:lastColumn="0" w:noHBand="0" w:noVBand="1"/>
      </w:tblPr>
      <w:tblGrid>
        <w:gridCol w:w="2056"/>
        <w:gridCol w:w="7288"/>
      </w:tblGrid>
      <w:tr w:rsidR="00BE1A1E" w:rsidRPr="00BE1A1E" w14:paraId="760E4EC3" w14:textId="77777777" w:rsidTr="00BE1A1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CC462" w14:textId="77777777" w:rsidR="00BE1A1E" w:rsidRPr="00BE1A1E" w:rsidRDefault="00BE1A1E" w:rsidP="00BE1A1E">
            <w:pPr>
              <w:rPr>
                <w:lang w:val="en-US"/>
              </w:rPr>
            </w:pPr>
            <w:proofErr w:type="spellStart"/>
            <w:r w:rsidRPr="00BE1A1E">
              <w:rPr>
                <w:lang w:val="en-US"/>
              </w:rPr>
              <w:t>Indicador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6BA84" w14:textId="77777777" w:rsidR="00BE1A1E" w:rsidRPr="00BE1A1E" w:rsidRDefault="00BE1A1E" w:rsidP="00BE1A1E">
            <w:pPr>
              <w:rPr>
                <w:lang w:val="en-US"/>
              </w:rPr>
            </w:pPr>
            <w:proofErr w:type="spellStart"/>
            <w:r w:rsidRPr="00BE1A1E">
              <w:rPr>
                <w:lang w:val="en-US"/>
              </w:rPr>
              <w:t>Descripción</w:t>
            </w:r>
            <w:proofErr w:type="spellEnd"/>
          </w:p>
        </w:tc>
      </w:tr>
      <w:tr w:rsidR="00BE1A1E" w:rsidRPr="007C5843" w14:paraId="02D5E954" w14:textId="77777777" w:rsidTr="00BE1A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095F0" w14:textId="77777777" w:rsidR="00BE1A1E" w:rsidRPr="00BE1A1E" w:rsidRDefault="00BE1A1E" w:rsidP="00BE1A1E">
            <w:pPr>
              <w:rPr>
                <w:lang w:val="en-US"/>
              </w:rPr>
            </w:pPr>
            <w:proofErr w:type="spellStart"/>
            <w:r w:rsidRPr="00BE1A1E">
              <w:rPr>
                <w:b/>
                <w:bCs/>
                <w:lang w:val="en-US"/>
              </w:rPr>
              <w:t>Renta</w:t>
            </w:r>
            <w:proofErr w:type="spellEnd"/>
            <w:r w:rsidRPr="00BE1A1E">
              <w:rPr>
                <w:b/>
                <w:bCs/>
                <w:lang w:val="en-US"/>
              </w:rPr>
              <w:t xml:space="preserve"> Neta Media </w:t>
            </w:r>
            <w:proofErr w:type="spellStart"/>
            <w:r w:rsidRPr="00BE1A1E">
              <w:rPr>
                <w:b/>
                <w:bCs/>
                <w:lang w:val="en-US"/>
              </w:rPr>
              <w:t>Anual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4DED9" w14:textId="77777777" w:rsidR="00BE1A1E" w:rsidRPr="00BE1A1E" w:rsidRDefault="00BE1A1E" w:rsidP="00BE1A1E">
            <w:pPr>
              <w:rPr>
                <w:lang w:val="es-ES"/>
              </w:rPr>
            </w:pPr>
            <w:r w:rsidRPr="00BE1A1E">
              <w:rPr>
                <w:lang w:val="es-ES"/>
              </w:rPr>
              <w:t>Es la suma de las rentas netas (ingresos menos cotizaciones, etc.) de todos los hogares de la sección censal dividida por el número de hogares.</w:t>
            </w:r>
          </w:p>
        </w:tc>
      </w:tr>
      <w:tr w:rsidR="00BE1A1E" w:rsidRPr="007C5843" w14:paraId="4DF76FF4" w14:textId="77777777" w:rsidTr="00BE1A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4DB5C" w14:textId="77777777" w:rsidR="00BE1A1E" w:rsidRPr="00BE1A1E" w:rsidRDefault="00BE1A1E" w:rsidP="00BE1A1E">
            <w:pPr>
              <w:rPr>
                <w:lang w:val="en-US"/>
              </w:rPr>
            </w:pPr>
            <w:proofErr w:type="spellStart"/>
            <w:r w:rsidRPr="00BE1A1E">
              <w:rPr>
                <w:b/>
                <w:bCs/>
                <w:lang w:val="en-US"/>
              </w:rPr>
              <w:t>Renta</w:t>
            </w:r>
            <w:proofErr w:type="spellEnd"/>
            <w:r w:rsidRPr="00BE1A1E">
              <w:rPr>
                <w:b/>
                <w:bCs/>
                <w:lang w:val="en-US"/>
              </w:rPr>
              <w:t xml:space="preserve"> Neta </w:t>
            </w:r>
            <w:proofErr w:type="spellStart"/>
            <w:r w:rsidRPr="00BE1A1E">
              <w:rPr>
                <w:b/>
                <w:bCs/>
                <w:lang w:val="en-US"/>
              </w:rPr>
              <w:t>Mediana</w:t>
            </w:r>
            <w:proofErr w:type="spellEnd"/>
            <w:r w:rsidRPr="00BE1A1E">
              <w:rPr>
                <w:b/>
                <w:bCs/>
                <w:lang w:val="en-US"/>
              </w:rPr>
              <w:t xml:space="preserve"> </w:t>
            </w:r>
            <w:proofErr w:type="spellStart"/>
            <w:r w:rsidRPr="00BE1A1E">
              <w:rPr>
                <w:b/>
                <w:bCs/>
                <w:lang w:val="en-US"/>
              </w:rPr>
              <w:t>Anual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039D5" w14:textId="77777777" w:rsidR="00BE1A1E" w:rsidRPr="00BE1A1E" w:rsidRDefault="00BE1A1E" w:rsidP="00BE1A1E">
            <w:pPr>
              <w:rPr>
                <w:lang w:val="es-ES"/>
              </w:rPr>
            </w:pPr>
            <w:r w:rsidRPr="00BE1A1E">
              <w:rPr>
                <w:lang w:val="es-ES"/>
              </w:rPr>
              <w:t xml:space="preserve">Es el valor que divide la distribución de la renta de los hogares en la sección censal en dos mitades iguales, lo que la hace </w:t>
            </w:r>
            <w:r w:rsidRPr="00BE1A1E">
              <w:rPr>
                <w:b/>
                <w:bCs/>
                <w:lang w:val="es-ES"/>
              </w:rPr>
              <w:t>más robusta</w:t>
            </w:r>
            <w:r w:rsidRPr="00BE1A1E">
              <w:rPr>
                <w:lang w:val="es-ES"/>
              </w:rPr>
              <w:t xml:space="preserve"> frente a valores extremos de riqueza.</w:t>
            </w:r>
          </w:p>
        </w:tc>
      </w:tr>
      <w:tr w:rsidR="00BE1A1E" w:rsidRPr="007C5843" w14:paraId="4BCF72EA" w14:textId="77777777" w:rsidTr="00BE1A1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EB9BC" w14:textId="77777777" w:rsidR="00BE1A1E" w:rsidRPr="00BE1A1E" w:rsidRDefault="00BE1A1E" w:rsidP="00BE1A1E">
            <w:pPr>
              <w:rPr>
                <w:lang w:val="en-US"/>
              </w:rPr>
            </w:pPr>
            <w:proofErr w:type="spellStart"/>
            <w:r w:rsidRPr="00BE1A1E">
              <w:rPr>
                <w:b/>
                <w:bCs/>
                <w:lang w:val="en-US"/>
              </w:rPr>
              <w:t>Renta</w:t>
            </w:r>
            <w:proofErr w:type="spellEnd"/>
            <w:r w:rsidRPr="00BE1A1E">
              <w:rPr>
                <w:b/>
                <w:bCs/>
                <w:lang w:val="en-US"/>
              </w:rPr>
              <w:t xml:space="preserve"> </w:t>
            </w:r>
            <w:proofErr w:type="spellStart"/>
            <w:r w:rsidRPr="00BE1A1E">
              <w:rPr>
                <w:b/>
                <w:bCs/>
                <w:lang w:val="en-US"/>
              </w:rPr>
              <w:t>por</w:t>
            </w:r>
            <w:proofErr w:type="spellEnd"/>
            <w:r w:rsidRPr="00BE1A1E">
              <w:rPr>
                <w:b/>
                <w:bCs/>
                <w:lang w:val="en-US"/>
              </w:rPr>
              <w:t xml:space="preserve"> persona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82FD3" w14:textId="77777777" w:rsidR="00BE1A1E" w:rsidRPr="00BE1A1E" w:rsidRDefault="00BE1A1E" w:rsidP="00BE1A1E">
            <w:pPr>
              <w:rPr>
                <w:lang w:val="es-ES"/>
              </w:rPr>
            </w:pPr>
            <w:r w:rsidRPr="00BE1A1E">
              <w:rPr>
                <w:lang w:val="es-ES"/>
              </w:rPr>
              <w:t>La renta total del hogar dividida por el número de miembros del hogar.</w:t>
            </w:r>
          </w:p>
        </w:tc>
      </w:tr>
    </w:tbl>
    <w:p w14:paraId="70785CDD" w14:textId="77777777" w:rsidR="00BE1A1E" w:rsidRPr="00BE1A1E" w:rsidRDefault="00BE1A1E" w:rsidP="00BE1A1E">
      <w:pPr>
        <w:rPr>
          <w:lang w:val="es-ES"/>
        </w:rPr>
      </w:pPr>
      <w:r w:rsidRPr="00BE1A1E">
        <w:rPr>
          <w:b/>
          <w:bCs/>
          <w:lang w:val="es-ES"/>
        </w:rPr>
        <w:t>Recomendación:</w:t>
      </w:r>
      <w:r w:rsidRPr="00BE1A1E">
        <w:rPr>
          <w:lang w:val="es-ES"/>
        </w:rPr>
        <w:t xml:space="preserve"> La </w:t>
      </w:r>
      <w:r w:rsidRPr="00BE1A1E">
        <w:rPr>
          <w:b/>
          <w:bCs/>
          <w:lang w:val="es-ES"/>
        </w:rPr>
        <w:t>Renta Mediana</w:t>
      </w:r>
      <w:r w:rsidRPr="00BE1A1E">
        <w:rPr>
          <w:lang w:val="es-ES"/>
        </w:rPr>
        <w:t xml:space="preserve"> (el valor central) se considera a menudo un indicador más representativo de la situación económica de una sección censal, ya que se ve menos afectada por la presencia de rentas extremadamente altas (o bajas) que distorsionan la media.</w:t>
      </w:r>
    </w:p>
    <w:p w14:paraId="548F6CAA" w14:textId="77777777" w:rsidR="00BE1A1E" w:rsidRPr="00BE1A1E" w:rsidRDefault="00F31583" w:rsidP="00BE1A1E">
      <w:pPr>
        <w:rPr>
          <w:lang w:val="en-US"/>
        </w:rPr>
      </w:pPr>
      <w:r w:rsidRPr="00F31583">
        <w:rPr>
          <w:noProof/>
          <w:lang w:val="en-US"/>
        </w:rPr>
        <w:pict w14:anchorId="237A84E1">
          <v:rect id="_x0000_i1025" alt="" style="width:468pt;height:.05pt;mso-width-percent:0;mso-height-percent:0;mso-width-percent:0;mso-height-percent:0" o:hralign="center" o:hrstd="t" o:hrnoshade="t" o:hr="t" fillcolor="gray" stroked="f"/>
        </w:pict>
      </w:r>
    </w:p>
    <w:p w14:paraId="1D48A2A2" w14:textId="1FB6EC9F" w:rsidR="00BE1A1E" w:rsidRPr="00BE1A1E" w:rsidRDefault="00BE1A1E" w:rsidP="00BE1A1E">
      <w:pPr>
        <w:rPr>
          <w:b/>
          <w:bCs/>
          <w:lang w:val="es-ES"/>
        </w:rPr>
      </w:pPr>
      <w:r w:rsidRPr="00BE1A1E">
        <w:rPr>
          <w:b/>
          <w:bCs/>
          <w:lang w:val="es-ES"/>
        </w:rPr>
        <w:t>Cómo descargar los datos</w:t>
      </w:r>
    </w:p>
    <w:p w14:paraId="0693D169" w14:textId="77777777" w:rsidR="00BE1A1E" w:rsidRPr="00BE1A1E" w:rsidRDefault="00BE1A1E" w:rsidP="00BE1A1E">
      <w:pPr>
        <w:rPr>
          <w:lang w:val="es-ES"/>
        </w:rPr>
      </w:pPr>
      <w:r w:rsidRPr="00BE1A1E">
        <w:rPr>
          <w:lang w:val="es-ES"/>
        </w:rPr>
        <w:t>Para obtener los archivos de datos (normalmente en formato CSV o similar) con la renta por sección censal, siga estos pasos generales en la web del INE:</w:t>
      </w:r>
    </w:p>
    <w:p w14:paraId="6FD5513B" w14:textId="77777777" w:rsidR="00BE1A1E" w:rsidRPr="00BE1A1E" w:rsidRDefault="00BE1A1E" w:rsidP="00BE1A1E">
      <w:pPr>
        <w:numPr>
          <w:ilvl w:val="0"/>
          <w:numId w:val="2"/>
        </w:numPr>
        <w:rPr>
          <w:lang w:val="es-ES"/>
        </w:rPr>
      </w:pPr>
      <w:r w:rsidRPr="00BE1A1E">
        <w:rPr>
          <w:lang w:val="es-ES"/>
        </w:rPr>
        <w:t xml:space="preserve">Busque </w:t>
      </w:r>
      <w:r w:rsidRPr="00BE1A1E">
        <w:rPr>
          <w:b/>
          <w:bCs/>
          <w:lang w:val="es-ES"/>
        </w:rPr>
        <w:t>"INE Indicadores Urbanos"</w:t>
      </w:r>
      <w:r w:rsidRPr="00BE1A1E">
        <w:rPr>
          <w:lang w:val="es-ES"/>
        </w:rPr>
        <w:t xml:space="preserve"> o </w:t>
      </w:r>
      <w:r w:rsidRPr="00BE1A1E">
        <w:rPr>
          <w:b/>
          <w:bCs/>
          <w:lang w:val="es-ES"/>
        </w:rPr>
        <w:t>"Atlas de Distribución de Renta de los Hogares" (ADRH)</w:t>
      </w:r>
      <w:r w:rsidRPr="00BE1A1E">
        <w:rPr>
          <w:lang w:val="es-ES"/>
        </w:rPr>
        <w:t>.</w:t>
      </w:r>
    </w:p>
    <w:p w14:paraId="659A2517" w14:textId="77777777" w:rsidR="00BE1A1E" w:rsidRPr="00BE1A1E" w:rsidRDefault="00BE1A1E" w:rsidP="00BE1A1E">
      <w:pPr>
        <w:numPr>
          <w:ilvl w:val="0"/>
          <w:numId w:val="2"/>
        </w:numPr>
        <w:rPr>
          <w:lang w:val="es-ES"/>
        </w:rPr>
      </w:pPr>
      <w:r w:rsidRPr="00BE1A1E">
        <w:rPr>
          <w:lang w:val="es-ES"/>
        </w:rPr>
        <w:t xml:space="preserve">Dentro de la publicación, navegue a la sección de </w:t>
      </w:r>
      <w:r w:rsidRPr="00BE1A1E">
        <w:rPr>
          <w:b/>
          <w:bCs/>
          <w:lang w:val="es-ES"/>
        </w:rPr>
        <w:t>"Resultados detallados"</w:t>
      </w:r>
      <w:r w:rsidRPr="00BE1A1E">
        <w:rPr>
          <w:lang w:val="es-ES"/>
        </w:rPr>
        <w:t xml:space="preserve"> o </w:t>
      </w:r>
      <w:r w:rsidRPr="00BE1A1E">
        <w:rPr>
          <w:b/>
          <w:bCs/>
          <w:lang w:val="es-ES"/>
        </w:rPr>
        <w:t>"Descarga de ficheros"</w:t>
      </w:r>
      <w:r w:rsidRPr="00BE1A1E">
        <w:rPr>
          <w:lang w:val="es-ES"/>
        </w:rPr>
        <w:t>.</w:t>
      </w:r>
    </w:p>
    <w:p w14:paraId="658DC97B" w14:textId="77777777" w:rsidR="00BE1A1E" w:rsidRPr="00BE1A1E" w:rsidRDefault="00BE1A1E" w:rsidP="00BE1A1E">
      <w:pPr>
        <w:numPr>
          <w:ilvl w:val="0"/>
          <w:numId w:val="2"/>
        </w:numPr>
        <w:rPr>
          <w:lang w:val="es-ES"/>
        </w:rPr>
      </w:pPr>
      <w:r w:rsidRPr="00BE1A1E">
        <w:rPr>
          <w:lang w:val="es-ES"/>
        </w:rPr>
        <w:t xml:space="preserve">Busque el archivo que contenga los datos desagregados por el nivel </w:t>
      </w:r>
      <w:r w:rsidRPr="00BE1A1E">
        <w:rPr>
          <w:b/>
          <w:bCs/>
          <w:lang w:val="es-ES"/>
        </w:rPr>
        <w:t>"Sección Censal"</w:t>
      </w:r>
      <w:r w:rsidRPr="00BE1A1E">
        <w:rPr>
          <w:lang w:val="es-ES"/>
        </w:rPr>
        <w:t xml:space="preserve"> para el año que le interese.</w:t>
      </w:r>
    </w:p>
    <w:p w14:paraId="0B7763A1" w14:textId="77777777" w:rsidR="00BE1A1E" w:rsidRPr="00BE1A1E" w:rsidRDefault="00BE1A1E" w:rsidP="00BE1A1E">
      <w:pPr>
        <w:rPr>
          <w:lang w:val="es-ES"/>
        </w:rPr>
      </w:pPr>
      <w:r w:rsidRPr="00BE1A1E">
        <w:rPr>
          <w:lang w:val="es-ES"/>
        </w:rPr>
        <w:lastRenderedPageBreak/>
        <w:t>Estos datos se actualizan anualmente con un retraso de aproximadamente dos años (por ejemplo, los datos publicados en 2024 corresponden a la renta del año 2022).</w:t>
      </w:r>
    </w:p>
    <w:p w14:paraId="4681099F" w14:textId="42C7DBC4" w:rsidR="00226174" w:rsidRDefault="00226174" w:rsidP="00DE448C">
      <w:pPr>
        <w:rPr>
          <w:lang w:val="es-ES"/>
        </w:rPr>
      </w:pPr>
    </w:p>
    <w:p w14:paraId="1CF6EF0C" w14:textId="77777777" w:rsidR="007C5843" w:rsidRPr="007C5843" w:rsidRDefault="007C5843" w:rsidP="007C5843">
      <w:pPr>
        <w:rPr>
          <w:b/>
          <w:bCs/>
          <w:highlight w:val="yellow"/>
          <w:lang w:val="es-ES"/>
        </w:rPr>
      </w:pPr>
      <w:r w:rsidRPr="007C5843">
        <w:rPr>
          <w:b/>
          <w:bCs/>
          <w:highlight w:val="yellow"/>
          <w:lang w:val="es-ES"/>
        </w:rPr>
        <w:t>Atlas de distribución de renta de los hogares. Serie 2015-2023</w:t>
      </w:r>
    </w:p>
    <w:p w14:paraId="4451409D" w14:textId="56DE657E" w:rsidR="007C5843" w:rsidRDefault="007C5843" w:rsidP="00DE448C">
      <w:pPr>
        <w:rPr>
          <w:lang w:val="es-ES"/>
        </w:rPr>
      </w:pPr>
      <w:hyperlink r:id="rId5" w:history="1">
        <w:r w:rsidRPr="007C5843">
          <w:rPr>
            <w:rStyle w:val="Hyperlink"/>
            <w:highlight w:val="yellow"/>
            <w:lang w:val="es-ES"/>
          </w:rPr>
          <w:t>https://www.ine.es/dynt3/inebase/index.htm?padre=12385&amp;capsel=12384</w:t>
        </w:r>
      </w:hyperlink>
    </w:p>
    <w:p w14:paraId="7678086B" w14:textId="77777777" w:rsidR="007C5843" w:rsidRPr="00BE1A1E" w:rsidRDefault="007C5843" w:rsidP="00DE448C">
      <w:pPr>
        <w:rPr>
          <w:lang w:val="es-ES"/>
        </w:rPr>
      </w:pPr>
    </w:p>
    <w:sectPr w:rsidR="007C5843" w:rsidRPr="00BE1A1E" w:rsidSect="006D2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C5366"/>
    <w:multiLevelType w:val="multilevel"/>
    <w:tmpl w:val="7670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C23C5"/>
    <w:multiLevelType w:val="multilevel"/>
    <w:tmpl w:val="F010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525087">
    <w:abstractNumId w:val="0"/>
  </w:num>
  <w:num w:numId="2" w16cid:durableId="238683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A1E"/>
    <w:rsid w:val="00000593"/>
    <w:rsid w:val="00003822"/>
    <w:rsid w:val="00003D32"/>
    <w:rsid w:val="000059C1"/>
    <w:rsid w:val="00011EFE"/>
    <w:rsid w:val="000206EB"/>
    <w:rsid w:val="00021AE1"/>
    <w:rsid w:val="00024E8C"/>
    <w:rsid w:val="00025EB6"/>
    <w:rsid w:val="00027115"/>
    <w:rsid w:val="00030856"/>
    <w:rsid w:val="0003248C"/>
    <w:rsid w:val="000334C9"/>
    <w:rsid w:val="000348ED"/>
    <w:rsid w:val="00034F99"/>
    <w:rsid w:val="000358DD"/>
    <w:rsid w:val="00035EEC"/>
    <w:rsid w:val="0003734F"/>
    <w:rsid w:val="0004015E"/>
    <w:rsid w:val="00040A69"/>
    <w:rsid w:val="00040DBB"/>
    <w:rsid w:val="00041133"/>
    <w:rsid w:val="00041D94"/>
    <w:rsid w:val="00045A54"/>
    <w:rsid w:val="00045D87"/>
    <w:rsid w:val="0005105C"/>
    <w:rsid w:val="0005315F"/>
    <w:rsid w:val="00053FC0"/>
    <w:rsid w:val="0005435B"/>
    <w:rsid w:val="00055591"/>
    <w:rsid w:val="00055BB2"/>
    <w:rsid w:val="00056395"/>
    <w:rsid w:val="00057D48"/>
    <w:rsid w:val="00057FA6"/>
    <w:rsid w:val="0006170C"/>
    <w:rsid w:val="00061B70"/>
    <w:rsid w:val="00063C58"/>
    <w:rsid w:val="00063E8A"/>
    <w:rsid w:val="00067A07"/>
    <w:rsid w:val="000754A9"/>
    <w:rsid w:val="00077ABD"/>
    <w:rsid w:val="0008179A"/>
    <w:rsid w:val="00082C0D"/>
    <w:rsid w:val="00083D1C"/>
    <w:rsid w:val="00084BD5"/>
    <w:rsid w:val="000917E9"/>
    <w:rsid w:val="00095DDA"/>
    <w:rsid w:val="0009601C"/>
    <w:rsid w:val="0009631C"/>
    <w:rsid w:val="00096B04"/>
    <w:rsid w:val="000979A7"/>
    <w:rsid w:val="000A07BD"/>
    <w:rsid w:val="000A1A54"/>
    <w:rsid w:val="000A2413"/>
    <w:rsid w:val="000A2A41"/>
    <w:rsid w:val="000A41CD"/>
    <w:rsid w:val="000B033A"/>
    <w:rsid w:val="000B051E"/>
    <w:rsid w:val="000B1423"/>
    <w:rsid w:val="000B3DDE"/>
    <w:rsid w:val="000B4D64"/>
    <w:rsid w:val="000B56BC"/>
    <w:rsid w:val="000B5A5F"/>
    <w:rsid w:val="000B7DE7"/>
    <w:rsid w:val="000C131A"/>
    <w:rsid w:val="000C1AF8"/>
    <w:rsid w:val="000D01DB"/>
    <w:rsid w:val="000D5AFB"/>
    <w:rsid w:val="000D7036"/>
    <w:rsid w:val="000E194C"/>
    <w:rsid w:val="000E5DCA"/>
    <w:rsid w:val="000E6E01"/>
    <w:rsid w:val="000E7342"/>
    <w:rsid w:val="000F07BF"/>
    <w:rsid w:val="000F089B"/>
    <w:rsid w:val="000F461E"/>
    <w:rsid w:val="000F52FB"/>
    <w:rsid w:val="000F6F18"/>
    <w:rsid w:val="000F7631"/>
    <w:rsid w:val="0010058D"/>
    <w:rsid w:val="00105B58"/>
    <w:rsid w:val="00112354"/>
    <w:rsid w:val="001124BB"/>
    <w:rsid w:val="0011337F"/>
    <w:rsid w:val="001139DF"/>
    <w:rsid w:val="00130250"/>
    <w:rsid w:val="00130762"/>
    <w:rsid w:val="00131CB8"/>
    <w:rsid w:val="001338E2"/>
    <w:rsid w:val="001341B0"/>
    <w:rsid w:val="00137B0B"/>
    <w:rsid w:val="00143E67"/>
    <w:rsid w:val="001527A9"/>
    <w:rsid w:val="00152A72"/>
    <w:rsid w:val="00153B30"/>
    <w:rsid w:val="00155C22"/>
    <w:rsid w:val="00156994"/>
    <w:rsid w:val="001645F0"/>
    <w:rsid w:val="001673BC"/>
    <w:rsid w:val="001714E0"/>
    <w:rsid w:val="00171791"/>
    <w:rsid w:val="00172006"/>
    <w:rsid w:val="001746F6"/>
    <w:rsid w:val="00174DA9"/>
    <w:rsid w:val="0017511F"/>
    <w:rsid w:val="001753B9"/>
    <w:rsid w:val="00175C8F"/>
    <w:rsid w:val="00177A43"/>
    <w:rsid w:val="00177DE6"/>
    <w:rsid w:val="00184092"/>
    <w:rsid w:val="00186032"/>
    <w:rsid w:val="001926C0"/>
    <w:rsid w:val="0019300D"/>
    <w:rsid w:val="00193A13"/>
    <w:rsid w:val="001A7489"/>
    <w:rsid w:val="001B066C"/>
    <w:rsid w:val="001B2ACF"/>
    <w:rsid w:val="001B3A43"/>
    <w:rsid w:val="001B3D26"/>
    <w:rsid w:val="001C0830"/>
    <w:rsid w:val="001C27EF"/>
    <w:rsid w:val="001C30F1"/>
    <w:rsid w:val="001C3D2A"/>
    <w:rsid w:val="001E1DA9"/>
    <w:rsid w:val="001F2866"/>
    <w:rsid w:val="001F49C5"/>
    <w:rsid w:val="001F4D33"/>
    <w:rsid w:val="00201E66"/>
    <w:rsid w:val="0020312E"/>
    <w:rsid w:val="00205326"/>
    <w:rsid w:val="002061C6"/>
    <w:rsid w:val="002074F6"/>
    <w:rsid w:val="00212286"/>
    <w:rsid w:val="00212FD3"/>
    <w:rsid w:val="00213C13"/>
    <w:rsid w:val="00213F24"/>
    <w:rsid w:val="0021474F"/>
    <w:rsid w:val="0021478E"/>
    <w:rsid w:val="002203DC"/>
    <w:rsid w:val="00220FDF"/>
    <w:rsid w:val="00226174"/>
    <w:rsid w:val="002263F1"/>
    <w:rsid w:val="00226549"/>
    <w:rsid w:val="00226DDD"/>
    <w:rsid w:val="00230D0D"/>
    <w:rsid w:val="002310F3"/>
    <w:rsid w:val="00231195"/>
    <w:rsid w:val="002317C9"/>
    <w:rsid w:val="0023263E"/>
    <w:rsid w:val="0024671E"/>
    <w:rsid w:val="00246A9F"/>
    <w:rsid w:val="002514A2"/>
    <w:rsid w:val="00251529"/>
    <w:rsid w:val="00251E11"/>
    <w:rsid w:val="00253725"/>
    <w:rsid w:val="00256B75"/>
    <w:rsid w:val="002628AE"/>
    <w:rsid w:val="0026371B"/>
    <w:rsid w:val="002652C9"/>
    <w:rsid w:val="00265E85"/>
    <w:rsid w:val="00274445"/>
    <w:rsid w:val="002744B4"/>
    <w:rsid w:val="002754AA"/>
    <w:rsid w:val="00277360"/>
    <w:rsid w:val="0028052F"/>
    <w:rsid w:val="00280E76"/>
    <w:rsid w:val="00284514"/>
    <w:rsid w:val="00285AE4"/>
    <w:rsid w:val="00290406"/>
    <w:rsid w:val="00291755"/>
    <w:rsid w:val="00292183"/>
    <w:rsid w:val="00293661"/>
    <w:rsid w:val="00294EF7"/>
    <w:rsid w:val="0029611C"/>
    <w:rsid w:val="002963C7"/>
    <w:rsid w:val="00296648"/>
    <w:rsid w:val="002A1E6A"/>
    <w:rsid w:val="002A2E48"/>
    <w:rsid w:val="002A3C44"/>
    <w:rsid w:val="002A4CDC"/>
    <w:rsid w:val="002A5CFC"/>
    <w:rsid w:val="002A6178"/>
    <w:rsid w:val="002A6BF9"/>
    <w:rsid w:val="002B00AF"/>
    <w:rsid w:val="002B01C2"/>
    <w:rsid w:val="002B3BDC"/>
    <w:rsid w:val="002B4298"/>
    <w:rsid w:val="002B679E"/>
    <w:rsid w:val="002C0809"/>
    <w:rsid w:val="002C2B8E"/>
    <w:rsid w:val="002C64D0"/>
    <w:rsid w:val="002D1451"/>
    <w:rsid w:val="002D2EE5"/>
    <w:rsid w:val="002D49A5"/>
    <w:rsid w:val="002D4AF2"/>
    <w:rsid w:val="002D5A7A"/>
    <w:rsid w:val="002D7CF0"/>
    <w:rsid w:val="002E01B3"/>
    <w:rsid w:val="002E1D18"/>
    <w:rsid w:val="002F08B8"/>
    <w:rsid w:val="002F25D9"/>
    <w:rsid w:val="00302161"/>
    <w:rsid w:val="00302174"/>
    <w:rsid w:val="003121C7"/>
    <w:rsid w:val="003126E2"/>
    <w:rsid w:val="00312C2F"/>
    <w:rsid w:val="003134D4"/>
    <w:rsid w:val="00313CF3"/>
    <w:rsid w:val="00315B01"/>
    <w:rsid w:val="003231B3"/>
    <w:rsid w:val="003276FB"/>
    <w:rsid w:val="003340E1"/>
    <w:rsid w:val="00335572"/>
    <w:rsid w:val="00335940"/>
    <w:rsid w:val="00336602"/>
    <w:rsid w:val="00336E9A"/>
    <w:rsid w:val="0033792F"/>
    <w:rsid w:val="00341CBB"/>
    <w:rsid w:val="00343544"/>
    <w:rsid w:val="003447E5"/>
    <w:rsid w:val="00347BB3"/>
    <w:rsid w:val="003520B7"/>
    <w:rsid w:val="00355E51"/>
    <w:rsid w:val="00362EA3"/>
    <w:rsid w:val="00364842"/>
    <w:rsid w:val="0036495A"/>
    <w:rsid w:val="00367B59"/>
    <w:rsid w:val="00370C13"/>
    <w:rsid w:val="00371D6E"/>
    <w:rsid w:val="00373CC6"/>
    <w:rsid w:val="003758DB"/>
    <w:rsid w:val="00375CFD"/>
    <w:rsid w:val="00381D75"/>
    <w:rsid w:val="00382E2A"/>
    <w:rsid w:val="00387736"/>
    <w:rsid w:val="003927D7"/>
    <w:rsid w:val="00393ECB"/>
    <w:rsid w:val="00394DBE"/>
    <w:rsid w:val="003A1575"/>
    <w:rsid w:val="003A2747"/>
    <w:rsid w:val="003A2AB1"/>
    <w:rsid w:val="003A5996"/>
    <w:rsid w:val="003A7E66"/>
    <w:rsid w:val="003B192D"/>
    <w:rsid w:val="003B1A80"/>
    <w:rsid w:val="003C015C"/>
    <w:rsid w:val="003C5D4D"/>
    <w:rsid w:val="003C7628"/>
    <w:rsid w:val="003C7974"/>
    <w:rsid w:val="003D4C83"/>
    <w:rsid w:val="003D7562"/>
    <w:rsid w:val="003E1343"/>
    <w:rsid w:val="003E1AE5"/>
    <w:rsid w:val="003E66C8"/>
    <w:rsid w:val="003E7BD2"/>
    <w:rsid w:val="003F00A9"/>
    <w:rsid w:val="003F3419"/>
    <w:rsid w:val="004031CD"/>
    <w:rsid w:val="00410206"/>
    <w:rsid w:val="00412497"/>
    <w:rsid w:val="00416161"/>
    <w:rsid w:val="00417220"/>
    <w:rsid w:val="004219DC"/>
    <w:rsid w:val="00422746"/>
    <w:rsid w:val="00423D67"/>
    <w:rsid w:val="00423FB4"/>
    <w:rsid w:val="00432585"/>
    <w:rsid w:val="0043414F"/>
    <w:rsid w:val="00436A53"/>
    <w:rsid w:val="004412ED"/>
    <w:rsid w:val="004428F6"/>
    <w:rsid w:val="0045146A"/>
    <w:rsid w:val="004628FD"/>
    <w:rsid w:val="00464472"/>
    <w:rsid w:val="00466B30"/>
    <w:rsid w:val="00466E8F"/>
    <w:rsid w:val="00467EEB"/>
    <w:rsid w:val="0047064A"/>
    <w:rsid w:val="00470782"/>
    <w:rsid w:val="00472091"/>
    <w:rsid w:val="004729E5"/>
    <w:rsid w:val="00476146"/>
    <w:rsid w:val="00482EFE"/>
    <w:rsid w:val="00484BA5"/>
    <w:rsid w:val="004854B7"/>
    <w:rsid w:val="0048612D"/>
    <w:rsid w:val="00491C7A"/>
    <w:rsid w:val="0049362F"/>
    <w:rsid w:val="00493806"/>
    <w:rsid w:val="00495A99"/>
    <w:rsid w:val="004977BB"/>
    <w:rsid w:val="00497A8D"/>
    <w:rsid w:val="004A1B0C"/>
    <w:rsid w:val="004A5497"/>
    <w:rsid w:val="004A6724"/>
    <w:rsid w:val="004A7276"/>
    <w:rsid w:val="004B29D8"/>
    <w:rsid w:val="004B64B2"/>
    <w:rsid w:val="004B6770"/>
    <w:rsid w:val="004B730D"/>
    <w:rsid w:val="004C0CC7"/>
    <w:rsid w:val="004C1D4D"/>
    <w:rsid w:val="004C20FC"/>
    <w:rsid w:val="004C3799"/>
    <w:rsid w:val="004C5573"/>
    <w:rsid w:val="004D41B2"/>
    <w:rsid w:val="004F04AA"/>
    <w:rsid w:val="004F21DD"/>
    <w:rsid w:val="004F2370"/>
    <w:rsid w:val="004F2EFE"/>
    <w:rsid w:val="004F3C99"/>
    <w:rsid w:val="00502C59"/>
    <w:rsid w:val="00503E04"/>
    <w:rsid w:val="00504499"/>
    <w:rsid w:val="00507848"/>
    <w:rsid w:val="00507EB7"/>
    <w:rsid w:val="00510667"/>
    <w:rsid w:val="00510BE9"/>
    <w:rsid w:val="005117EE"/>
    <w:rsid w:val="005131C2"/>
    <w:rsid w:val="005138DD"/>
    <w:rsid w:val="00513FDA"/>
    <w:rsid w:val="00514231"/>
    <w:rsid w:val="00516124"/>
    <w:rsid w:val="00522D78"/>
    <w:rsid w:val="005236A5"/>
    <w:rsid w:val="00526EE5"/>
    <w:rsid w:val="00527854"/>
    <w:rsid w:val="00531457"/>
    <w:rsid w:val="00532732"/>
    <w:rsid w:val="00532868"/>
    <w:rsid w:val="005351C4"/>
    <w:rsid w:val="005364EA"/>
    <w:rsid w:val="005374D7"/>
    <w:rsid w:val="00540110"/>
    <w:rsid w:val="00540784"/>
    <w:rsid w:val="00542F88"/>
    <w:rsid w:val="00550967"/>
    <w:rsid w:val="005525D2"/>
    <w:rsid w:val="005527E2"/>
    <w:rsid w:val="0055521C"/>
    <w:rsid w:val="005627DC"/>
    <w:rsid w:val="00564237"/>
    <w:rsid w:val="00565B81"/>
    <w:rsid w:val="00566329"/>
    <w:rsid w:val="0057100A"/>
    <w:rsid w:val="005719AA"/>
    <w:rsid w:val="00584AAE"/>
    <w:rsid w:val="00584B9A"/>
    <w:rsid w:val="00585697"/>
    <w:rsid w:val="00585A11"/>
    <w:rsid w:val="00586102"/>
    <w:rsid w:val="005870AE"/>
    <w:rsid w:val="005909CA"/>
    <w:rsid w:val="00590C57"/>
    <w:rsid w:val="005912FA"/>
    <w:rsid w:val="00597436"/>
    <w:rsid w:val="0059765E"/>
    <w:rsid w:val="005A06D6"/>
    <w:rsid w:val="005A1666"/>
    <w:rsid w:val="005A229D"/>
    <w:rsid w:val="005A74AF"/>
    <w:rsid w:val="005A7604"/>
    <w:rsid w:val="005B2059"/>
    <w:rsid w:val="005B4301"/>
    <w:rsid w:val="005B5C2F"/>
    <w:rsid w:val="005B62F3"/>
    <w:rsid w:val="005B6775"/>
    <w:rsid w:val="005B7B87"/>
    <w:rsid w:val="005B7DA9"/>
    <w:rsid w:val="005B7DD6"/>
    <w:rsid w:val="005C2C0B"/>
    <w:rsid w:val="005D0240"/>
    <w:rsid w:val="005D6293"/>
    <w:rsid w:val="005E0878"/>
    <w:rsid w:val="005E092A"/>
    <w:rsid w:val="005E66BE"/>
    <w:rsid w:val="005E70E9"/>
    <w:rsid w:val="005F094D"/>
    <w:rsid w:val="005F1244"/>
    <w:rsid w:val="005F2B0F"/>
    <w:rsid w:val="005F335C"/>
    <w:rsid w:val="006043F5"/>
    <w:rsid w:val="0060574B"/>
    <w:rsid w:val="00605F38"/>
    <w:rsid w:val="006067C3"/>
    <w:rsid w:val="00612E81"/>
    <w:rsid w:val="00613115"/>
    <w:rsid w:val="00615D3E"/>
    <w:rsid w:val="006170FE"/>
    <w:rsid w:val="0061729C"/>
    <w:rsid w:val="00620705"/>
    <w:rsid w:val="00620E9E"/>
    <w:rsid w:val="006238D3"/>
    <w:rsid w:val="00625251"/>
    <w:rsid w:val="00626012"/>
    <w:rsid w:val="006266D4"/>
    <w:rsid w:val="006273BD"/>
    <w:rsid w:val="00627892"/>
    <w:rsid w:val="00637606"/>
    <w:rsid w:val="006407AA"/>
    <w:rsid w:val="00641A10"/>
    <w:rsid w:val="006510FA"/>
    <w:rsid w:val="00652464"/>
    <w:rsid w:val="00655709"/>
    <w:rsid w:val="00657FEC"/>
    <w:rsid w:val="00664107"/>
    <w:rsid w:val="006651D4"/>
    <w:rsid w:val="006656D9"/>
    <w:rsid w:val="0066714C"/>
    <w:rsid w:val="00677C8C"/>
    <w:rsid w:val="00677E1D"/>
    <w:rsid w:val="00681352"/>
    <w:rsid w:val="00684BD2"/>
    <w:rsid w:val="00684C4C"/>
    <w:rsid w:val="00687C19"/>
    <w:rsid w:val="00690009"/>
    <w:rsid w:val="00694C55"/>
    <w:rsid w:val="006A0F18"/>
    <w:rsid w:val="006A1A23"/>
    <w:rsid w:val="006A22D5"/>
    <w:rsid w:val="006B0FC5"/>
    <w:rsid w:val="006C3719"/>
    <w:rsid w:val="006C3EDC"/>
    <w:rsid w:val="006C58FC"/>
    <w:rsid w:val="006C6E04"/>
    <w:rsid w:val="006D2B8D"/>
    <w:rsid w:val="006D37B0"/>
    <w:rsid w:val="006D5060"/>
    <w:rsid w:val="006D52CC"/>
    <w:rsid w:val="006E07C2"/>
    <w:rsid w:val="006E1049"/>
    <w:rsid w:val="006E3C7F"/>
    <w:rsid w:val="006F18D2"/>
    <w:rsid w:val="006F52CA"/>
    <w:rsid w:val="006F6135"/>
    <w:rsid w:val="006F71A0"/>
    <w:rsid w:val="00700A74"/>
    <w:rsid w:val="00701AFD"/>
    <w:rsid w:val="00702DC1"/>
    <w:rsid w:val="007030A7"/>
    <w:rsid w:val="00710CD2"/>
    <w:rsid w:val="00712F7B"/>
    <w:rsid w:val="0071355D"/>
    <w:rsid w:val="0071530F"/>
    <w:rsid w:val="007156D1"/>
    <w:rsid w:val="007174C7"/>
    <w:rsid w:val="00720048"/>
    <w:rsid w:val="007301B1"/>
    <w:rsid w:val="0073129B"/>
    <w:rsid w:val="00733848"/>
    <w:rsid w:val="0073470F"/>
    <w:rsid w:val="00735118"/>
    <w:rsid w:val="007352A7"/>
    <w:rsid w:val="00741BF3"/>
    <w:rsid w:val="00743888"/>
    <w:rsid w:val="007467E9"/>
    <w:rsid w:val="00750226"/>
    <w:rsid w:val="0075389F"/>
    <w:rsid w:val="00760912"/>
    <w:rsid w:val="00770401"/>
    <w:rsid w:val="0077336A"/>
    <w:rsid w:val="0077595F"/>
    <w:rsid w:val="00776E49"/>
    <w:rsid w:val="00781FCA"/>
    <w:rsid w:val="0078258F"/>
    <w:rsid w:val="00785FE6"/>
    <w:rsid w:val="00792EBB"/>
    <w:rsid w:val="0079351A"/>
    <w:rsid w:val="007942B2"/>
    <w:rsid w:val="0079590C"/>
    <w:rsid w:val="007970DC"/>
    <w:rsid w:val="007A0751"/>
    <w:rsid w:val="007A1EB7"/>
    <w:rsid w:val="007A3333"/>
    <w:rsid w:val="007A35F0"/>
    <w:rsid w:val="007A7DF2"/>
    <w:rsid w:val="007B4C0C"/>
    <w:rsid w:val="007C3BD8"/>
    <w:rsid w:val="007C5843"/>
    <w:rsid w:val="007D0356"/>
    <w:rsid w:val="007D2341"/>
    <w:rsid w:val="007E08AF"/>
    <w:rsid w:val="007E1E65"/>
    <w:rsid w:val="007E5C9B"/>
    <w:rsid w:val="007F0D69"/>
    <w:rsid w:val="007F133D"/>
    <w:rsid w:val="008001DF"/>
    <w:rsid w:val="00800A9E"/>
    <w:rsid w:val="008014A7"/>
    <w:rsid w:val="00804B39"/>
    <w:rsid w:val="00807BC7"/>
    <w:rsid w:val="008108C2"/>
    <w:rsid w:val="00811FB8"/>
    <w:rsid w:val="00812A89"/>
    <w:rsid w:val="00813FDF"/>
    <w:rsid w:val="00820D00"/>
    <w:rsid w:val="008210CD"/>
    <w:rsid w:val="00823515"/>
    <w:rsid w:val="00824437"/>
    <w:rsid w:val="00831D16"/>
    <w:rsid w:val="008339B2"/>
    <w:rsid w:val="00840B89"/>
    <w:rsid w:val="0084372A"/>
    <w:rsid w:val="0085041E"/>
    <w:rsid w:val="00851A1C"/>
    <w:rsid w:val="00852DE1"/>
    <w:rsid w:val="008545B7"/>
    <w:rsid w:val="00855007"/>
    <w:rsid w:val="00861B84"/>
    <w:rsid w:val="008626FA"/>
    <w:rsid w:val="008627C0"/>
    <w:rsid w:val="008630B6"/>
    <w:rsid w:val="0086628D"/>
    <w:rsid w:val="00871A88"/>
    <w:rsid w:val="00872470"/>
    <w:rsid w:val="00880053"/>
    <w:rsid w:val="008811F7"/>
    <w:rsid w:val="008817FE"/>
    <w:rsid w:val="00881A27"/>
    <w:rsid w:val="00883C59"/>
    <w:rsid w:val="00886548"/>
    <w:rsid w:val="008872BF"/>
    <w:rsid w:val="008901E2"/>
    <w:rsid w:val="008901F0"/>
    <w:rsid w:val="0089267B"/>
    <w:rsid w:val="008939B2"/>
    <w:rsid w:val="0089426E"/>
    <w:rsid w:val="008942E4"/>
    <w:rsid w:val="00894809"/>
    <w:rsid w:val="008953CA"/>
    <w:rsid w:val="008A0DDE"/>
    <w:rsid w:val="008A69B4"/>
    <w:rsid w:val="008A6FD0"/>
    <w:rsid w:val="008B1FB2"/>
    <w:rsid w:val="008B293E"/>
    <w:rsid w:val="008B6BF0"/>
    <w:rsid w:val="008C1CD2"/>
    <w:rsid w:val="008C4A08"/>
    <w:rsid w:val="008C660C"/>
    <w:rsid w:val="008D0112"/>
    <w:rsid w:val="008D0CAF"/>
    <w:rsid w:val="008D14E1"/>
    <w:rsid w:val="008D1BB5"/>
    <w:rsid w:val="008D2B5B"/>
    <w:rsid w:val="008D5E55"/>
    <w:rsid w:val="008D678E"/>
    <w:rsid w:val="008E24A3"/>
    <w:rsid w:val="008F157F"/>
    <w:rsid w:val="008F1926"/>
    <w:rsid w:val="008F7D27"/>
    <w:rsid w:val="00905131"/>
    <w:rsid w:val="0090684B"/>
    <w:rsid w:val="009111AE"/>
    <w:rsid w:val="00916D8A"/>
    <w:rsid w:val="00917D90"/>
    <w:rsid w:val="00920CBE"/>
    <w:rsid w:val="00920FD3"/>
    <w:rsid w:val="009215AB"/>
    <w:rsid w:val="00924657"/>
    <w:rsid w:val="009246DE"/>
    <w:rsid w:val="00927C35"/>
    <w:rsid w:val="00927E0B"/>
    <w:rsid w:val="00930B0F"/>
    <w:rsid w:val="0093292C"/>
    <w:rsid w:val="00933BE5"/>
    <w:rsid w:val="0093468B"/>
    <w:rsid w:val="00937276"/>
    <w:rsid w:val="009465C8"/>
    <w:rsid w:val="00952151"/>
    <w:rsid w:val="009577D6"/>
    <w:rsid w:val="009578B3"/>
    <w:rsid w:val="00960123"/>
    <w:rsid w:val="009607C7"/>
    <w:rsid w:val="009613ED"/>
    <w:rsid w:val="00962053"/>
    <w:rsid w:val="009634F4"/>
    <w:rsid w:val="00964BA8"/>
    <w:rsid w:val="0096752A"/>
    <w:rsid w:val="00971936"/>
    <w:rsid w:val="00975AEA"/>
    <w:rsid w:val="009825C6"/>
    <w:rsid w:val="00984480"/>
    <w:rsid w:val="00986181"/>
    <w:rsid w:val="00990E51"/>
    <w:rsid w:val="009949C5"/>
    <w:rsid w:val="00996228"/>
    <w:rsid w:val="009962B0"/>
    <w:rsid w:val="00997207"/>
    <w:rsid w:val="00997D92"/>
    <w:rsid w:val="009A200F"/>
    <w:rsid w:val="009A35ED"/>
    <w:rsid w:val="009A4F8D"/>
    <w:rsid w:val="009A6493"/>
    <w:rsid w:val="009B4757"/>
    <w:rsid w:val="009B7529"/>
    <w:rsid w:val="009B7FBC"/>
    <w:rsid w:val="009C054A"/>
    <w:rsid w:val="009C07FA"/>
    <w:rsid w:val="009C183A"/>
    <w:rsid w:val="009C5742"/>
    <w:rsid w:val="009C5B81"/>
    <w:rsid w:val="009C65CE"/>
    <w:rsid w:val="009C66E8"/>
    <w:rsid w:val="009D018D"/>
    <w:rsid w:val="009D02B3"/>
    <w:rsid w:val="009D1251"/>
    <w:rsid w:val="009D1555"/>
    <w:rsid w:val="009D27E1"/>
    <w:rsid w:val="009D2D1A"/>
    <w:rsid w:val="009D740C"/>
    <w:rsid w:val="009D75FF"/>
    <w:rsid w:val="009E2182"/>
    <w:rsid w:val="009E31CA"/>
    <w:rsid w:val="009E57DE"/>
    <w:rsid w:val="009F5781"/>
    <w:rsid w:val="00A015AE"/>
    <w:rsid w:val="00A01D77"/>
    <w:rsid w:val="00A033B9"/>
    <w:rsid w:val="00A03997"/>
    <w:rsid w:val="00A1640B"/>
    <w:rsid w:val="00A171AD"/>
    <w:rsid w:val="00A23544"/>
    <w:rsid w:val="00A2476C"/>
    <w:rsid w:val="00A2541F"/>
    <w:rsid w:val="00A319AD"/>
    <w:rsid w:val="00A3308E"/>
    <w:rsid w:val="00A41298"/>
    <w:rsid w:val="00A41BE3"/>
    <w:rsid w:val="00A4586A"/>
    <w:rsid w:val="00A54476"/>
    <w:rsid w:val="00A601D8"/>
    <w:rsid w:val="00A62228"/>
    <w:rsid w:val="00A65DA3"/>
    <w:rsid w:val="00A708EF"/>
    <w:rsid w:val="00A714BA"/>
    <w:rsid w:val="00A7251D"/>
    <w:rsid w:val="00A76406"/>
    <w:rsid w:val="00A76995"/>
    <w:rsid w:val="00A7773E"/>
    <w:rsid w:val="00A8289F"/>
    <w:rsid w:val="00A84046"/>
    <w:rsid w:val="00A9068C"/>
    <w:rsid w:val="00A90776"/>
    <w:rsid w:val="00A9155A"/>
    <w:rsid w:val="00A91952"/>
    <w:rsid w:val="00A9325C"/>
    <w:rsid w:val="00A93761"/>
    <w:rsid w:val="00A94890"/>
    <w:rsid w:val="00A95511"/>
    <w:rsid w:val="00A9761A"/>
    <w:rsid w:val="00AA0B6D"/>
    <w:rsid w:val="00AA11E6"/>
    <w:rsid w:val="00AA2AED"/>
    <w:rsid w:val="00AA2C45"/>
    <w:rsid w:val="00AA50BE"/>
    <w:rsid w:val="00AB1041"/>
    <w:rsid w:val="00AC10E9"/>
    <w:rsid w:val="00AC1FD0"/>
    <w:rsid w:val="00AC259C"/>
    <w:rsid w:val="00AC5FD1"/>
    <w:rsid w:val="00AC6F16"/>
    <w:rsid w:val="00AC795C"/>
    <w:rsid w:val="00AC7ADC"/>
    <w:rsid w:val="00AC7E17"/>
    <w:rsid w:val="00AD00F5"/>
    <w:rsid w:val="00AD06F8"/>
    <w:rsid w:val="00AD3DB0"/>
    <w:rsid w:val="00AD6CDD"/>
    <w:rsid w:val="00AD7752"/>
    <w:rsid w:val="00AE43E0"/>
    <w:rsid w:val="00AE6595"/>
    <w:rsid w:val="00AF361D"/>
    <w:rsid w:val="00AF500B"/>
    <w:rsid w:val="00B0141D"/>
    <w:rsid w:val="00B051BF"/>
    <w:rsid w:val="00B07652"/>
    <w:rsid w:val="00B122A0"/>
    <w:rsid w:val="00B1340A"/>
    <w:rsid w:val="00B14821"/>
    <w:rsid w:val="00B15C6A"/>
    <w:rsid w:val="00B21B8B"/>
    <w:rsid w:val="00B26EE4"/>
    <w:rsid w:val="00B274CF"/>
    <w:rsid w:val="00B31426"/>
    <w:rsid w:val="00B32E55"/>
    <w:rsid w:val="00B35A23"/>
    <w:rsid w:val="00B37B7C"/>
    <w:rsid w:val="00B42315"/>
    <w:rsid w:val="00B43496"/>
    <w:rsid w:val="00B4414D"/>
    <w:rsid w:val="00B45822"/>
    <w:rsid w:val="00B47C6C"/>
    <w:rsid w:val="00B513AF"/>
    <w:rsid w:val="00B52E38"/>
    <w:rsid w:val="00B53028"/>
    <w:rsid w:val="00B5324A"/>
    <w:rsid w:val="00B558A1"/>
    <w:rsid w:val="00B56E3E"/>
    <w:rsid w:val="00B61FDD"/>
    <w:rsid w:val="00B65E12"/>
    <w:rsid w:val="00B669D1"/>
    <w:rsid w:val="00B70A18"/>
    <w:rsid w:val="00B731AF"/>
    <w:rsid w:val="00B817CF"/>
    <w:rsid w:val="00B82867"/>
    <w:rsid w:val="00B82EE9"/>
    <w:rsid w:val="00B834C1"/>
    <w:rsid w:val="00B9215C"/>
    <w:rsid w:val="00BA0E91"/>
    <w:rsid w:val="00BA2277"/>
    <w:rsid w:val="00BA35E0"/>
    <w:rsid w:val="00BB04E3"/>
    <w:rsid w:val="00BB2BB4"/>
    <w:rsid w:val="00BC29A3"/>
    <w:rsid w:val="00BD3031"/>
    <w:rsid w:val="00BD3542"/>
    <w:rsid w:val="00BD4298"/>
    <w:rsid w:val="00BD6F2B"/>
    <w:rsid w:val="00BE1A1E"/>
    <w:rsid w:val="00BE210A"/>
    <w:rsid w:val="00BE6784"/>
    <w:rsid w:val="00C0082F"/>
    <w:rsid w:val="00C01DA7"/>
    <w:rsid w:val="00C01F51"/>
    <w:rsid w:val="00C023CA"/>
    <w:rsid w:val="00C023D2"/>
    <w:rsid w:val="00C028B5"/>
    <w:rsid w:val="00C03EB0"/>
    <w:rsid w:val="00C10674"/>
    <w:rsid w:val="00C1197C"/>
    <w:rsid w:val="00C11A07"/>
    <w:rsid w:val="00C13609"/>
    <w:rsid w:val="00C13AFB"/>
    <w:rsid w:val="00C1583C"/>
    <w:rsid w:val="00C168DF"/>
    <w:rsid w:val="00C171EE"/>
    <w:rsid w:val="00C23B56"/>
    <w:rsid w:val="00C26E8A"/>
    <w:rsid w:val="00C3007E"/>
    <w:rsid w:val="00C311F1"/>
    <w:rsid w:val="00C3131D"/>
    <w:rsid w:val="00C34FD8"/>
    <w:rsid w:val="00C37583"/>
    <w:rsid w:val="00C439BA"/>
    <w:rsid w:val="00C541D6"/>
    <w:rsid w:val="00C54A9A"/>
    <w:rsid w:val="00C57D68"/>
    <w:rsid w:val="00C61C1E"/>
    <w:rsid w:val="00C62FF9"/>
    <w:rsid w:val="00C645D3"/>
    <w:rsid w:val="00C66D04"/>
    <w:rsid w:val="00C679F1"/>
    <w:rsid w:val="00C700D1"/>
    <w:rsid w:val="00C73D5F"/>
    <w:rsid w:val="00C76232"/>
    <w:rsid w:val="00C77892"/>
    <w:rsid w:val="00C81610"/>
    <w:rsid w:val="00C82856"/>
    <w:rsid w:val="00C82D5D"/>
    <w:rsid w:val="00C94737"/>
    <w:rsid w:val="00C97542"/>
    <w:rsid w:val="00CA2F1D"/>
    <w:rsid w:val="00CA5E40"/>
    <w:rsid w:val="00CA7DC1"/>
    <w:rsid w:val="00CB00F1"/>
    <w:rsid w:val="00CB0960"/>
    <w:rsid w:val="00CB1B4E"/>
    <w:rsid w:val="00CB58D3"/>
    <w:rsid w:val="00CB5E90"/>
    <w:rsid w:val="00CC0CC2"/>
    <w:rsid w:val="00CC232A"/>
    <w:rsid w:val="00CC3EE9"/>
    <w:rsid w:val="00CC491F"/>
    <w:rsid w:val="00CC4F78"/>
    <w:rsid w:val="00CC54FE"/>
    <w:rsid w:val="00CC7903"/>
    <w:rsid w:val="00CD21D9"/>
    <w:rsid w:val="00CF5DE7"/>
    <w:rsid w:val="00CF6637"/>
    <w:rsid w:val="00CF7FBC"/>
    <w:rsid w:val="00D00433"/>
    <w:rsid w:val="00D05D2C"/>
    <w:rsid w:val="00D1102C"/>
    <w:rsid w:val="00D126C4"/>
    <w:rsid w:val="00D2095A"/>
    <w:rsid w:val="00D2156B"/>
    <w:rsid w:val="00D22AF1"/>
    <w:rsid w:val="00D236D9"/>
    <w:rsid w:val="00D23E39"/>
    <w:rsid w:val="00D268FE"/>
    <w:rsid w:val="00D31B88"/>
    <w:rsid w:val="00D4058C"/>
    <w:rsid w:val="00D42838"/>
    <w:rsid w:val="00D44C05"/>
    <w:rsid w:val="00D47C66"/>
    <w:rsid w:val="00D51189"/>
    <w:rsid w:val="00D53E6A"/>
    <w:rsid w:val="00D56B5F"/>
    <w:rsid w:val="00D647E8"/>
    <w:rsid w:val="00D72378"/>
    <w:rsid w:val="00D7348D"/>
    <w:rsid w:val="00D73E94"/>
    <w:rsid w:val="00D77ED2"/>
    <w:rsid w:val="00D817C8"/>
    <w:rsid w:val="00D8567C"/>
    <w:rsid w:val="00D87220"/>
    <w:rsid w:val="00D87CC2"/>
    <w:rsid w:val="00D93600"/>
    <w:rsid w:val="00D93A5B"/>
    <w:rsid w:val="00D954B4"/>
    <w:rsid w:val="00D97620"/>
    <w:rsid w:val="00DA3303"/>
    <w:rsid w:val="00DB17B7"/>
    <w:rsid w:val="00DB383F"/>
    <w:rsid w:val="00DB43CF"/>
    <w:rsid w:val="00DB4404"/>
    <w:rsid w:val="00DC35D4"/>
    <w:rsid w:val="00DC717C"/>
    <w:rsid w:val="00DD01A2"/>
    <w:rsid w:val="00DD2067"/>
    <w:rsid w:val="00DD2AA6"/>
    <w:rsid w:val="00DE3A64"/>
    <w:rsid w:val="00DE448C"/>
    <w:rsid w:val="00DF0E8F"/>
    <w:rsid w:val="00DF488F"/>
    <w:rsid w:val="00DF5574"/>
    <w:rsid w:val="00E01AD1"/>
    <w:rsid w:val="00E02091"/>
    <w:rsid w:val="00E0415B"/>
    <w:rsid w:val="00E16CD1"/>
    <w:rsid w:val="00E20DD9"/>
    <w:rsid w:val="00E212B1"/>
    <w:rsid w:val="00E23B2E"/>
    <w:rsid w:val="00E248C7"/>
    <w:rsid w:val="00E25348"/>
    <w:rsid w:val="00E2668D"/>
    <w:rsid w:val="00E2774B"/>
    <w:rsid w:val="00E308FD"/>
    <w:rsid w:val="00E32360"/>
    <w:rsid w:val="00E338CF"/>
    <w:rsid w:val="00E33949"/>
    <w:rsid w:val="00E34227"/>
    <w:rsid w:val="00E46403"/>
    <w:rsid w:val="00E504C4"/>
    <w:rsid w:val="00E51EE3"/>
    <w:rsid w:val="00E54BD3"/>
    <w:rsid w:val="00E62E71"/>
    <w:rsid w:val="00E672A2"/>
    <w:rsid w:val="00E67A5A"/>
    <w:rsid w:val="00E70880"/>
    <w:rsid w:val="00E71133"/>
    <w:rsid w:val="00E744CB"/>
    <w:rsid w:val="00E80CAA"/>
    <w:rsid w:val="00E82136"/>
    <w:rsid w:val="00E82D49"/>
    <w:rsid w:val="00E84424"/>
    <w:rsid w:val="00E86B30"/>
    <w:rsid w:val="00E905C9"/>
    <w:rsid w:val="00E90F2B"/>
    <w:rsid w:val="00E93211"/>
    <w:rsid w:val="00E96C61"/>
    <w:rsid w:val="00E9728B"/>
    <w:rsid w:val="00E973DF"/>
    <w:rsid w:val="00E97E71"/>
    <w:rsid w:val="00EA0797"/>
    <w:rsid w:val="00EA40A3"/>
    <w:rsid w:val="00EA4F80"/>
    <w:rsid w:val="00EA517A"/>
    <w:rsid w:val="00EA7D0C"/>
    <w:rsid w:val="00EB1107"/>
    <w:rsid w:val="00EB1854"/>
    <w:rsid w:val="00EB1CFF"/>
    <w:rsid w:val="00EB5F20"/>
    <w:rsid w:val="00EB6745"/>
    <w:rsid w:val="00EC24F3"/>
    <w:rsid w:val="00ED3CFB"/>
    <w:rsid w:val="00ED41F7"/>
    <w:rsid w:val="00EE0DA6"/>
    <w:rsid w:val="00EE63CE"/>
    <w:rsid w:val="00EF0EE2"/>
    <w:rsid w:val="00EF43EF"/>
    <w:rsid w:val="00EF5223"/>
    <w:rsid w:val="00EF7ACB"/>
    <w:rsid w:val="00EF7CAC"/>
    <w:rsid w:val="00F00F00"/>
    <w:rsid w:val="00F016B7"/>
    <w:rsid w:val="00F05A18"/>
    <w:rsid w:val="00F1205A"/>
    <w:rsid w:val="00F12C2D"/>
    <w:rsid w:val="00F163D2"/>
    <w:rsid w:val="00F16F80"/>
    <w:rsid w:val="00F1714A"/>
    <w:rsid w:val="00F207B9"/>
    <w:rsid w:val="00F26186"/>
    <w:rsid w:val="00F269FD"/>
    <w:rsid w:val="00F30D5C"/>
    <w:rsid w:val="00F31583"/>
    <w:rsid w:val="00F31840"/>
    <w:rsid w:val="00F319F0"/>
    <w:rsid w:val="00F34470"/>
    <w:rsid w:val="00F35755"/>
    <w:rsid w:val="00F41AD1"/>
    <w:rsid w:val="00F42065"/>
    <w:rsid w:val="00F50CF7"/>
    <w:rsid w:val="00F51BC2"/>
    <w:rsid w:val="00F53B7C"/>
    <w:rsid w:val="00F56562"/>
    <w:rsid w:val="00F571B9"/>
    <w:rsid w:val="00F71344"/>
    <w:rsid w:val="00F71957"/>
    <w:rsid w:val="00F72220"/>
    <w:rsid w:val="00F75BCE"/>
    <w:rsid w:val="00F813F3"/>
    <w:rsid w:val="00F8539F"/>
    <w:rsid w:val="00F92E78"/>
    <w:rsid w:val="00F94CEF"/>
    <w:rsid w:val="00F95F7A"/>
    <w:rsid w:val="00F96C09"/>
    <w:rsid w:val="00F96F03"/>
    <w:rsid w:val="00FA18C6"/>
    <w:rsid w:val="00FA37A5"/>
    <w:rsid w:val="00FA7139"/>
    <w:rsid w:val="00FB05EE"/>
    <w:rsid w:val="00FB3737"/>
    <w:rsid w:val="00FB463F"/>
    <w:rsid w:val="00FB4A47"/>
    <w:rsid w:val="00FB7DF1"/>
    <w:rsid w:val="00FC02A8"/>
    <w:rsid w:val="00FC09A7"/>
    <w:rsid w:val="00FC115D"/>
    <w:rsid w:val="00FC3421"/>
    <w:rsid w:val="00FC3821"/>
    <w:rsid w:val="00FC426E"/>
    <w:rsid w:val="00FC4608"/>
    <w:rsid w:val="00FC5B9B"/>
    <w:rsid w:val="00FC7BA7"/>
    <w:rsid w:val="00FD3A8E"/>
    <w:rsid w:val="00FE0C76"/>
    <w:rsid w:val="00FE611C"/>
    <w:rsid w:val="00FF2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6970"/>
  <w15:chartTrackingRefBased/>
  <w15:docId w15:val="{820FAC76-C532-784B-B215-9886C2E9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E1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1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1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A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A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A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A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A1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E1A1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E1A1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E1A1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E1A1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E1A1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E1A1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E1A1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E1A1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E1A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A1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E1A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A1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E1A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1A1E"/>
    <w:rPr>
      <w:i/>
      <w:iCs/>
      <w:color w:val="404040" w:themeColor="text1" w:themeTint="BF"/>
      <w:lang w:val="en-GB"/>
    </w:rPr>
  </w:style>
  <w:style w:type="paragraph" w:styleId="ListParagraph">
    <w:name w:val="List Paragraph"/>
    <w:basedOn w:val="Normal"/>
    <w:uiPriority w:val="34"/>
    <w:qFormat/>
    <w:rsid w:val="00BE1A1E"/>
    <w:pPr>
      <w:ind w:left="720"/>
      <w:contextualSpacing/>
    </w:pPr>
  </w:style>
  <w:style w:type="character" w:styleId="IntenseEmphasis">
    <w:name w:val="Intense Emphasis"/>
    <w:basedOn w:val="DefaultParagraphFont"/>
    <w:uiPriority w:val="21"/>
    <w:qFormat/>
    <w:rsid w:val="00BE1A1E"/>
    <w:rPr>
      <w:i/>
      <w:iCs/>
      <w:color w:val="0F4761" w:themeColor="accent1" w:themeShade="BF"/>
    </w:rPr>
  </w:style>
  <w:style w:type="paragraph" w:styleId="IntenseQuote">
    <w:name w:val="Intense Quote"/>
    <w:basedOn w:val="Normal"/>
    <w:next w:val="Normal"/>
    <w:link w:val="IntenseQuoteChar"/>
    <w:uiPriority w:val="30"/>
    <w:qFormat/>
    <w:rsid w:val="00BE1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A1E"/>
    <w:rPr>
      <w:i/>
      <w:iCs/>
      <w:color w:val="0F4761" w:themeColor="accent1" w:themeShade="BF"/>
      <w:lang w:val="en-GB"/>
    </w:rPr>
  </w:style>
  <w:style w:type="character" w:styleId="IntenseReference">
    <w:name w:val="Intense Reference"/>
    <w:basedOn w:val="DefaultParagraphFont"/>
    <w:uiPriority w:val="32"/>
    <w:qFormat/>
    <w:rsid w:val="00BE1A1E"/>
    <w:rPr>
      <w:b/>
      <w:bCs/>
      <w:smallCaps/>
      <w:color w:val="0F4761" w:themeColor="accent1" w:themeShade="BF"/>
      <w:spacing w:val="5"/>
    </w:rPr>
  </w:style>
  <w:style w:type="character" w:styleId="Hyperlink">
    <w:name w:val="Hyperlink"/>
    <w:basedOn w:val="DefaultParagraphFont"/>
    <w:uiPriority w:val="99"/>
    <w:unhideWhenUsed/>
    <w:rsid w:val="007C5843"/>
    <w:rPr>
      <w:color w:val="467886" w:themeColor="hyperlink"/>
      <w:u w:val="single"/>
    </w:rPr>
  </w:style>
  <w:style w:type="character" w:styleId="UnresolvedMention">
    <w:name w:val="Unresolved Mention"/>
    <w:basedOn w:val="DefaultParagraphFont"/>
    <w:uiPriority w:val="99"/>
    <w:rsid w:val="007C5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4073231">
      <w:bodyDiv w:val="1"/>
      <w:marLeft w:val="0"/>
      <w:marRight w:val="0"/>
      <w:marTop w:val="0"/>
      <w:marBottom w:val="0"/>
      <w:divBdr>
        <w:top w:val="none" w:sz="0" w:space="0" w:color="auto"/>
        <w:left w:val="none" w:sz="0" w:space="0" w:color="auto"/>
        <w:bottom w:val="none" w:sz="0" w:space="0" w:color="auto"/>
        <w:right w:val="none" w:sz="0" w:space="0" w:color="auto"/>
      </w:divBdr>
    </w:div>
    <w:div w:id="521091854">
      <w:bodyDiv w:val="1"/>
      <w:marLeft w:val="0"/>
      <w:marRight w:val="0"/>
      <w:marTop w:val="0"/>
      <w:marBottom w:val="0"/>
      <w:divBdr>
        <w:top w:val="none" w:sz="0" w:space="0" w:color="auto"/>
        <w:left w:val="none" w:sz="0" w:space="0" w:color="auto"/>
        <w:bottom w:val="none" w:sz="0" w:space="0" w:color="auto"/>
        <w:right w:val="none" w:sz="0" w:space="0" w:color="auto"/>
      </w:divBdr>
    </w:div>
    <w:div w:id="1780564952">
      <w:bodyDiv w:val="1"/>
      <w:marLeft w:val="0"/>
      <w:marRight w:val="0"/>
      <w:marTop w:val="0"/>
      <w:marBottom w:val="0"/>
      <w:divBdr>
        <w:top w:val="none" w:sz="0" w:space="0" w:color="auto"/>
        <w:left w:val="none" w:sz="0" w:space="0" w:color="auto"/>
        <w:bottom w:val="none" w:sz="0" w:space="0" w:color="auto"/>
        <w:right w:val="none" w:sz="0" w:space="0" w:color="auto"/>
      </w:divBdr>
    </w:div>
    <w:div w:id="186004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e.es/dynt3/inebase/index.htm?padre=12385&amp;capsel=1238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ÁNGEL LUQUE FERNÁNDEZ</dc:creator>
  <cp:keywords/>
  <dc:description/>
  <cp:lastModifiedBy>MIGUEL ÁNGEL LUQUE FERNÁNDEZ</cp:lastModifiedBy>
  <cp:revision>2</cp:revision>
  <dcterms:created xsi:type="dcterms:W3CDTF">2025-10-17T06:47:00Z</dcterms:created>
  <dcterms:modified xsi:type="dcterms:W3CDTF">2025-10-28T08:58:00Z</dcterms:modified>
</cp:coreProperties>
</file>