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0" w:line="240" w:lineRule="auto"/>
      </w:pPr>
    </w:p>
    <w:p>
      <w:pPr>
        <w:spacing w:before="0" w:after="200" w:line="28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MANUAL DE ANOTACIÓN DEL CORPUS</w:t>
      </w:r>
    </w:p>
    <w:p>
      <w:pPr>
        <w:spacing w:before="0" w:after="600" w:line="280" w:lineRule="auto"/>
        <w:jc w:val="center"/>
      </w:pPr>
      <w:r>
        <w:rPr>
          <w:rFonts w:ascii="Times New Roman" w:hAnsi="Times New Roman" w:cs="Times New Roman"/>
          <w:i/>
          <w:sz w:val="24"/>
          <w:szCs w:val="24"/>
        </w:rPr>
        <w:t xml:space="preserve">Criterios para el etiquetado manual de entidades de producto e intención de compra</w:t>
      </w:r>
    </w:p>
    <w:p>
      <w:pPr>
        <w:spacing w:before="0" w:after="800" w:line="260" w:lineRule="auto"/>
        <w:jc w:val="center"/>
      </w:pPr>
      <w:r>
        <w:rPr>
          <w:rFonts w:ascii="Times New Roman" w:hAnsi="Times New Roman" w:cs="Times New Roman"/>
          <w:i/>
          <w:sz w:val="22"/>
          <w:szCs w:val="22"/>
        </w:rPr>
        <w:t xml:space="preserve">Sistema Automatizado de Inteligencia Comercial mediante Social Listening y Procesamiento de Lenguaje Natural</w:t>
      </w:r>
    </w:p>
    <w:p>
      <w:pPr>
        <w:spacing w:before="0" w:after="60" w:line="240" w:lineRule="auto"/>
        <w:jc w:val="center"/>
      </w:pPr>
      <w:r>
        <w:rPr>
          <w:rFonts w:ascii="Times New Roman" w:hAnsi="Times New Roman" w:cs="Times New Roman"/>
          <w:sz w:val="23"/>
          <w:szCs w:val="23"/>
        </w:rPr>
        <w:t xml:space="preserve">Daniela Trujillo Villamarín · Miguel Ángel Reina · Gabriel Zambrano Triviño</w:t>
      </w:r>
    </w:p>
    <w:p>
      <w:pPr>
        <w:spacing w:before="0" w:after="60" w:line="240" w:lineRule="auto"/>
        <w:jc w:val="center"/>
      </w:pPr>
      <w:r>
        <w:rPr>
          <w:rFonts w:ascii="Times New Roman" w:hAnsi="Times New Roman" w:cs="Times New Roman"/>
          <w:sz w:val="23"/>
          <w:szCs w:val="23"/>
        </w:rPr>
        <w:t xml:space="preserve">Maestría en Analítica de Datos — Universidad Central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sz w:val="23"/>
          <w:szCs w:val="23"/>
        </w:rPr>
        <w:t xml:space="preserve">Bogotá D.C., 2026</w:t>
      </w:r>
    </w:p>
    <w:p>
      <w:pPr>
        <w:pStyle w:val="Heading1"/>
        <w:keepNext/>
        <w:pageBreakBefore/>
        <w:spacing w:before="0" w:after="90" w:line="240" w:lineRule="auto"/>
        <w:jc w:val="left"/>
      </w:pPr>
      <w:r>
        <w:rPr>
          <w:rFonts w:ascii="Times New Roman" w:hAnsi="Times New Roman"/>
          <w:b/>
          <w:color w:val="8C1D1D"/>
          <w:sz w:val="27"/>
          <w:szCs w:val="27"/>
        </w:rPr>
        <w:t xml:space="preserve">1. Para qué sirve este documento</w:t>
      </w:r>
    </w:p>
    <w:p>
      <w:pPr>
        <w:spacing w:before="0" w:after="100" w:line="252" w:lineRule="auto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El sistema extrae automáticamente nombres de producto y estima si un comentario expresa intención de compra. Hasta ahora no existe forma de saber si acierta: no hay un conjunto de respuestas correctas contra el cual compararlo. Este manual define esas respuestas correctas.</w:t>
      </w:r>
    </w:p>
    <w:p>
      <w:pPr>
        <w:spacing w:before="0" w:after="100" w:line="252" w:lineRule="auto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Los tres integrantes anotan el mismo material de forma independiente. De ahí salen tres cosas que el proyecto necesita y que hoy no tiene: la precisión del extractor de entidades, el F1-score del clasificador de intención, y el coeficiente kappa que demuestra que los criterios de anotación son reproducibles y no opiniones personales.</w:t>
      </w:r>
    </w:p>
    <w:tbl>
      <w:tblPr>
        <w:tblW w:w="9406" w:type="dxa"/>
        <w:jc w:val="center"/>
        <w:tblBorders>
          <w:top w:val="nil"/>
          <w:left w:val="single" w:sz="20" w:color="8C1D1D"/>
          <w:bottom w:val="nil"/>
          <w:right w:val="nil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w="9406" w:type="dxa"/>
            <w:shd w:val="clear" w:color="auto" w:fill="FBEAEA"/>
            <w:tcMar>
              <w:top w:w="110" w:type="dxa"/>
              <w:left w:w="200" w:type="dxa"/>
              <w:bottom w:w="110" w:type="dxa"/>
              <w:right w:w="2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La regla que no se puede romper</w:t>
            </w:r>
          </w:p>
          <w:p>
            <w:pPr>
              <w:spacing w:before="20" w:after="40" w:line="252" w:lineRule="auto"/>
              <w:jc w:val="both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Anote solo. No consulte con los demás mientras trabaja, no compare respuestas y no se pongan de acuerdo sobre casos concretos. La concordancia entre anotadores solo significa algo si las tres lecturas fueron independientes. Si se coordinan antes, el kappa resultante no mide nada y la métrica queda inservible.</w:t>
            </w:r>
          </w:p>
          <w:p>
            <w:pPr>
              <w:spacing w:before="20" w:after="40" w:line="252" w:lineRule="auto"/>
              <w:jc w:val="both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Las dudas se resuelven contra este manual, no entre ustedes. Si el manual no alcanza, marque DUDOSO y siga: esas filas se revisan juntos al final, en la sesión de conciliación.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keepNext/>
        <w:spacing w:before="200" w:after="90" w:line="240" w:lineRule="auto"/>
        <w:jc w:val="left"/>
      </w:pPr>
      <w:r>
        <w:rPr>
          <w:rFonts w:ascii="Times New Roman" w:hAnsi="Times New Roman"/>
          <w:b/>
          <w:color w:val="8C1D1D"/>
          <w:sz w:val="24"/>
          <w:szCs w:val="24"/>
        </w:rPr>
        <w:t xml:space="preserve">1.1. Qué recibe cada anotador</w:t>
      </w:r>
    </w:p>
    <w:tbl>
      <w:tblPr>
        <w:tblW w:w="9406" w:type="dxa"/>
        <w:jc w:val="center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C8C8C8"/>
          <w:insideV w:val="single" w:sz="4" w:color="C8C8C8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800"/>
        <w:gridCol w:w="6606"/>
      </w:tblGrid>
      <w:tr>
        <w:trPr>
          <w:cantSplit/>
          <w:tblHeader/>
        </w:trPr>
        <w:tc>
          <w:tcPr>
            <w:tcW w:w="2800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w="6606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Anotacion_&lt;Nombre&gt;.xlsx</w:t>
            </w:r>
          </w:p>
        </w:tc>
        <w:tc>
          <w:tcPr>
            <w:tcW w:w="66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Su libro personal. Los tres son idénticos en contenido y orden. Complete únicamente las celdas amarillas.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Este manual</w:t>
            </w:r>
          </w:p>
        </w:tc>
        <w:tc>
          <w:tcPr>
            <w:tcW w:w="66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Criterios y casos de frontera. Téngalo abierto mientras anota.</w:t>
            </w:r>
          </w:p>
        </w:tc>
      </w:tr>
    </w:tbl>
    <w:p>
      <w:pPr>
        <w:spacing w:before="40" w:after="200" w:line="240" w:lineRule="auto"/>
        <w:jc w:val="left"/>
      </w:pPr>
      <w:r>
        <w:rPr>
          <w:rFonts w:ascii="Times New Roman" w:hAnsi="Times New Roman" w:cs="Times New Roman"/>
          <w:i/>
          <w:sz w:val="17"/>
          <w:szCs w:val="17"/>
        </w:rPr>
        <w:t xml:space="preserve">Fuente: elaboración propia.</w:t>
      </w:r>
    </w:p>
    <w:p>
      <w:pPr>
        <w:spacing w:before="0" w:after="100" w:line="252" w:lineRule="auto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El libro tiene tres hojas de trabajo. Las tareas A y B son obligatorias; la tarea C es opcional y solo se aborda si queda tiempo.</w:t>
      </w:r>
    </w:p>
    <w:tbl>
      <w:tblPr>
        <w:tblW w:w="9406" w:type="dxa"/>
        <w:jc w:val="center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C8C8C8"/>
          <w:insideV w:val="single" w:sz="4" w:color="C8C8C8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900"/>
        <w:gridCol w:w="4400"/>
        <w:gridCol w:w="1200"/>
        <w:gridCol w:w="1906"/>
      </w:tblGrid>
      <w:tr>
        <w:trPr>
          <w:cantSplit/>
          <w:tblHeader/>
        </w:trPr>
        <w:tc>
          <w:tcPr>
            <w:tcW w:w="1900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 xml:space="preserve">Hoja</w:t>
            </w:r>
          </w:p>
        </w:tc>
        <w:tc>
          <w:tcPr>
            <w:tcW w:w="4400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w="1200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 xml:space="preserve">Filas</w:t>
            </w:r>
          </w:p>
        </w:tc>
        <w:tc>
          <w:tcPr>
            <w:tcW w:w="1906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 xml:space="preserve">Tiempo estimado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A_Entidades</w:t>
            </w:r>
          </w:p>
        </w:tc>
        <w:tc>
          <w:tcPr>
            <w:tcW w:w="4400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¿El texto extraído nombra un producto?</w:t>
            </w:r>
          </w:p>
        </w:tc>
        <w:tc>
          <w:tcPr>
            <w:tcW w:w="1200" w:type="dxa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184</w:t>
            </w:r>
          </w:p>
        </w:tc>
        <w:tc>
          <w:tcPr>
            <w:tcW w:w="1906" w:type="dxa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30–45 min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B_Intencion</w:t>
            </w:r>
          </w:p>
        </w:tc>
        <w:tc>
          <w:tcPr>
            <w:tcW w:w="44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¿El comentario expresa intención de compra?</w:t>
            </w:r>
          </w:p>
        </w:tc>
        <w:tc>
          <w:tcPr>
            <w:tcW w:w="12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297</w:t>
            </w:r>
          </w:p>
        </w:tc>
        <w:tc>
          <w:tcPr>
            <w:tcW w:w="19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45–60 min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C_Recall</w:t>
            </w:r>
          </w:p>
        </w:tc>
        <w:tc>
          <w:tcPr>
            <w:tcW w:w="4400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Qué productos ve usted en la publicación (opcional)</w:t>
            </w:r>
          </w:p>
        </w:tc>
        <w:tc>
          <w:tcPr>
            <w:tcW w:w="1200" w:type="dxa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20</w:t>
            </w:r>
          </w:p>
        </w:tc>
        <w:tc>
          <w:tcPr>
            <w:tcW w:w="1906" w:type="dxa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30 min</w:t>
            </w:r>
          </w:p>
        </w:tc>
      </w:tr>
    </w:tbl>
    <w:p>
      <w:pPr>
        <w:spacing w:before="40" w:after="200" w:line="240" w:lineRule="auto"/>
        <w:jc w:val="left"/>
      </w:pPr>
      <w:r>
        <w:rPr>
          <w:rFonts w:ascii="Times New Roman" w:hAnsi="Times New Roman" w:cs="Times New Roman"/>
          <w:i/>
          <w:sz w:val="17"/>
          <w:szCs w:val="17"/>
        </w:rPr>
        <w:t xml:space="preserve">Fuente: elaboración propia.</w:t>
      </w:r>
    </w:p>
    <w:p>
      <w:pPr>
        <w:pStyle w:val="Heading1"/>
        <w:keepNext/>
        <w:spacing w:before="280" w:after="90" w:line="240" w:lineRule="auto"/>
        <w:jc w:val="left"/>
      </w:pPr>
      <w:r>
        <w:rPr>
          <w:rFonts w:ascii="Times New Roman" w:hAnsi="Times New Roman"/>
          <w:b/>
          <w:color w:val="8C1D1D"/>
          <w:sz w:val="27"/>
          <w:szCs w:val="27"/>
        </w:rPr>
        <w:t xml:space="preserve">2. Tarea A — ¿Es un producto?</w:t>
      </w:r>
    </w:p>
    <w:p>
      <w:pPr>
        <w:spacing w:before="0" w:after="100" w:line="252" w:lineRule="auto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Cada fila contiene un texto que el sistema extrajo como candidato a producto. La pregunta que debe responder es una sola:</w:t>
      </w:r>
    </w:p>
    <w:tbl>
      <w:tblPr>
        <w:tblW w:w="9406" w:type="dxa"/>
        <w:jc w:val="center"/>
        <w:tblBorders>
          <w:top w:val="nil"/>
          <w:left w:val="single" w:sz="20" w:color="4A7C3F"/>
          <w:bottom w:val="nil"/>
          <w:right w:val="nil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w="9406" w:type="dxa"/>
            <w:shd w:val="clear" w:color="auto" w:fill="EFF4EC"/>
            <w:tcMar>
              <w:top w:w="110" w:type="dxa"/>
              <w:left w:w="200" w:type="dxa"/>
              <w:bottom w:w="110" w:type="dxa"/>
              <w:right w:w="2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La pregunta</w:t>
            </w:r>
          </w:p>
          <w:p>
            <w:pPr>
              <w:spacing w:before="20" w:after="40" w:line="252" w:lineRule="auto"/>
              <w:jc w:val="both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¿Este texto nombra un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producto físico que una PYME colombiana de comercio electrónico podría comprar y revender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?</w:t>
            </w:r>
          </w:p>
        </w:tc>
      </w:tr>
    </w:tbl>
    <w:p>
      <w:pPr>
        <w:spacing w:before="0" w:after="100" w:line="240" w:lineRule="auto"/>
      </w:pPr>
    </w:p>
    <w:p>
      <w:pPr>
        <w:pStyle w:val="Heading2"/>
        <w:keepNext/>
        <w:spacing w:before="200" w:after="90" w:line="240" w:lineRule="auto"/>
        <w:jc w:val="left"/>
      </w:pPr>
      <w:r>
        <w:rPr>
          <w:rFonts w:ascii="Times New Roman" w:hAnsi="Times New Roman"/>
          <w:b/>
          <w:color w:val="8C1D1D"/>
          <w:sz w:val="24"/>
          <w:szCs w:val="24"/>
        </w:rPr>
        <w:t xml:space="preserve">2.1. Cuándo marcar SÍ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Objetos concretos. </w:t>
      </w:r>
      <w:r>
        <w:rPr>
          <w:rFonts w:ascii="Times New Roman" w:hAnsi="Times New Roman" w:cs="Times New Roman"/>
          <w:sz w:val="23"/>
          <w:szCs w:val="23"/>
        </w:rPr>
        <w:t xml:space="preserve">Cosas que se pueden empacar y enviar: "air purifier", "candle holder", "paper towels", "seed beads".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Marca más producto. </w:t>
      </w:r>
      <w:r>
        <w:rPr>
          <w:rFonts w:ascii="Times New Roman" w:hAnsi="Times New Roman" w:cs="Times New Roman"/>
          <w:sz w:val="23"/>
          <w:szCs w:val="23"/>
        </w:rPr>
        <w:t xml:space="preserve">"ninja coffee maker", "instant pot", "nicetown curtains". Son los casos más valiosos porque se pueden buscar y cotizar directamente.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Categorías comercializables. </w:t>
      </w:r>
      <w:r>
        <w:rPr>
          <w:rFonts w:ascii="Times New Roman" w:hAnsi="Times New Roman" w:cs="Times New Roman"/>
          <w:sz w:val="23"/>
          <w:szCs w:val="23"/>
        </w:rPr>
        <w:t xml:space="preserve">"baseball hats", "wine glasses", "cleaning cloths". Aunque sean genéricas, corresponden a una línea de producto real.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Productos con especificación. </w:t>
      </w:r>
      <w:r>
        <w:rPr>
          <w:rFonts w:ascii="Times New Roman" w:hAnsi="Times New Roman" w:cs="Times New Roman"/>
          <w:sz w:val="23"/>
          <w:szCs w:val="23"/>
        </w:rPr>
        <w:t xml:space="preserve">"gold storage drawers", "hose shower head", "marble lamp table".</w:t>
      </w:r>
    </w:p>
    <w:p>
      <w:pPr>
        <w:pStyle w:val="Heading2"/>
        <w:keepNext/>
        <w:spacing w:before="200" w:after="90" w:line="240" w:lineRule="auto"/>
        <w:jc w:val="left"/>
      </w:pPr>
      <w:r>
        <w:rPr>
          <w:rFonts w:ascii="Times New Roman" w:hAnsi="Times New Roman"/>
          <w:b/>
          <w:color w:val="8C1D1D"/>
          <w:sz w:val="24"/>
          <w:szCs w:val="24"/>
        </w:rPr>
        <w:t xml:space="preserve">2.2. Cuándo marcar NO</w:t>
      </w:r>
    </w:p>
    <w:tbl>
      <w:tblPr>
        <w:tblW w:w="9406" w:type="dxa"/>
        <w:jc w:val="center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C8C8C8"/>
          <w:insideV w:val="single" w:sz="4" w:color="C8C8C8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0"/>
        <w:gridCol w:w="6806"/>
      </w:tblGrid>
      <w:tr>
        <w:trPr>
          <w:cantSplit/>
          <w:tblHeader/>
        </w:trPr>
        <w:tc>
          <w:tcPr>
            <w:tcW w:w="2600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6806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 xml:space="preserve">Ejemplos del corpus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Fragmentos de oración</w:t>
            </w:r>
          </w:p>
        </w:tc>
        <w:tc>
          <w:tcPr>
            <w:tcW w:w="68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"and they made", "but does", "ill finish", "need to learn"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Conceptos abstractos</w:t>
            </w:r>
          </w:p>
        </w:tc>
        <w:tc>
          <w:tcPr>
            <w:tcW w:w="68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"shipping costs", "organization tips", "game changer", "trigger warning"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Saludos y expresiones</w:t>
            </w:r>
          </w:p>
        </w:tc>
        <w:tc>
          <w:tcPr>
            <w:tcW w:w="68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"bendiciones bendiciones", "hola bna", "favor buenas noches"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Lugares</w:t>
            </w:r>
          </w:p>
        </w:tc>
        <w:tc>
          <w:tcPr>
            <w:tcW w:w="68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"san francisco", "plaza san agustin", "california u.s", "zona t"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Personas o cuentas</w:t>
            </w:r>
          </w:p>
        </w:tc>
        <w:tc>
          <w:tcPr>
            <w:tcW w:w="68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"joey foo", "tyler catastrophe", "centro jason"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Números y fechas</w:t>
            </w:r>
          </w:p>
        </w:tc>
        <w:tc>
          <w:tcPr>
            <w:tcW w:w="68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"mid 90s", "number 03", "viernes 800 am", "highlights 1"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Datos de contacto o spam</w:t>
            </w:r>
          </w:p>
        </w:tc>
        <w:tc>
          <w:tcPr>
            <w:tcW w:w="68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"catalogo whatsap 318XXXXXXX" — número redactado. El extractor ya descarta toda secuencia de siete o más dígitos, por proteccion de datos personales.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Características, no productos</w:t>
            </w:r>
          </w:p>
        </w:tc>
        <w:tc>
          <w:tcPr>
            <w:tcW w:w="68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"light modes", "non stick surface", "king size"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Servicios</w:t>
            </w:r>
          </w:p>
        </w:tc>
        <w:tc>
          <w:tcPr>
            <w:tcW w:w="68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"car washing", "envío gratis", "contra entrega"</w:t>
            </w:r>
          </w:p>
        </w:tc>
      </w:tr>
    </w:tbl>
    <w:p>
      <w:pPr>
        <w:spacing w:before="40" w:after="200" w:line="240" w:lineRule="auto"/>
        <w:jc w:val="left"/>
      </w:pPr>
      <w:r>
        <w:rPr>
          <w:rFonts w:ascii="Times New Roman" w:hAnsi="Times New Roman" w:cs="Times New Roman"/>
          <w:i/>
          <w:sz w:val="17"/>
          <w:szCs w:val="17"/>
        </w:rPr>
        <w:t xml:space="preserve">Fuente: elaboración propia con ejemplos reales del corpus.</w:t>
      </w:r>
    </w:p>
    <w:p>
      <w:pPr>
        <w:pStyle w:val="Heading2"/>
        <w:keepNext/>
        <w:spacing w:before="200" w:after="90" w:line="240" w:lineRule="auto"/>
        <w:jc w:val="left"/>
      </w:pPr>
      <w:r>
        <w:rPr>
          <w:rFonts w:ascii="Times New Roman" w:hAnsi="Times New Roman"/>
          <w:b/>
          <w:color w:val="8C1D1D"/>
          <w:sz w:val="24"/>
          <w:szCs w:val="24"/>
        </w:rPr>
        <w:t xml:space="preserve">2.3. Casos de frontera</w:t>
      </w:r>
    </w:p>
    <w:p>
      <w:pPr>
        <w:spacing w:before="0" w:after="100" w:line="252" w:lineRule="auto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Estos son los que generan desacuerdo. Los criterios siguientes son obligatorios: aplíquelos aunque su intuición diga otra cosa, porque su propósito es que los tres anoten igual.</w:t>
      </w:r>
    </w:p>
    <w:tbl>
      <w:tblPr>
        <w:tblW w:w="9406" w:type="dxa"/>
        <w:jc w:val="center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C8C8C8"/>
          <w:insideV w:val="single" w:sz="4" w:color="C8C8C8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200"/>
        <w:gridCol w:w="4100"/>
        <w:gridCol w:w="3106"/>
      </w:tblGrid>
      <w:tr>
        <w:trPr>
          <w:cantSplit/>
          <w:tblHeader/>
        </w:trPr>
        <w:tc>
          <w:tcPr>
            <w:tcW w:w="2200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  <w:szCs w:val="17"/>
              </w:rPr>
              <w:t xml:space="preserve">Caso</w:t>
            </w:r>
          </w:p>
        </w:tc>
        <w:tc>
          <w:tcPr>
            <w:tcW w:w="4100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w="3106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  <w:szCs w:val="17"/>
              </w:rPr>
              <w:t xml:space="preserve">Ejemplo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Marca sola, sin producto</w:t>
            </w:r>
          </w:p>
        </w:tc>
        <w:tc>
          <w:tcPr>
            <w:tcW w:w="4100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NO. Una marca no dice qué se compra.</w:t>
            </w:r>
          </w:p>
        </w:tc>
        <w:tc>
          <w:tcPr>
            <w:tcW w:w="31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"amazon españa", "pro colombia"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Categoría muy amplia</w:t>
            </w:r>
          </w:p>
        </w:tc>
        <w:tc>
          <w:tcPr>
            <w:tcW w:w="41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SÍ, si designa una línea de producto vendible.</w:t>
            </w:r>
          </w:p>
        </w:tc>
        <w:tc>
          <w:tcPr>
            <w:tcW w:w="31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"kitchen appliance" → SÍ; "home upgrades" → NO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Producto con adjetivo de opinión</w:t>
            </w:r>
          </w:p>
        </w:tc>
        <w:tc>
          <w:tcPr>
            <w:tcW w:w="4100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SÍ. El adjetivo no invalida el objeto.</w:t>
            </w:r>
          </w:p>
        </w:tc>
        <w:tc>
          <w:tcPr>
            <w:tcW w:w="31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"wonderful deal" → NO; "crystal tree" → SÍ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Parte o accesorio</w:t>
            </w:r>
          </w:p>
        </w:tc>
        <w:tc>
          <w:tcPr>
            <w:tcW w:w="41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SÍ, si se vende por separado.</w:t>
            </w:r>
          </w:p>
        </w:tc>
        <w:tc>
          <w:tcPr>
            <w:tcW w:w="31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"watch band" → SÍ; "shower wall" → NO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Alimento</w:t>
            </w:r>
          </w:p>
        </w:tc>
        <w:tc>
          <w:tcPr>
            <w:tcW w:w="4100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SÍ, si es un producto envasado y revendible.</w:t>
            </w:r>
          </w:p>
        </w:tc>
        <w:tc>
          <w:tcPr>
            <w:tcW w:w="31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"almond milk" → SÍ; "cake batter" → DUDOSO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Consola o electrónica con modelo</w:t>
            </w:r>
          </w:p>
        </w:tc>
        <w:tc>
          <w:tcPr>
            <w:tcW w:w="41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SÍ.</w:t>
            </w:r>
          </w:p>
        </w:tc>
        <w:tc>
          <w:tcPr>
            <w:tcW w:w="31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"ps5 slim", "hornet 600"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Texto en otro idioma</w:t>
            </w:r>
          </w:p>
        </w:tc>
        <w:tc>
          <w:tcPr>
            <w:tcW w:w="4100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Aplique el mismo criterio si lo entiende; si no, DUDOSO.</w:t>
            </w:r>
          </w:p>
        </w:tc>
        <w:tc>
          <w:tcPr>
            <w:tcW w:w="31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"das verlängerungskabel"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Producto mal escrito</w:t>
            </w:r>
          </w:p>
        </w:tc>
        <w:tc>
          <w:tcPr>
            <w:tcW w:w="41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SÍ, si se reconoce de qué se trata.</w:t>
            </w:r>
          </w:p>
        </w:tc>
        <w:tc>
          <w:tcPr>
            <w:tcW w:w="31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"bathroon cart" → SÍ; "ninja creamy" → SÍ</w:t>
            </w:r>
          </w:p>
        </w:tc>
      </w:tr>
    </w:tbl>
    <w:p>
      <w:pPr>
        <w:spacing w:before="40" w:after="200" w:line="240" w:lineRule="auto"/>
        <w:jc w:val="left"/>
      </w:pPr>
      <w:r>
        <w:rPr>
          <w:rFonts w:ascii="Times New Roman" w:hAnsi="Times New Roman" w:cs="Times New Roman"/>
          <w:i/>
          <w:sz w:val="17"/>
          <w:szCs w:val="17"/>
        </w:rPr>
        <w:t xml:space="preserve">Fuente: elaboración propia.</w:t>
      </w:r>
    </w:p>
    <w:p>
      <w:pPr>
        <w:pStyle w:val="Heading1"/>
        <w:keepNext/>
        <w:pageBreakBefore/>
        <w:spacing w:before="0" w:after="90" w:line="240" w:lineRule="auto"/>
        <w:jc w:val="left"/>
      </w:pPr>
      <w:r>
        <w:rPr>
          <w:rFonts w:ascii="Times New Roman" w:hAnsi="Times New Roman"/>
          <w:b/>
          <w:color w:val="8C1D1D"/>
          <w:sz w:val="27"/>
          <w:szCs w:val="27"/>
        </w:rPr>
        <w:t xml:space="preserve">3. Tarea B — ¿Expresa intención de compra?</w:t>
      </w:r>
    </w:p>
    <w:p>
      <w:pPr>
        <w:spacing w:before="0" w:after="100" w:line="252" w:lineRule="auto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Esta es la tarea decisiva del proyecto y también la más fácil de equivocar, porque el instinto lleva a confundir entusiasmo con intención. Son cosas distintas.</w:t>
      </w:r>
    </w:p>
    <w:tbl>
      <w:tblPr>
        <w:tblW w:w="9406" w:type="dxa"/>
        <w:jc w:val="center"/>
        <w:tblBorders>
          <w:top w:val="nil"/>
          <w:left w:val="single" w:sz="20" w:color="4A7C3F"/>
          <w:bottom w:val="nil"/>
          <w:right w:val="nil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w="9406" w:type="dxa"/>
            <w:shd w:val="clear" w:color="auto" w:fill="EFF4EC"/>
            <w:tcMar>
              <w:top w:w="110" w:type="dxa"/>
              <w:left w:w="200" w:type="dxa"/>
              <w:bottom w:w="110" w:type="dxa"/>
              <w:right w:w="2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La distinción central</w:t>
            </w:r>
          </w:p>
          <w:p>
            <w:pPr>
              <w:spacing w:before="20" w:after="40" w:line="252" w:lineRule="auto"/>
              <w:jc w:val="both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 viralidad mide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atención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la intención de compra mide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demanda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Un comentario puede ser muy positivo y no valer nada comercialmente.</w:t>
            </w:r>
          </w:p>
          <w:p>
            <w:pPr>
              <w:spacing w:before="20" w:after="40" w:line="252" w:lineRule="auto"/>
              <w:jc w:val="both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"¡Qué video tan gracioso, me morí de risa!" es entusiasmo puro y no tiene ningún valor: esa persona no va a comprar nada. "¿Cuánto vale?" es neutro en tono y vale muchísimo más.</w:t>
            </w:r>
          </w:p>
        </w:tc>
      </w:tr>
    </w:tbl>
    <w:p>
      <w:pPr>
        <w:spacing w:before="0" w:after="100" w:line="240" w:lineRule="auto"/>
      </w:pPr>
    </w:p>
    <w:p>
      <w:pPr>
        <w:pStyle w:val="Heading2"/>
        <w:keepNext/>
        <w:spacing w:before="200" w:after="90" w:line="240" w:lineRule="auto"/>
        <w:jc w:val="left"/>
      </w:pPr>
      <w:r>
        <w:rPr>
          <w:rFonts w:ascii="Times New Roman" w:hAnsi="Times New Roman"/>
          <w:b/>
          <w:color w:val="8C1D1D"/>
          <w:sz w:val="24"/>
          <w:szCs w:val="24"/>
        </w:rPr>
        <w:t xml:space="preserve">3.1. Cuándo marcar SÍ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Pregunta por el precio. </w:t>
      </w:r>
      <w:r>
        <w:rPr>
          <w:rFonts w:ascii="Times New Roman" w:hAnsi="Times New Roman" w:cs="Times New Roman"/>
          <w:sz w:val="23"/>
          <w:szCs w:val="23"/>
        </w:rPr>
        <w:t xml:space="preserve">"¿cuánto vale?", "¿a cómo lo dejas?", "PRICE!!", "how much"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Pide el enlace o el punto de venta. </w:t>
      </w:r>
      <w:r>
        <w:rPr>
          <w:rFonts w:ascii="Times New Roman" w:hAnsi="Times New Roman" w:cs="Times New Roman"/>
          <w:sz w:val="23"/>
          <w:szCs w:val="23"/>
        </w:rPr>
        <w:t xml:space="preserve">"pásame el link", "¿dónde lo compro?", "link please", "where can I buy this"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Declara que lo quiere o lo necesita. </w:t>
      </w:r>
      <w:r>
        <w:rPr>
          <w:rFonts w:ascii="Times New Roman" w:hAnsi="Times New Roman" w:cs="Times New Roman"/>
          <w:sz w:val="23"/>
          <w:szCs w:val="23"/>
        </w:rPr>
        <w:t xml:space="preserve">"lo necesito", "I need it", "me interesa", "lo llevo"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Pregunta por disponibilidad o envío. </w:t>
      </w:r>
      <w:r>
        <w:rPr>
          <w:rFonts w:ascii="Times New Roman" w:hAnsi="Times New Roman" w:cs="Times New Roman"/>
          <w:sz w:val="23"/>
          <w:szCs w:val="23"/>
        </w:rPr>
        <w:t xml:space="preserve">"¿hacen envíos a Medellín?", "¿contra entrega?", "is it in stock"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Ya lo compró o lo pidió. </w:t>
      </w:r>
      <w:r>
        <w:rPr>
          <w:rFonts w:ascii="Times New Roman" w:hAnsi="Times New Roman" w:cs="Times New Roman"/>
          <w:sz w:val="23"/>
          <w:szCs w:val="23"/>
        </w:rPr>
        <w:t xml:space="preserve">"ya lo pedí, llega el jueves", "acabo de comprarlo". Cuenta como intención materializada.</w:t>
      </w:r>
    </w:p>
    <w:p>
      <w:pPr>
        <w:pStyle w:val="Heading2"/>
        <w:keepNext/>
        <w:spacing w:before="200" w:after="90" w:line="240" w:lineRule="auto"/>
        <w:jc w:val="left"/>
      </w:pPr>
      <w:r>
        <w:rPr>
          <w:rFonts w:ascii="Times New Roman" w:hAnsi="Times New Roman"/>
          <w:b/>
          <w:color w:val="8C1D1D"/>
          <w:sz w:val="24"/>
          <w:szCs w:val="24"/>
        </w:rPr>
        <w:t xml:space="preserve">3.2. Cuándo marcar NO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Elogio sin intención. </w:t>
      </w:r>
      <w:r>
        <w:rPr>
          <w:rFonts w:ascii="Times New Roman" w:hAnsi="Times New Roman" w:cs="Times New Roman"/>
          <w:sz w:val="23"/>
          <w:szCs w:val="23"/>
        </w:rPr>
        <w:t xml:space="preserve">"incredible", "so easy to use", "love it", "qué chimba". Positivo, pero no dice que quiera comprarlo.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Humor o reacción. </w:t>
      </w:r>
      <w:r>
        <w:rPr>
          <w:rFonts w:ascii="Times New Roman" w:hAnsi="Times New Roman" w:cs="Times New Roman"/>
          <w:sz w:val="23"/>
          <w:szCs w:val="23"/>
        </w:rPr>
        <w:t xml:space="preserve">"jajaja", "this is so funny", "me morí"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Crítica o queja. </w:t>
      </w:r>
      <w:r>
        <w:rPr>
          <w:rFonts w:ascii="Times New Roman" w:hAnsi="Times New Roman" w:cs="Times New Roman"/>
          <w:sz w:val="23"/>
          <w:szCs w:val="23"/>
        </w:rPr>
        <w:t xml:space="preserve">"qué porquería", "se dañó a la semana", "es carísimo" sin pedir precio.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Conversación entre usuarios. </w:t>
      </w:r>
      <w:r>
        <w:rPr>
          <w:rFonts w:ascii="Times New Roman" w:hAnsi="Times New Roman" w:cs="Times New Roman"/>
          <w:sz w:val="23"/>
          <w:szCs w:val="23"/>
        </w:rPr>
        <w:t xml:space="preserve">Menciones a otras personas, respuestas a otros comentarios, saludos.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Spam o promoción. </w:t>
      </w:r>
      <w:r>
        <w:rPr>
          <w:rFonts w:ascii="Times New Roman" w:hAnsi="Times New Roman" w:cs="Times New Roman"/>
          <w:sz w:val="23"/>
          <w:szCs w:val="23"/>
        </w:rPr>
        <w:t xml:space="preserve">Alguien que ofrece su propio catálogo. Es oferta, no demanda.</w:t>
      </w:r>
    </w:p>
    <w:p>
      <w:pPr>
        <w:pStyle w:val="Heading2"/>
        <w:keepNext/>
        <w:spacing w:before="200" w:after="90" w:line="240" w:lineRule="auto"/>
        <w:jc w:val="left"/>
      </w:pPr>
      <w:r>
        <w:rPr>
          <w:rFonts w:ascii="Times New Roman" w:hAnsi="Times New Roman"/>
          <w:b/>
          <w:color w:val="8C1D1D"/>
          <w:sz w:val="24"/>
          <w:szCs w:val="24"/>
        </w:rPr>
        <w:t xml:space="preserve">3.3. Casos de frontera</w:t>
      </w:r>
    </w:p>
    <w:tbl>
      <w:tblPr>
        <w:tblW w:w="9406" w:type="dxa"/>
        <w:jc w:val="center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C8C8C8"/>
          <w:insideV w:val="single" w:sz="4" w:color="C8C8C8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100"/>
        <w:gridCol w:w="1300"/>
        <w:gridCol w:w="5006"/>
      </w:tblGrid>
      <w:tr>
        <w:trPr>
          <w:cantSplit/>
          <w:tblHeader/>
        </w:trPr>
        <w:tc>
          <w:tcPr>
            <w:tcW w:w="3100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  <w:szCs w:val="17"/>
              </w:rPr>
              <w:t xml:space="preserve">Comentario</w:t>
            </w:r>
          </w:p>
        </w:tc>
        <w:tc>
          <w:tcPr>
            <w:tcW w:w="1300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  <w:szCs w:val="17"/>
              </w:rPr>
              <w:t xml:space="preserve">Etiqueta</w:t>
            </w:r>
          </w:p>
        </w:tc>
        <w:tc>
          <w:tcPr>
            <w:tcW w:w="5006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  <w:szCs w:val="17"/>
              </w:rPr>
              <w:t xml:space="preserve">Por qué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"lo quiero 😍"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SÍ</w:t>
            </w:r>
          </w:p>
        </w:tc>
        <w:tc>
          <w:tcPr>
            <w:tcW w:w="50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Declara deseo de tenerlo, aunque sea informal.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"necesito esto en mi vida"</w:t>
            </w:r>
          </w:p>
        </w:tc>
        <w:tc>
          <w:tcPr>
            <w:tcW w:w="13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SÍ</w:t>
            </w:r>
          </w:p>
        </w:tc>
        <w:tc>
          <w:tcPr>
            <w:tcW w:w="50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Expresión hiperbólica pero de deseo de adquirir.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"mi mamá necesita esto"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SÍ</w:t>
            </w:r>
          </w:p>
        </w:tc>
        <w:tc>
          <w:tcPr>
            <w:tcW w:w="50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Intención de compra para un tercero: sigue siendo demanda.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"ojalá pudiera comprarlo"</w:t>
            </w:r>
          </w:p>
        </w:tc>
        <w:tc>
          <w:tcPr>
            <w:tcW w:w="13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NO</w:t>
            </w:r>
          </w:p>
        </w:tc>
        <w:tc>
          <w:tcPr>
            <w:tcW w:w="50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Expresa imposibilidad, no intención efectiva.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"¿de qué material es?"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NO</w:t>
            </w:r>
          </w:p>
        </w:tc>
        <w:tc>
          <w:tcPr>
            <w:tcW w:w="50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Curiosidad sobre el producto, sin señal transaccional.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"¿esto sirve para ropa negra?"</w:t>
            </w:r>
          </w:p>
        </w:tc>
        <w:tc>
          <w:tcPr>
            <w:tcW w:w="13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DUDOSO</w:t>
            </w:r>
          </w:p>
        </w:tc>
        <w:tc>
          <w:tcPr>
            <w:tcW w:w="50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Pregunta de idoneidad: puede preceder a la compra o ser curiosidad.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"where did you get that"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SÍ</w:t>
            </w:r>
          </w:p>
        </w:tc>
        <w:tc>
          <w:tcPr>
            <w:tcW w:w="50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Equivale a preguntar dónde comprarlo.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"yo tengo uno y es buenísimo"</w:t>
            </w:r>
          </w:p>
        </w:tc>
        <w:tc>
          <w:tcPr>
            <w:tcW w:w="13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NO</w:t>
            </w:r>
          </w:p>
        </w:tc>
        <w:tc>
          <w:tcPr>
            <w:tcW w:w="50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Ya lo tiene y no anuncia otra compra.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"link?"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SÍ</w:t>
            </w:r>
          </w:p>
        </w:tc>
        <w:tc>
          <w:tcPr>
            <w:tcW w:w="5006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Aunque sea una sola palabra, pide el punto de venta.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Comentario ininteligible o solo emojis</w:t>
            </w:r>
          </w:p>
        </w:tc>
        <w:tc>
          <w:tcPr>
            <w:tcW w:w="13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DUDOSO</w:t>
            </w:r>
          </w:p>
        </w:tc>
        <w:tc>
          <w:tcPr>
            <w:tcW w:w="5006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No hay contenido evaluable.</w:t>
            </w:r>
          </w:p>
        </w:tc>
      </w:tr>
    </w:tbl>
    <w:p>
      <w:pPr>
        <w:spacing w:before="40" w:after="200" w:line="240" w:lineRule="auto"/>
        <w:jc w:val="left"/>
      </w:pPr>
      <w:r>
        <w:rPr>
          <w:rFonts w:ascii="Times New Roman" w:hAnsi="Times New Roman" w:cs="Times New Roman"/>
          <w:i/>
          <w:sz w:val="17"/>
          <w:szCs w:val="17"/>
        </w:rPr>
        <w:t xml:space="preserve">Fuente: elaboración propia.</w:t>
      </w:r>
    </w:p>
    <w:tbl>
      <w:tblPr>
        <w:tblW w:w="9406" w:type="dxa"/>
        <w:jc w:val="center"/>
        <w:tblBorders>
          <w:top w:val="nil"/>
          <w:left w:val="single" w:sz="20" w:color="B8860B"/>
          <w:bottom w:val="nil"/>
          <w:right w:val="nil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w="9406" w:type="dxa"/>
            <w:shd w:val="clear" w:color="auto" w:fill="FBF3E4"/>
            <w:tcMar>
              <w:top w:w="110" w:type="dxa"/>
              <w:left w:w="200" w:type="dxa"/>
              <w:bottom w:w="110" w:type="dxa"/>
              <w:right w:w="2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Sobre el idioma</w:t>
            </w:r>
          </w:p>
          <w:p>
            <w:pPr>
              <w:spacing w:before="20" w:after="40" w:line="252" w:lineRule="auto"/>
              <w:jc w:val="both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El corpus es bilingüe: aproximadamente 45 publicaciones en inglés y 31 en español, con comentarios mezclados y con modismos colombianos. Aplique los mismos criterios en ambos idiomas. Si un comentario está en un idioma que usted no domina, márquelo DUDOSO en lugar de suponer.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keepNext/>
        <w:spacing w:before="280" w:after="90" w:line="240" w:lineRule="auto"/>
        <w:jc w:val="left"/>
      </w:pPr>
      <w:r>
        <w:rPr>
          <w:rFonts w:ascii="Times New Roman" w:hAnsi="Times New Roman"/>
          <w:b/>
          <w:color w:val="8C1D1D"/>
          <w:sz w:val="27"/>
          <w:szCs w:val="27"/>
        </w:rPr>
        <w:t xml:space="preserve">4. Tarea C — Productos por publicación (opcional)</w:t>
      </w:r>
    </w:p>
    <w:p>
      <w:pPr>
        <w:spacing w:before="0" w:after="100" w:line="252" w:lineRule="auto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Las tareas A y B miden qué tan bien acierta el sistema en lo que propone. No miden lo que deja pasar. Para eso está la tarea C: usted lee el texto completo de veinte publicaciones y escribe los productos que reconoce, sin ver lo que el sistema extrajo.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Escriba los productos separados por punto y coma.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Use el nombre tal como aparece en el texto, no una traducción.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Si la publicación no menciona ningún producto concreto, escriba "ninguno".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Máximo cinco productos por publicación: quédese con los más claros.</w:t>
      </w:r>
    </w:p>
    <w:p>
      <w:pPr>
        <w:pStyle w:val="Heading1"/>
        <w:keepNext/>
        <w:spacing w:before="280" w:after="90" w:line="240" w:lineRule="auto"/>
        <w:jc w:val="left"/>
      </w:pPr>
      <w:r>
        <w:rPr>
          <w:rFonts w:ascii="Times New Roman" w:hAnsi="Times New Roman"/>
          <w:b/>
          <w:color w:val="8C1D1D"/>
          <w:sz w:val="27"/>
          <w:szCs w:val="27"/>
        </w:rPr>
        <w:t xml:space="preserve">5. Qué se calcula con esto</w:t>
      </w:r>
    </w:p>
    <w:p>
      <w:pPr>
        <w:spacing w:before="0" w:after="100" w:line="252" w:lineRule="auto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El script evaluar_anotacion.py lee los tres libros y produce el informe automáticamente. Conviene entender qué sale de allí, porque son las cifras que van al capítulo 8.</w:t>
      </w:r>
    </w:p>
    <w:tbl>
      <w:tblPr>
        <w:tblW w:w="7900" w:type="dxa"/>
        <w:jc w:val="center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C8C8C8"/>
          <w:insideV w:val="single" w:sz="4" w:color="C8C8C8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900"/>
        <w:gridCol w:w="3400"/>
        <w:gridCol w:w="1700"/>
        <w:gridCol w:w="900"/>
      </w:tblGrid>
      <w:tr>
        <w:trPr>
          <w:cantSplit/>
          <w:tblHeader/>
        </w:trPr>
        <w:tc>
          <w:tcPr>
            <w:tcW w:w="1900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w="3400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  <w:szCs w:val="17"/>
              </w:rPr>
              <w:t xml:space="preserve">Qué mide</w:t>
            </w:r>
          </w:p>
        </w:tc>
        <w:tc>
          <w:tcPr>
            <w:tcW w:w="1700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  <w:szCs w:val="17"/>
              </w:rPr>
              <w:t xml:space="preserve">De dónde sale</w:t>
            </w:r>
          </w:p>
        </w:tc>
        <w:tc>
          <w:tcPr>
            <w:tcW w:w="900" w:type="dxa"/>
            <w:shd w:val="clear" w:color="auto" w:fill="8C1D1D"/>
            <w:vAlign w:val="center"/>
          </w:tcPr>
          <w:p>
            <w:pPr>
              <w:spacing w:before="40" w:after="40" w:line="2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  <w:szCs w:val="17"/>
              </w:rPr>
              <w:t xml:space="preserve">Meta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Kappa de Cohen</w:t>
            </w:r>
          </w:p>
        </w:tc>
        <w:tc>
          <w:tcPr>
            <w:tcW w:w="3400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Acuerdo entre cada par de anotadores, descontando el azar.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Tareas A y B</w:t>
            </w:r>
          </w:p>
        </w:tc>
        <w:tc>
          <w:tcPr>
            <w:tcW w:w="900" w:type="dxa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≥ 0,70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Kappa de Fleiss</w:t>
            </w:r>
          </w:p>
        </w:tc>
        <w:tc>
          <w:tcPr>
            <w:tcW w:w="34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Acuerdo entre los tres a la vez.</w:t>
            </w:r>
          </w:p>
        </w:tc>
        <w:tc>
          <w:tcPr>
            <w:tcW w:w="17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Tareas A y B</w:t>
            </w:r>
          </w:p>
        </w:tc>
        <w:tc>
          <w:tcPr>
            <w:tcW w:w="9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≥ 0,70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Precisión del extractor</w:t>
            </w:r>
          </w:p>
        </w:tc>
        <w:tc>
          <w:tcPr>
            <w:tcW w:w="3400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Qué proporción de lo que el sistema propuso como producto lo era.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Tarea A</w:t>
            </w:r>
          </w:p>
        </w:tc>
        <w:tc>
          <w:tcPr>
            <w:tcW w:w="900" w:type="dxa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Precisión de intención</w:t>
            </w:r>
          </w:p>
        </w:tc>
        <w:tc>
          <w:tcPr>
            <w:tcW w:w="34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 los comentarios que el sistema marcó, cuántos tenían intención real.</w:t>
            </w:r>
          </w:p>
        </w:tc>
        <w:tc>
          <w:tcPr>
            <w:tcW w:w="17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Tarea B</w:t>
            </w:r>
          </w:p>
        </w:tc>
        <w:tc>
          <w:tcPr>
            <w:tcW w:w="9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Recall de intención</w:t>
            </w:r>
          </w:p>
        </w:tc>
        <w:tc>
          <w:tcPr>
            <w:tcW w:w="3400" w:type="dxa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 todos los comentarios con intención, cuántos detectó el sistema.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Tarea B</w:t>
            </w:r>
          </w:p>
        </w:tc>
        <w:tc>
          <w:tcPr>
            <w:tcW w:w="900" w:type="dxa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F1-score</w:t>
            </w:r>
          </w:p>
        </w:tc>
        <w:tc>
          <w:tcPr>
            <w:tcW w:w="34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both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Equilibrio entre precisión y recall.</w:t>
            </w:r>
          </w:p>
        </w:tc>
        <w:tc>
          <w:tcPr>
            <w:tcW w:w="17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Tarea B</w:t>
            </w:r>
          </w:p>
        </w:tc>
        <w:tc>
          <w:tcPr>
            <w:tcW w:w="900" w:type="dxa"/>
            <w:shd w:val="clear" w:color="auto" w:fill="F2EFE9"/>
            <w:vAlign w:val="center"/>
          </w:tcPr>
          <w:p>
            <w:pPr>
              <w:spacing w:before="30" w:after="30" w:line="205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≥ 0,80</w:t>
            </w:r>
          </w:p>
        </w:tc>
      </w:tr>
    </w:tbl>
    <w:p>
      <w:pPr>
        <w:spacing w:before="40" w:after="200" w:line="240" w:lineRule="auto"/>
        <w:jc w:val="left"/>
      </w:pPr>
      <w:r>
        <w:rPr>
          <w:rFonts w:ascii="Times New Roman" w:hAnsi="Times New Roman" w:cs="Times New Roman"/>
          <w:i/>
          <w:sz w:val="17"/>
          <w:szCs w:val="17"/>
        </w:rPr>
        <w:t xml:space="preserve">Fuente: elaboración propia.</w:t>
      </w:r>
    </w:p>
    <w:p>
      <w:pPr>
        <w:pStyle w:val="Heading2"/>
        <w:keepNext/>
        <w:spacing w:before="200" w:after="90" w:line="240" w:lineRule="auto"/>
        <w:jc w:val="left"/>
      </w:pPr>
      <w:r>
        <w:rPr>
          <w:rFonts w:ascii="Times New Roman" w:hAnsi="Times New Roman"/>
          <w:b/>
          <w:color w:val="8C1D1D"/>
          <w:sz w:val="24"/>
          <w:szCs w:val="24"/>
        </w:rPr>
        <w:t xml:space="preserve">5.1. Por qué la muestra de comentarios está construida así</w:t>
      </w:r>
    </w:p>
    <w:p>
      <w:pPr>
        <w:spacing w:before="0" w:after="100" w:line="252" w:lineRule="auto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De los 700 comentarios únicos del corpus, se anotan 297 y no todos. La selección no es aleatoria simple sino estratificada, por una razón estadística que conviene poder explicar en la sustentación.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Los 47 comentarios que el sistema marcó como intención se anotan todos. </w:t>
      </w:r>
      <w:r>
        <w:rPr>
          <w:rFonts w:ascii="Times New Roman" w:hAnsi="Times New Roman" w:cs="Times New Roman"/>
          <w:sz w:val="23"/>
          <w:szCs w:val="23"/>
        </w:rPr>
        <w:t xml:space="preserve">Sobre ese grupo completo se calcula la precisión sin margen de muestreo.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De los 653 que el sistema no marcó se toma una muestra aleatoria de 250. </w:t>
      </w:r>
      <w:r>
        <w:rPr>
          <w:rFonts w:ascii="Times New Roman" w:hAnsi="Times New Roman" w:cs="Times New Roman"/>
          <w:sz w:val="23"/>
          <w:szCs w:val="23"/>
        </w:rPr>
        <w:t xml:space="preserve">Ahí se buscan los falsos negativos: los comentarios con intención que el sistema dejó pasar. La proporción encontrada se reescala a los 653 para estimar el recall.</w:t>
      </w:r>
    </w:p>
    <w:p>
      <w:pPr>
        <w:spacing w:before="0" w:after="100" w:line="252" w:lineRule="auto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Anotar los 700 habría costado más del doble de tiempo para ganar muy poca precisión en la estimación. Las filas están mezcladas al azar, así que usted no puede distinguir a qué grupo pertenece cada comentario — y eso es deliberado: si supiera qué predijo el sistema, tendería a confirmarlo.</w:t>
      </w:r>
    </w:p>
    <w:tbl>
      <w:tblPr>
        <w:tblW w:w="9406" w:type="dxa"/>
        <w:jc w:val="center"/>
        <w:tblBorders>
          <w:top w:val="nil"/>
          <w:left w:val="single" w:sz="20" w:color="B8860B"/>
          <w:bottom w:val="nil"/>
          <w:right w:val="nil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w="9406" w:type="dxa"/>
            <w:shd w:val="clear" w:color="auto" w:fill="FBF3E4"/>
            <w:tcMar>
              <w:top w:w="110" w:type="dxa"/>
              <w:left w:w="200" w:type="dxa"/>
              <w:bottom w:w="110" w:type="dxa"/>
              <w:right w:w="2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Si el kappa sale por debajo de 0,70</w:t>
            </w:r>
          </w:p>
          <w:p>
            <w:pPr>
              <w:spacing w:before="20" w:after="40" w:line="252" w:lineRule="auto"/>
              <w:jc w:val="both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 es un fracaso: significa que la definición todavía es ambigua y que este manual necesita más casos de frontera. El procedimiento es reunirse, revisar juntos las filas donde hubo desacuerdo, precisar el criterio en este documento y volver a anotar solo esas filas. Ese ciclo se documenta como parte del método en el capítulo 6.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keepNext/>
        <w:spacing w:before="280" w:after="90" w:line="240" w:lineRule="auto"/>
        <w:jc w:val="left"/>
      </w:pPr>
      <w:r>
        <w:rPr>
          <w:rFonts w:ascii="Times New Roman" w:hAnsi="Times New Roman"/>
          <w:b/>
          <w:color w:val="8C1D1D"/>
          <w:sz w:val="27"/>
          <w:szCs w:val="27"/>
        </w:rPr>
        <w:t xml:space="preserve">6. Procedimiento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Lea este manual completo antes de abrir el libro. </w:t>
      </w:r>
      <w:r>
        <w:rPr>
          <w:rFonts w:ascii="Times New Roman" w:hAnsi="Times New Roman" w:cs="Times New Roman"/>
          <w:sz w:val="23"/>
          <w:szCs w:val="23"/>
        </w:rPr>
        <w:t xml:space="preserve">En particular las secciones 2.3 y 3.3, que son las que evitan el desacuerdo.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Anote en una o dos sesiones, no en muchas. </w:t>
      </w:r>
      <w:r>
        <w:rPr>
          <w:rFonts w:ascii="Times New Roman" w:hAnsi="Times New Roman" w:cs="Times New Roman"/>
          <w:sz w:val="23"/>
          <w:szCs w:val="23"/>
        </w:rPr>
        <w:t xml:space="preserve">El criterio se desplaza con el cansancio y entre días distintos.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No deje celdas vacías. </w:t>
      </w:r>
      <w:r>
        <w:rPr>
          <w:rFonts w:ascii="Times New Roman" w:hAnsi="Times New Roman" w:cs="Times New Roman"/>
          <w:sz w:val="23"/>
          <w:szCs w:val="23"/>
        </w:rPr>
        <w:t xml:space="preserve">Si no sabe, marque DUDOSO. Una celda vacía se lee como "sin anotar" y reduce la muestra.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Use la columna de observación </w:t>
      </w:r>
      <w:r>
        <w:rPr>
          <w:rFonts w:ascii="Times New Roman" w:hAnsi="Times New Roman" w:cs="Times New Roman"/>
          <w:sz w:val="23"/>
          <w:szCs w:val="23"/>
        </w:rPr>
        <w:t xml:space="preserve">cuando marque DUDOSO, explicando en pocas palabras la razón. Eso acelera la conciliación.</w:t>
      </w:r>
    </w:p>
    <w:p>
      <w:pPr>
        <w:numPr>
          <w:ilvl w:val="0"/>
          <w:numId w:val="1"/>
        </w:numPr>
        <w:spacing w:before="0" w:after="50" w:line="240" w:lineRule="auto"/>
        <w:ind w:left="720" w:hanging="360"/>
        <w:jc w:val="both"/>
      </w:pPr>
      <w:r>
        <w:rPr>
          <w:rFonts w:ascii="Times New Roman" w:hAnsi="Times New Roman" w:cs="Times New Roman"/>
          <w:b/>
          <w:sz w:val="23"/>
          <w:szCs w:val="23"/>
        </w:rPr>
        <w:t xml:space="preserve">Avise cuando termine y no comparta el archivo con los demás </w:t>
      </w:r>
      <w:r>
        <w:rPr>
          <w:rFonts w:ascii="Times New Roman" w:hAnsi="Times New Roman" w:cs="Times New Roman"/>
          <w:sz w:val="23"/>
          <w:szCs w:val="23"/>
        </w:rPr>
        <w:t xml:space="preserve">hasta que los tres hayan entregado.</w:t>
      </w:r>
    </w:p>
    <w:p>
      <w:pPr>
        <w:spacing w:before="0" w:after="100" w:line="240" w:lineRule="auto"/>
      </w:pPr>
    </w:p>
    <w:p>
      <w:pPr>
        <w:spacing w:before="0" w:after="100" w:line="252" w:lineRule="auto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Cuando estén los tres libros completos, el informe se genera con:</w:t>
      </w:r>
    </w:p>
    <w:tbl>
      <w:tblPr>
        <w:tblW w:w="9406" w:type="dxa"/>
        <w:jc w:val="center"/>
        <w:tblBorders>
          <w:top w:val="single" w:sz="4" w:color="D0D0D0"/>
          <w:left w:val="single" w:sz="18" w:color="8C1D1D"/>
          <w:bottom w:val="single" w:sz="4" w:color="D0D0D0"/>
          <w:right w:val="single" w:sz="4" w:color="D0D0D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w="9406" w:type="dxa"/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20" w:after="20" w:line="220" w:lineRule="auto"/>
              <w:jc w:val="lef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./venv/Scripts/python.exe evaluar_anotacion.py</w:t>
            </w:r>
          </w:p>
        </w:tc>
      </w:tr>
    </w:tbl>
    <w:p>
      <w:pPr>
        <w:spacing w:before="0" w:after="60" w:line="240" w:lineRule="auto"/>
      </w:pPr>
    </w:p>
    <w:p>
      <w:pPr>
        <w:spacing w:before="0" w:after="100" w:line="252" w:lineRule="auto"/>
        <w:jc w:val="both"/>
      </w:pPr>
      <w:r>
        <w:rPr>
          <w:rFonts w:ascii="Times New Roman" w:hAnsi="Times New Roman" w:cs="Times New Roman"/>
          <w:sz w:val="23"/>
          <w:szCs w:val="23"/>
        </w:rPr>
        <w:t xml:space="preserve">El resultado queda en anotacion/resultados_anotacion.md y contiene las cifras de concordancia, precisión, recall, F1 y la matriz de confusión reponderada, listas para trasladar al documento.</w:t>
      </w:r>
    </w:p>
    <w:p>
      <w:pPr>
        <w:spacing w:before="0" w:after="200" w:line="240" w:lineRule="auto"/>
      </w:pPr>
    </w:p>
    <w:tbl>
      <w:tblPr>
        <w:tblW w:w="9406" w:type="dxa"/>
        <w:jc w:val="center"/>
        <w:tblBorders>
          <w:top w:val="nil"/>
          <w:left w:val="single" w:sz="20" w:color="4A7C3F"/>
          <w:bottom w:val="nil"/>
          <w:right w:val="nil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w="9406" w:type="dxa"/>
            <w:shd w:val="clear" w:color="auto" w:fill="EFF4EC"/>
            <w:tcMar>
              <w:top w:w="110" w:type="dxa"/>
              <w:left w:w="200" w:type="dxa"/>
              <w:bottom w:w="110" w:type="dxa"/>
              <w:right w:w="2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Una nota final sobre honestidad metodológica</w:t>
            </w:r>
          </w:p>
          <w:p>
            <w:pPr>
              <w:spacing w:before="20" w:after="40" w:line="252" w:lineRule="auto"/>
              <w:jc w:val="both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Es tentador anotar pensando en que las métricas salgan bien. No lo haga. Si el sistema tiene una precisión del 25%, el trabajo consiste en medir ese 25% correctamente y explicar por qué, no en maquillarlo. Un jurado detecta un corpus complaciente de inmediato, y una métrica modesta bien medida vale más que una excelente inventada.</w:t>
            </w:r>
          </w:p>
        </w:tc>
      </w:tr>
    </w:tbl>
    <w:sectPr>
      <w:footerReference w:type="default" r:id="rId3"/>
      <w:footerReference w:type="first" r:id="rId4"/>
      <w:titlePg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0" w:line="240" w:lineRule="auto"/>
    </w:pPr>
    <w:r>
      <w:rPr>
        <w:rFonts w:ascii="Times New Roman" w:hAnsi="Times New Roman"/>
        <w:sz w:val="18"/>
        <w:color w:val="666666"/>
      </w:rPr>
      <w:t xml:space="preserve">Maestría en Analítica de Datos – Universidad Central   |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spacing w:before="0" w:after="0" w:line="240" w:lineRule="auto"/>
    </w:pP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>
      <w:start w:val="1"/>
      <w:numFmt w:val="bullet"/>
      <w:lvlText w:val=""/>
      <w:lvlJc w:val="left"/>
      <w:pPr>
        <w:ind w:left="1080" w:hanging="360"/>
      </w:pPr>
      <w:rPr>
        <w:rFonts w:ascii="Symbol" w:hAnsi="Symbol" w:hint="default"/>
        <w:sz w:val="18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s-CO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b/>
      <w:sz w:val="27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i/>
      <w:sz w:val="22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footer" Target="footer1.xml"/>
<Relationship Id="rId4" Type="http://schemas.openxmlformats.org/officeDocument/2006/relationships/footer" Target="footer2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Proyecto Aplicado - Maestria en Analitica de Datos</dc:title>
  <dc:creator>Daniela Trujillo Villamarin; Miguel Angel Reina; Gabriel Zambrano Trivino</dc:creator>
</cp:coreProperties>
</file>