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76"/>
        <w:jc w:val="center"/>
      </w:pPr>
      <w:r>
        <w:rPr>
          <w:rFonts w:ascii="Calibri" w:cs="Calibri" w:eastAsia="Calibri" w:hAnsi="Calibri"/>
          <w:b/>
          <w:bCs/>
          <w:color w:val="595959"/>
          <w:sz w:val="20"/>
          <w:szCs w:val="20"/>
        </w:rPr>
        <w:t xml:space="preserve">INFORME TÉCNICO</w:t>
      </w:r>
    </w:p>
    <w:p>
      <w:pPr>
        <w:spacing w:after="120"/>
        <w:jc w:val="center"/>
      </w:pPr>
      <w:r>
        <w:rPr>
          <w:rFonts w:ascii="Calibri" w:cs="Calibri" w:eastAsia="Calibri" w:hAnsi="Calibri"/>
          <w:b/>
          <w:bCs/>
          <w:color w:val="1F4E79"/>
          <w:sz w:val="32"/>
          <w:szCs w:val="32"/>
        </w:rPr>
        <w:t xml:space="preserve">Inconsistencias detectadas en la publicación de la Cartera de Inversiones de Compañías de Seguros</w:t>
      </w:r>
    </w:p>
    <w:p>
      <w:pPr>
        <w:spacing w:after="240" w:line="276"/>
        <w:jc w:val="center"/>
      </w:pPr>
      <w:r>
        <w:rPr>
          <w:rFonts w:ascii="Calibri" w:cs="Calibri" w:eastAsia="Calibri" w:hAnsi="Calibri"/>
          <w:color w:val="595959"/>
          <w:sz w:val="24"/>
          <w:szCs w:val="24"/>
        </w:rPr>
        <w:t xml:space="preserve">Circular N°1.835 — Archivos SGSCI (Seguros de Vida)</w:t>
      </w:r>
    </w:p>
    <w:p>
      <w:pPr>
        <w:pBdr>
          <w:bottom w:val="single" w:color="BFBFBF" w:sz="6"/>
        </w:pBdr>
        <w:spacing w:after="2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Campo</w:t>
            </w:r>
          </w:p>
        </w:tc>
        <w:tc>
          <w:tcPr>
            <w:tcW w:type="dxa" w:w="676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Detalle</w:t>
            </w:r>
          </w:p>
        </w:tc>
      </w:tr>
      <w:tr>
        <w:trPr>
          <w:tblHeader w:val="false"/>
        </w:trPr>
        <w:tc>
          <w:tcPr>
            <w:tcW w:type="dxa" w:w="260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Destinatario</w:t>
            </w:r>
          </w:p>
        </w:tc>
        <w:tc>
          <w:tcPr>
            <w:tcW w:type="dxa" w:w="676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Comisión para el Mercado Financiero (CMF)</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sz w:val="19"/>
                <w:szCs w:val="19"/>
              </w:rPr>
              <w:t xml:space="preserve">Materia</w:t>
            </w:r>
          </w:p>
        </w:tc>
        <w:tc>
          <w:tcPr>
            <w:tcW w:type="dxa" w:w="676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Calidad de los archivos publicados y de su documentación técnica</w:t>
            </w:r>
          </w:p>
        </w:tc>
      </w:tr>
      <w:tr>
        <w:trPr>
          <w:tblHeader w:val="false"/>
        </w:trPr>
        <w:tc>
          <w:tcPr>
            <w:tcW w:type="dxa" w:w="260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Períodos analizados</w:t>
            </w:r>
          </w:p>
        </w:tc>
        <w:tc>
          <w:tcPr>
            <w:tcW w:type="dxa" w:w="676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Mayo 2025 (202505) y Mayo 2026 (202605)</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sz w:val="19"/>
                <w:szCs w:val="19"/>
              </w:rPr>
              <w:t xml:space="preserve">Universo</w:t>
            </w:r>
          </w:p>
        </w:tc>
        <w:tc>
          <w:tcPr>
            <w:tcW w:type="dxa" w:w="676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Compañías de seguros de vida (tipoentidad CSVID)</w:t>
            </w:r>
          </w:p>
        </w:tc>
      </w:tr>
      <w:tr>
        <w:trPr>
          <w:tblHeader w:val="false"/>
        </w:trPr>
        <w:tc>
          <w:tcPr>
            <w:tcW w:type="dxa" w:w="260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Archivos revisados</w:t>
            </w:r>
          </w:p>
        </w:tc>
        <w:tc>
          <w:tcPr>
            <w:tcW w:type="dxa" w:w="676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67 archivos de control (34 en 202505 y 33 en 202605), más archivos de detalle</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sz w:val="19"/>
                <w:szCs w:val="19"/>
              </w:rPr>
              <w:t xml:space="preserve">Fecha del informe</w:t>
            </w:r>
          </w:p>
        </w:tc>
        <w:tc>
          <w:tcPr>
            <w:tcW w:type="dxa" w:w="676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23 de julio de 2026</w:t>
            </w:r>
          </w:p>
        </w:tc>
      </w:tr>
    </w:tbl>
    <w:p>
      <w:pPr>
        <w:spacing w:after="200" w:line="276"/>
      </w:pPr>
      <w:r>
        <w:rPr>
          <w:rFonts w:ascii="Calibri" w:cs="Calibri" w:eastAsia="Calibri" w:hAnsi="Calibri"/>
          <w:sz w:val="21"/>
          <w:szCs w:val="21"/>
        </w:rPr>
        <w:t xml:space="preserve"/>
      </w:r>
    </w:p>
    <w:p>
      <w:pPr>
        <w:pStyle w:val="Heading1"/>
        <w:spacing w:after="160" w:before="320"/>
      </w:pPr>
      <w:r>
        <w:rPr>
          <w:rFonts w:ascii="Calibri" w:cs="Calibri" w:eastAsia="Calibri" w:hAnsi="Calibri"/>
          <w:b/>
          <w:bCs/>
          <w:color w:val="1F4E79"/>
          <w:sz w:val="28"/>
          <w:szCs w:val="28"/>
        </w:rPr>
        <w:t xml:space="preserve">1. Resumen ejecutivo</w:t>
      </w:r>
    </w:p>
    <w:p>
      <w:pPr>
        <w:spacing w:after="120" w:line="276"/>
      </w:pPr>
      <w:r>
        <w:rPr>
          <w:rFonts w:ascii="Calibri" w:cs="Calibri" w:eastAsia="Calibri" w:hAnsi="Calibri"/>
          <w:sz w:val="21"/>
          <w:szCs w:val="21"/>
        </w:rPr>
        <w:t xml:space="preserve">Durante la incorporación de la cartera de inversiones de compañías de seguros a un repositorio analítico se realizó una revisión sistemática de los archivos publicados bajo la Circular N°1.835 y de su documentación técnica asociada. La estructura general es sólida y la mayor parte de la información es consistente; sin embargo, se detectaron siete inconsistencias que afectan la capacidad de procesar los archivos de forma automática y confiable.</w:t>
      </w:r>
    </w:p>
    <w:p>
      <w:pPr>
        <w:spacing w:after="120" w:line="276"/>
      </w:pPr>
      <w:r>
        <w:rPr>
          <w:rFonts w:ascii="Calibri" w:cs="Calibri" w:eastAsia="Calibri" w:hAnsi="Calibri"/>
          <w:sz w:val="21"/>
          <w:szCs w:val="21"/>
        </w:rPr>
        <w:t xml:space="preserve">Dos de ellas son especialmente relevantes. Primero, la especificación publicada del archivo B.1 (Instrumentos de Renta Fija) no reconcilia con los archivos efectivamente generados: la suma de los anchos declarados no coincide con el largo real de los registros, lo que impide ubicar con certeza los campos posteriores a los primeros quince. Segundo, existen archivos individuales con defectos estructurales —ausencia del registro de identificación obligatorio, un carácter espurio que corrompe dicho registro, y un archivo cuyo RUT en el nombre no coincide con el declarado en su contenido—.</w:t>
      </w:r>
    </w:p>
    <w:p>
      <w:pPr>
        <w:spacing w:after="120" w:line="276"/>
      </w:pPr>
      <w:r>
        <w:rPr>
          <w:rFonts w:ascii="Calibri" w:cs="Calibri" w:eastAsia="Calibri" w:hAnsi="Calibri"/>
          <w:b/>
          <w:bCs/>
          <w:sz w:val="21"/>
          <w:szCs w:val="21"/>
        </w:rPr>
        <w:t xml:space="preserve">El riesgo principal no es que el procesamiento falle de manera visible, sino lo contrario: que un consumidor que siga la especificación publicada obtenga montos desalineados sin ninguna señal de error. Las recomendaciones al final del informe apuntan a eliminar esa posibilidad.</w:t>
      </w:r>
    </w:p>
    <w:p>
      <w:pPr>
        <w:pStyle w:val="Heading1"/>
        <w:spacing w:after="160" w:before="320"/>
      </w:pPr>
      <w:r>
        <w:rPr>
          <w:rFonts w:ascii="Calibri" w:cs="Calibri" w:eastAsia="Calibri" w:hAnsi="Calibri"/>
          <w:b/>
          <w:bCs/>
          <w:color w:val="1F4E79"/>
          <w:sz w:val="28"/>
          <w:szCs w:val="28"/>
        </w:rPr>
        <w:t xml:space="preserve">2. Alcance y método</w:t>
      </w:r>
    </w:p>
    <w:p>
      <w:pPr>
        <w:spacing w:after="120" w:line="276"/>
      </w:pPr>
      <w:r>
        <w:rPr>
          <w:rFonts w:ascii="Calibri" w:cs="Calibri" w:eastAsia="Calibri" w:hAnsi="Calibri"/>
          <w:sz w:val="21"/>
          <w:szCs w:val="21"/>
        </w:rPr>
        <w:t xml:space="preserve">Se analizaron los archivos ZIP mensuales correspondientes a mayo de 2025 y mayo de 2026 para compañías de seguros de vida. Cada archivo contiene 12 tipos de archivo por compañía, en formato de ancho fijo. La verificación consistió en:</w:t>
      </w:r>
    </w:p>
    <w:p>
      <w:pPr>
        <w:pStyle w:val="ListParagraph"/>
        <w:numPr>
          <w:ilvl w:val="0"/>
          <w:numId w:val="2"/>
        </w:numPr>
        <w:spacing w:after="80" w:line="276"/>
      </w:pPr>
      <w:r>
        <w:rPr>
          <w:rFonts w:ascii="Calibri" w:cs="Calibri" w:eastAsia="Calibri" w:hAnsi="Calibri"/>
          <w:sz w:val="21"/>
          <w:szCs w:val="21"/>
        </w:rPr>
        <w:t xml:space="preserve">Contrastar las especificaciones publicadas (documento descriptivo SGSCI_circ_1835.doc y los PDF por tipo de archivo) contra el contenido real.</w:t>
      </w:r>
    </w:p>
    <w:p>
      <w:pPr>
        <w:pStyle w:val="ListParagraph"/>
        <w:numPr>
          <w:ilvl w:val="0"/>
          <w:numId w:val="2"/>
        </w:numPr>
        <w:spacing w:after="80" w:line="276"/>
      </w:pPr>
      <w:r>
        <w:rPr>
          <w:rFonts w:ascii="Calibri" w:cs="Calibri" w:eastAsia="Calibri" w:hAnsi="Calibri"/>
          <w:sz w:val="21"/>
          <w:szCs w:val="21"/>
        </w:rPr>
        <w:t xml:space="preserve">Comprobar que el largo de cada registro sea uniforme y coincida con la suma de anchos declarados.</w:t>
      </w:r>
    </w:p>
    <w:p>
      <w:pPr>
        <w:pStyle w:val="ListParagraph"/>
        <w:numPr>
          <w:ilvl w:val="0"/>
          <w:numId w:val="2"/>
        </w:numPr>
        <w:spacing w:after="80" w:line="276"/>
      </w:pPr>
      <w:r>
        <w:rPr>
          <w:rFonts w:ascii="Calibri" w:cs="Calibri" w:eastAsia="Calibri" w:hAnsi="Calibri"/>
          <w:sz w:val="21"/>
          <w:szCs w:val="21"/>
        </w:rPr>
        <w:t xml:space="preserve">Verificar que todos los campos numéricos parseen correctamente en la totalidad de las compañías.</w:t>
      </w:r>
    </w:p>
    <w:p>
      <w:pPr>
        <w:pStyle w:val="ListParagraph"/>
        <w:numPr>
          <w:ilvl w:val="0"/>
          <w:numId w:val="2"/>
        </w:numPr>
        <w:spacing w:after="80" w:line="276"/>
      </w:pPr>
      <w:r>
        <w:rPr>
          <w:rFonts w:ascii="Calibri" w:cs="Calibri" w:eastAsia="Calibri" w:hAnsi="Calibri"/>
          <w:sz w:val="21"/>
          <w:szCs w:val="21"/>
        </w:rPr>
        <w:t xml:space="preserve">Comprobar la cuadratura declarada en el registro de totales contra el conteo efectivo de registros de detalle.</w:t>
      </w:r>
    </w:p>
    <w:p>
      <w:pPr>
        <w:pStyle w:val="ListParagraph"/>
        <w:numPr>
          <w:ilvl w:val="0"/>
          <w:numId w:val="2"/>
        </w:numPr>
        <w:spacing w:after="80" w:line="276"/>
      </w:pPr>
      <w:r>
        <w:rPr>
          <w:rFonts w:ascii="Calibri" w:cs="Calibri" w:eastAsia="Calibri" w:hAnsi="Calibri"/>
          <w:sz w:val="21"/>
          <w:szCs w:val="21"/>
        </w:rPr>
        <w:t xml:space="preserve">Contrastar los totales resultantes contra los estados financieros FECU de las mismas compañías, como control de magnitud independiente.</w:t>
      </w:r>
    </w:p>
    <w:p>
      <w:pPr>
        <w:pStyle w:val="Heading1"/>
        <w:spacing w:after="160" w:before="320"/>
      </w:pPr>
      <w:r>
        <w:rPr>
          <w:rFonts w:ascii="Calibri" w:cs="Calibri" w:eastAsia="Calibri" w:hAnsi="Calibri"/>
          <w:b/>
          <w:bCs/>
          <w:color w:val="1F4E79"/>
          <w:sz w:val="28"/>
          <w:szCs w:val="28"/>
        </w:rPr>
        <w:t xml:space="preserve">3. Resumen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6300"/>
        <w:gridCol w:w="2300"/>
      </w:tblGrid>
      <w:tr>
        <w:trPr>
          <w:tblHeader/>
        </w:trPr>
        <w:tc>
          <w:tcPr>
            <w:tcW w:type="dxa" w:w="76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N°</w:t>
            </w:r>
          </w:p>
        </w:tc>
        <w:tc>
          <w:tcPr>
            <w:tcW w:type="dxa" w:w="63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Hallazgo</w:t>
            </w:r>
          </w:p>
        </w:tc>
        <w:tc>
          <w:tcPr>
            <w:tcW w:type="dxa" w:w="23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Severidad</w:t>
            </w:r>
          </w:p>
        </w:tc>
      </w:tr>
      <w:tr>
        <w:trPr>
          <w:tblHeader w:val="false"/>
        </w:trPr>
        <w:tc>
          <w:tcPr>
            <w:tcW w:type="dxa" w:w="76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H1</w:t>
            </w:r>
          </w:p>
        </w:tc>
        <w:tc>
          <w:tcPr>
            <w:tcW w:type="dxa" w:w="63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La especificación del archivo B.1 no reconcilia con los archivos publicados</w:t>
            </w:r>
          </w:p>
        </w:tc>
        <w:tc>
          <w:tcPr>
            <w:tcW w:type="dxa" w:w="23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Alta</w:t>
            </w:r>
          </w:p>
        </w:tc>
      </w:tr>
      <w:tr>
        <w:trPr>
          <w:tblHeader w:val="false"/>
        </w:trPr>
        <w:tc>
          <w:tcPr>
            <w:tcW w:type="dxa" w:w="760"/>
            <w:tcMar>
              <w:top w:type="dxa" w:w="80"/>
              <w:left w:type="dxa" w:w="120"/>
              <w:bottom w:type="dxa" w:w="80"/>
              <w:right w:type="dxa" w:w="120"/>
            </w:tcMar>
          </w:tcPr>
          <w:p>
            <w:r>
              <w:rPr>
                <w:rFonts w:ascii="Calibri" w:cs="Calibri" w:eastAsia="Calibri" w:hAnsi="Calibri"/>
                <w:b w:val="false"/>
                <w:bCs w:val="false"/>
                <w:sz w:val="19"/>
                <w:szCs w:val="19"/>
              </w:rPr>
              <w:t xml:space="preserve">H2</w:t>
            </w:r>
          </w:p>
        </w:tc>
        <w:tc>
          <w:tcPr>
            <w:tcW w:type="dxa" w:w="63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El registro de totales no permite validar cuadratura</w:t>
            </w:r>
          </w:p>
        </w:tc>
        <w:tc>
          <w:tcPr>
            <w:tcW w:type="dxa" w:w="23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Media</w:t>
            </w:r>
          </w:p>
        </w:tc>
      </w:tr>
      <w:tr>
        <w:trPr>
          <w:tblHeader w:val="false"/>
        </w:trPr>
        <w:tc>
          <w:tcPr>
            <w:tcW w:type="dxa" w:w="76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H3</w:t>
            </w:r>
          </w:p>
        </w:tc>
        <w:tc>
          <w:tcPr>
            <w:tcW w:type="dxa" w:w="63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Archivos sin el registro de identificación obligatorio</w:t>
            </w:r>
          </w:p>
        </w:tc>
        <w:tc>
          <w:tcPr>
            <w:tcW w:type="dxa" w:w="23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Alta</w:t>
            </w:r>
          </w:p>
        </w:tc>
      </w:tr>
      <w:tr>
        <w:trPr>
          <w:tblHeader w:val="false"/>
        </w:trPr>
        <w:tc>
          <w:tcPr>
            <w:tcW w:type="dxa" w:w="760"/>
            <w:tcMar>
              <w:top w:type="dxa" w:w="80"/>
              <w:left w:type="dxa" w:w="120"/>
              <w:bottom w:type="dxa" w:w="80"/>
              <w:right w:type="dxa" w:w="120"/>
            </w:tcMar>
          </w:tcPr>
          <w:p>
            <w:r>
              <w:rPr>
                <w:rFonts w:ascii="Calibri" w:cs="Calibri" w:eastAsia="Calibri" w:hAnsi="Calibri"/>
                <w:b w:val="false"/>
                <w:bCs w:val="false"/>
                <w:sz w:val="19"/>
                <w:szCs w:val="19"/>
              </w:rPr>
              <w:t xml:space="preserve">H4</w:t>
            </w:r>
          </w:p>
        </w:tc>
        <w:tc>
          <w:tcPr>
            <w:tcW w:type="dxa" w:w="63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Registro de identificación corrompido por un carácter espurio</w:t>
            </w:r>
          </w:p>
        </w:tc>
        <w:tc>
          <w:tcPr>
            <w:tcW w:type="dxa" w:w="23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Alta</w:t>
            </w:r>
          </w:p>
        </w:tc>
      </w:tr>
      <w:tr>
        <w:trPr>
          <w:tblHeader w:val="false"/>
        </w:trPr>
        <w:tc>
          <w:tcPr>
            <w:tcW w:type="dxa" w:w="76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H5</w:t>
            </w:r>
          </w:p>
        </w:tc>
        <w:tc>
          <w:tcPr>
            <w:tcW w:type="dxa" w:w="63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RUT del nombre de archivo distinto al declarado en el contenido</w:t>
            </w:r>
          </w:p>
        </w:tc>
        <w:tc>
          <w:tcPr>
            <w:tcW w:type="dxa" w:w="23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Alta</w:t>
            </w:r>
          </w:p>
        </w:tc>
      </w:tr>
      <w:tr>
        <w:trPr>
          <w:tblHeader w:val="false"/>
        </w:trPr>
        <w:tc>
          <w:tcPr>
            <w:tcW w:type="dxa" w:w="760"/>
            <w:tcMar>
              <w:top w:type="dxa" w:w="80"/>
              <w:left w:type="dxa" w:w="120"/>
              <w:bottom w:type="dxa" w:w="80"/>
              <w:right w:type="dxa" w:w="120"/>
            </w:tcMar>
          </w:tcPr>
          <w:p>
            <w:r>
              <w:rPr>
                <w:rFonts w:ascii="Calibri" w:cs="Calibri" w:eastAsia="Calibri" w:hAnsi="Calibri"/>
                <w:b w:val="false"/>
                <w:bCs w:val="false"/>
                <w:sz w:val="19"/>
                <w:szCs w:val="19"/>
              </w:rPr>
              <w:t xml:space="preserve">H6</w:t>
            </w:r>
          </w:p>
        </w:tc>
        <w:tc>
          <w:tcPr>
            <w:tcW w:type="dxa" w:w="63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Nombre y extensión de archivo difieren de lo documentado</w:t>
            </w:r>
          </w:p>
        </w:tc>
        <w:tc>
          <w:tcPr>
            <w:tcW w:type="dxa" w:w="23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Baja</w:t>
            </w:r>
          </w:p>
        </w:tc>
      </w:tr>
      <w:tr>
        <w:trPr>
          <w:tblHeader w:val="false"/>
        </w:trPr>
        <w:tc>
          <w:tcPr>
            <w:tcW w:type="dxa" w:w="76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H7</w:t>
            </w:r>
          </w:p>
        </w:tc>
        <w:tc>
          <w:tcPr>
            <w:tcW w:type="dxa" w:w="63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Ambigüedad entre bytes y caracteres en un formato de ancho fijo UTF-8</w:t>
            </w:r>
          </w:p>
        </w:tc>
        <w:tc>
          <w:tcPr>
            <w:tcW w:type="dxa" w:w="23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Baja</w:t>
            </w:r>
          </w:p>
        </w:tc>
      </w:tr>
    </w:tbl>
    <w:p>
      <w:r>
        <w:br w:type="page"/>
      </w:r>
    </w:p>
    <w:p>
      <w:pPr>
        <w:pStyle w:val="Heading1"/>
        <w:spacing w:after="160" w:before="320"/>
      </w:pPr>
      <w:r>
        <w:rPr>
          <w:rFonts w:ascii="Calibri" w:cs="Calibri" w:eastAsia="Calibri" w:hAnsi="Calibri"/>
          <w:b/>
          <w:bCs/>
          <w:color w:val="1F4E79"/>
          <w:sz w:val="28"/>
          <w:szCs w:val="28"/>
        </w:rPr>
        <w:t xml:space="preserve">4. Detalle de los hallazgos</w:t>
      </w:r>
    </w:p>
    <w:p>
      <w:pPr>
        <w:pStyle w:val="Heading2"/>
        <w:spacing w:after="120" w:before="260"/>
      </w:pPr>
      <w:r>
        <w:rPr>
          <w:rFonts w:ascii="Calibri" w:cs="Calibri" w:eastAsia="Calibri" w:hAnsi="Calibri"/>
          <w:b/>
          <w:bCs/>
          <w:color w:val="2E74B5"/>
          <w:sz w:val="23"/>
          <w:szCs w:val="23"/>
        </w:rPr>
        <w:t xml:space="preserve">H1. La especificación del archivo B.1 no reconcilia con los archivos publicados</w:t>
      </w:r>
    </w:p>
    <w:p>
      <w:pPr>
        <w:spacing w:after="100" w:line="276"/>
      </w:pPr>
      <w:r>
        <w:rPr>
          <w:rFonts w:ascii="Calibri" w:cs="Calibri" w:eastAsia="Calibri" w:hAnsi="Calibri"/>
          <w:b/>
          <w:bCs/>
          <w:color w:val="1F4E79"/>
          <w:sz w:val="21"/>
          <w:szCs w:val="21"/>
        </w:rPr>
        <w:t xml:space="preserve">Descripción: </w:t>
      </w:r>
      <w:r>
        <w:rPr>
          <w:rFonts w:ascii="Calibri" w:cs="Calibri" w:eastAsia="Calibri" w:hAnsi="Calibri"/>
          <w:sz w:val="21"/>
          <w:szCs w:val="21"/>
        </w:rPr>
        <w:t xml:space="preserve">La especificación vigente publicada para el archivo B.1 (Instrumentos de Renta Fija) declara anchos de campo que no suman el largo real de los registros contenidos en los archivos.</w:t>
      </w:r>
    </w:p>
    <w:p>
      <w:pPr>
        <w:spacing w:after="100" w:line="276"/>
      </w:pPr>
      <w:r>
        <w:rPr>
          <w:rFonts w:ascii="Calibri" w:cs="Calibri" w:eastAsia="Calibri" w:hAnsi="Calibri"/>
          <w:b/>
          <w:bCs/>
          <w:color w:val="1F4E79"/>
          <w:sz w:val="21"/>
          <w:szCs w:val="21"/>
        </w:rPr>
        <w:t xml:space="preserve">Evidencia: </w:t>
      </w:r>
      <w:r>
        <w:rPr>
          <w:rFonts w:ascii="Calibri" w:cs="Calibri" w:eastAsia="Calibri" w:hAnsi="Calibri"/>
          <w:sz w:val="21"/>
          <w:szCs w:val="21"/>
        </w:rPr>
        <w:t xml:space="preserve">En el archivo i202605v.96656410 todos los registros miden exactamente 970 caracteres (26.584 registros, sin excepción). En cambio, la especificación define el registro de identificación como TIPO 9(01) + RUT 9(09) + VERIFICADOR X(01) + NOMBRE X(60) + PERIODO 9(06) + FILLER X(853), es decir 930 caracteres: 40 menos que el registro real. En el registro de detalle la brecha es mayor: los anchos declarados suman aproximadamente 875 caracteres frente a los 970 efectivos, quedando unos 95 caracteres sin explicar.</w:t>
      </w:r>
    </w:p>
    <w:p>
      <w:pPr>
        <w:spacing w:after="100" w:line="276"/>
      </w:pPr>
      <w:r>
        <w:rPr>
          <w:rFonts w:ascii="Calibri" w:cs="Calibri" w:eastAsia="Calibri" w:hAnsi="Calibri"/>
          <w:b/>
          <w:bCs/>
          <w:color w:val="1F4E79"/>
          <w:sz w:val="21"/>
          <w:szCs w:val="21"/>
        </w:rPr>
        <w:t xml:space="preserve">Manifestación concreta: </w:t>
      </w:r>
      <w:r>
        <w:rPr>
          <w:rFonts w:ascii="Calibri" w:cs="Calibri" w:eastAsia="Calibri" w:hAnsi="Calibri"/>
          <w:sz w:val="21"/>
          <w:szCs w:val="21"/>
        </w:rPr>
        <w:t xml:space="preserve">Al aplicar la especificación sobre datos reales, los primeros quince campos coinciden correctamente (código de operación, folio, fechas, RUT del emisor, tipo de instrumento). A partir de ahí se produce un desfase acumulado. El tramo que la especificación rotula como NEMOTECNICO contiene, en los datos, tres valores concatenados:</w:t>
      </w:r>
    </w:p>
    <w:p>
      <w:pPr>
        <w:spacing w:after="100"/>
        <w:ind w:left="360"/>
      </w:pPr>
      <w:r>
        <w:rPr>
          <w:rFonts w:ascii="Consolas" w:cs="Consolas" w:eastAsia="Consolas" w:hAnsi="Consolas"/>
          <w:color w:val="333333"/>
          <w:sz w:val="18"/>
          <w:szCs w:val="18"/>
        </w:rPr>
        <w:t xml:space="preserve">PNR768333009  0060026357  20260915</w:t>
      </w:r>
    </w:p>
    <w:p>
      <w:pPr>
        <w:spacing w:after="100"/>
        <w:ind w:left="360"/>
      </w:pPr>
      <w:r>
        <w:rPr>
          <w:rFonts w:ascii="Consolas" w:cs="Consolas" w:eastAsia="Consolas" w:hAnsi="Consolas"/>
          <w:color w:val="333333"/>
          <w:sz w:val="18"/>
          <w:szCs w:val="18"/>
        </w:rPr>
        <w:t xml:space="preserve">(nemotécnico)  (folio)     (fecha de vencimiento)</w:t>
      </w:r>
    </w:p>
    <w:p>
      <w:pPr>
        <w:spacing w:after="100" w:line="276"/>
      </w:pPr>
      <w:r>
        <w:rPr>
          <w:rFonts w:ascii="Calibri" w:cs="Calibri" w:eastAsia="Calibri" w:hAnsi="Calibri"/>
          <w:b/>
          <w:bCs/>
          <w:color w:val="1F4E79"/>
          <w:sz w:val="21"/>
          <w:szCs w:val="21"/>
        </w:rPr>
        <w:t xml:space="preserve">Impacto: </w:t>
      </w:r>
      <w:r>
        <w:rPr>
          <w:rFonts w:ascii="Calibri" w:cs="Calibri" w:eastAsia="Calibri" w:hAnsi="Calibri"/>
          <w:sz w:val="21"/>
          <w:szCs w:val="21"/>
        </w:rPr>
        <w:t xml:space="preserve">Un consumidor que implemente la lectura siguiendo la especificación publicada obtendrá valores desalineados en todos los campos posteriores —incluidos los montos— sin que se produzca ningún error visible. El resultado es silenciosamente incorrecto, que es el modo de falla más peligroso.</w:t>
      </w:r>
    </w:p>
    <w:p>
      <w:pPr>
        <w:spacing w:after="100" w:line="276"/>
      </w:pPr>
      <w:r>
        <w:rPr>
          <w:rFonts w:ascii="Calibri" w:cs="Calibri" w:eastAsia="Calibri" w:hAnsi="Calibri"/>
          <w:b/>
          <w:bCs/>
          <w:color w:val="1F4E79"/>
          <w:sz w:val="21"/>
          <w:szCs w:val="21"/>
        </w:rPr>
        <w:t xml:space="preserve">Recomendación: </w:t>
      </w:r>
      <w:r>
        <w:rPr>
          <w:rFonts w:ascii="Calibri" w:cs="Calibri" w:eastAsia="Calibri" w:hAnsi="Calibri"/>
          <w:sz w:val="21"/>
          <w:szCs w:val="21"/>
        </w:rPr>
        <w:t xml:space="preserve">Publicar la versión de la especificación que corresponde efectivamente a los archivos generados, e incorporar a cada especificación un número de versión y su fecha de vigencia, de modo que sea posible determinar qué documento aplica a cada período.</w:t>
      </w:r>
    </w:p>
    <w:p>
      <w:pPr>
        <w:pStyle w:val="Heading2"/>
        <w:spacing w:after="120" w:before="260"/>
      </w:pPr>
      <w:r>
        <w:rPr>
          <w:rFonts w:ascii="Calibri" w:cs="Calibri" w:eastAsia="Calibri" w:hAnsi="Calibri"/>
          <w:b/>
          <w:bCs/>
          <w:color w:val="2E74B5"/>
          <w:sz w:val="23"/>
          <w:szCs w:val="23"/>
        </w:rPr>
        <w:t xml:space="preserve">H2. El registro de totales no permite validar cuadratura</w:t>
      </w:r>
    </w:p>
    <w:p>
      <w:pPr>
        <w:spacing w:after="100" w:line="276"/>
      </w:pPr>
      <w:r>
        <w:rPr>
          <w:rFonts w:ascii="Calibri" w:cs="Calibri" w:eastAsia="Calibri" w:hAnsi="Calibri"/>
          <w:b/>
          <w:bCs/>
          <w:color w:val="1F4E79"/>
          <w:sz w:val="21"/>
          <w:szCs w:val="21"/>
        </w:rPr>
        <w:t xml:space="preserve">Descripción: </w:t>
      </w:r>
      <w:r>
        <w:rPr>
          <w:rFonts w:ascii="Calibri" w:cs="Calibri" w:eastAsia="Calibri" w:hAnsi="Calibri"/>
          <w:sz w:val="21"/>
          <w:szCs w:val="21"/>
        </w:rPr>
        <w:t xml:space="preserve">El campo TOTAL_REGISTROS del registro tipo 3 se calcula con criterios distintos según la compañía que genera el archivo, por lo que no puede utilizarse como mecanismo de validación.</w:t>
      </w:r>
    </w:p>
    <w:p>
      <w:pPr>
        <w:spacing w:after="100" w:line="276"/>
      </w:pPr>
      <w:r>
        <w:rPr>
          <w:rFonts w:ascii="Calibri" w:cs="Calibri" w:eastAsia="Calibri" w:hAnsi="Calibri"/>
          <w:b/>
          <w:bCs/>
          <w:color w:val="1F4E79"/>
          <w:sz w:val="21"/>
          <w:szCs w:val="21"/>
        </w:rPr>
        <w:t xml:space="preserve">Evidencia: </w:t>
      </w:r>
      <w:r>
        <w:rPr>
          <w:rFonts w:ascii="Calibri" w:cs="Calibri" w:eastAsia="Calibri" w:hAnsi="Calibri"/>
          <w:sz w:val="21"/>
          <w:szCs w:val="21"/>
        </w:rPr>
        <w:t xml:space="preserve">Diferencia entre el total declarado y el número efectivo de registros de detalle, medida sobre los 67 archivos de control de ambos períodos: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Diferencia (declarado − detalle)</w:t>
            </w:r>
          </w:p>
        </w:tc>
        <w:tc>
          <w:tcPr>
            <w:tcW w:type="dxa" w:w="234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Archivos</w:t>
            </w:r>
          </w:p>
        </w:tc>
        <w:tc>
          <w:tcPr>
            <w:tcW w:type="dxa" w:w="234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Interpretación</w:t>
            </w:r>
          </w:p>
        </w:tc>
      </w:tr>
      <w:tr>
        <w:trPr>
          <w:tblHeader w:val="false"/>
        </w:trPr>
        <w:tc>
          <w:tcPr>
            <w:tcW w:type="dxa" w:w="468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+2</w:t>
            </w:r>
          </w:p>
        </w:tc>
        <w:tc>
          <w:tcPr>
            <w:tcW w:type="dxa" w:w="234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56</w:t>
            </w:r>
          </w:p>
        </w:tc>
        <w:tc>
          <w:tcPr>
            <w:tcW w:type="dxa" w:w="234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Incluye identificación y totales</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sz w:val="19"/>
                <w:szCs w:val="19"/>
              </w:rPr>
              <w:t xml:space="preserve">+1</w:t>
            </w:r>
          </w:p>
        </w:tc>
        <w:tc>
          <w:tcPr>
            <w:tcW w:type="dxa" w:w="234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6</w:t>
            </w:r>
          </w:p>
        </w:tc>
        <w:tc>
          <w:tcPr>
            <w:tcW w:type="dxa" w:w="234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Incluye solo uno de los dos</w:t>
            </w:r>
          </w:p>
        </w:tc>
      </w:tr>
      <w:tr>
        <w:trPr>
          <w:tblHeader w:val="false"/>
        </w:trPr>
        <w:tc>
          <w:tcPr>
            <w:tcW w:type="dxa" w:w="468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+4</w:t>
            </w:r>
          </w:p>
        </w:tc>
        <w:tc>
          <w:tcPr>
            <w:tcW w:type="dxa" w:w="234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1</w:t>
            </w:r>
          </w:p>
        </w:tc>
        <w:tc>
          <w:tcPr>
            <w:tcW w:type="dxa" w:w="234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Sin criterio identificable</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sz w:val="19"/>
                <w:szCs w:val="19"/>
              </w:rPr>
              <w:t xml:space="preserve">−2</w:t>
            </w:r>
          </w:p>
        </w:tc>
        <w:tc>
          <w:tcPr>
            <w:tcW w:type="dxa" w:w="234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1</w:t>
            </w:r>
          </w:p>
        </w:tc>
        <w:tc>
          <w:tcPr>
            <w:tcW w:type="dxa" w:w="234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Sin criterio identificable</w:t>
            </w:r>
          </w:p>
        </w:tc>
      </w:tr>
      <w:tr>
        <w:trPr>
          <w:tblHeader w:val="false"/>
        </w:trPr>
        <w:tc>
          <w:tcPr>
            <w:tcW w:type="dxa" w:w="468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−5</w:t>
            </w:r>
          </w:p>
        </w:tc>
        <w:tc>
          <w:tcPr>
            <w:tcW w:type="dxa" w:w="234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1</w:t>
            </w:r>
          </w:p>
        </w:tc>
        <w:tc>
          <w:tcPr>
            <w:tcW w:type="dxa" w:w="234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Sin criterio identificable</w:t>
            </w:r>
          </w:p>
        </w:tc>
      </w:tr>
      <w:tr>
        <w:trPr>
          <w:tblHeader w:val="false"/>
        </w:trPr>
        <w:tc>
          <w:tcPr>
            <w:tcW w:type="dxa" w:w="4680"/>
            <w:tcMar>
              <w:top w:type="dxa" w:w="80"/>
              <w:left w:type="dxa" w:w="120"/>
              <w:bottom w:type="dxa" w:w="80"/>
              <w:right w:type="dxa" w:w="120"/>
            </w:tcMar>
          </w:tcPr>
          <w:p>
            <w:r>
              <w:rPr>
                <w:rFonts w:ascii="Calibri" w:cs="Calibri" w:eastAsia="Calibri" w:hAnsi="Calibri"/>
                <w:b w:val="false"/>
                <w:bCs w:val="false"/>
                <w:sz w:val="19"/>
                <w:szCs w:val="19"/>
              </w:rPr>
              <w:t xml:space="preserve">Sin registro de totales</w:t>
            </w:r>
          </w:p>
        </w:tc>
        <w:tc>
          <w:tcPr>
            <w:tcW w:type="dxa" w:w="234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2</w:t>
            </w:r>
          </w:p>
        </w:tc>
        <w:tc>
          <w:tcPr>
            <w:tcW w:type="dxa" w:w="234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No se emite el registro tipo 3</w:t>
            </w:r>
          </w:p>
        </w:tc>
      </w:tr>
    </w:tbl>
    <w:p>
      <w:pPr>
        <w:spacing w:after="100" w:line="276"/>
      </w:pPr>
      <w:r>
        <w:rPr>
          <w:rFonts w:ascii="Calibri" w:cs="Calibri" w:eastAsia="Calibri" w:hAnsi="Calibri"/>
          <w:b/>
          <w:bCs/>
          <w:color w:val="1F4E79"/>
          <w:sz w:val="21"/>
          <w:szCs w:val="21"/>
        </w:rPr>
        <w:t xml:space="preserve">Casos puntuales: </w:t>
      </w:r>
      <w:r>
        <w:rPr>
          <w:rFonts w:ascii="Calibri" w:cs="Calibri" w:eastAsia="Calibri" w:hAnsi="Calibri"/>
          <w:sz w:val="21"/>
          <w:szCs w:val="21"/>
        </w:rPr>
        <w:t xml:space="preserve">El archivo c202605v.96837630 declara 14 registros y contiene 10; el archivo c202505v.99301000 declara 30 y contiene 35. En ambos casos se verificó que los registros de detalle son válidos: códigos de inversión correctos y sin duplicados. El problema está en el conteo declarado, no en el detalle informado.</w:t>
      </w:r>
    </w:p>
    <w:p>
      <w:pPr>
        <w:spacing w:after="100" w:line="276"/>
      </w:pPr>
      <w:r>
        <w:rPr>
          <w:rFonts w:ascii="Calibri" w:cs="Calibri" w:eastAsia="Calibri" w:hAnsi="Calibri"/>
          <w:b/>
          <w:bCs/>
          <w:color w:val="1F4E79"/>
          <w:sz w:val="21"/>
          <w:szCs w:val="21"/>
        </w:rPr>
        <w:t xml:space="preserve">Impacto: </w:t>
      </w:r>
      <w:r>
        <w:rPr>
          <w:rFonts w:ascii="Calibri" w:cs="Calibri" w:eastAsia="Calibri" w:hAnsi="Calibri"/>
          <w:sz w:val="21"/>
          <w:szCs w:val="21"/>
        </w:rPr>
        <w:t xml:space="preserve">El mecanismo de control previsto por la propia circular queda inutilizable como validación automática en la recepción de los datos.</w:t>
      </w:r>
    </w:p>
    <w:p>
      <w:pPr>
        <w:spacing w:after="100" w:line="276"/>
      </w:pPr>
      <w:r>
        <w:rPr>
          <w:rFonts w:ascii="Calibri" w:cs="Calibri" w:eastAsia="Calibri" w:hAnsi="Calibri"/>
          <w:b/>
          <w:bCs/>
          <w:color w:val="1F4E79"/>
          <w:sz w:val="21"/>
          <w:szCs w:val="21"/>
        </w:rPr>
        <w:t xml:space="preserve">Recomendación: </w:t>
      </w:r>
      <w:r>
        <w:rPr>
          <w:rFonts w:ascii="Calibri" w:cs="Calibri" w:eastAsia="Calibri" w:hAnsi="Calibri"/>
          <w:sz w:val="21"/>
          <w:szCs w:val="21"/>
        </w:rPr>
        <w:t xml:space="preserve">Precisar en la especificación qué registros deben contabilizarse en TOTAL_REGISTROS y validar ese cómputo al momento de la recepción, rechazando los archivos que no cuadren.</w:t>
      </w:r>
    </w:p>
    <w:p>
      <w:pPr>
        <w:pStyle w:val="Heading2"/>
        <w:spacing w:after="120" w:before="260"/>
      </w:pPr>
      <w:r>
        <w:rPr>
          <w:rFonts w:ascii="Calibri" w:cs="Calibri" w:eastAsia="Calibri" w:hAnsi="Calibri"/>
          <w:b/>
          <w:bCs/>
          <w:color w:val="2E74B5"/>
          <w:sz w:val="23"/>
          <w:szCs w:val="23"/>
        </w:rPr>
        <w:t xml:space="preserve">H3. Archivos sin el registro de identificación obligatorio</w:t>
      </w:r>
    </w:p>
    <w:p>
      <w:pPr>
        <w:spacing w:after="100" w:line="276"/>
      </w:pPr>
      <w:r>
        <w:rPr>
          <w:rFonts w:ascii="Calibri" w:cs="Calibri" w:eastAsia="Calibri" w:hAnsi="Calibri"/>
          <w:b/>
          <w:bCs/>
          <w:color w:val="1F4E79"/>
          <w:sz w:val="21"/>
          <w:szCs w:val="21"/>
        </w:rPr>
        <w:t xml:space="preserve">Descripción: </w:t>
      </w:r>
      <w:r>
        <w:rPr>
          <w:rFonts w:ascii="Calibri" w:cs="Calibri" w:eastAsia="Calibri" w:hAnsi="Calibri"/>
          <w:sz w:val="21"/>
          <w:szCs w:val="21"/>
        </w:rPr>
        <w:t xml:space="preserve">La circular establece que el registro tipo 1 de identificación es obligatorio y debe ser el primero del archivo. Se detectaron archivos que no lo incluyen.</w:t>
      </w:r>
    </w:p>
    <w:p>
      <w:pPr>
        <w:spacing w:after="100" w:line="276"/>
      </w:pPr>
      <w:r>
        <w:rPr>
          <w:rFonts w:ascii="Calibri" w:cs="Calibri" w:eastAsia="Calibri" w:hAnsi="Calibri"/>
          <w:b/>
          <w:bCs/>
          <w:color w:val="1F4E79"/>
          <w:sz w:val="21"/>
          <w:szCs w:val="21"/>
        </w:rPr>
        <w:t xml:space="preserve">Evidencia: </w:t>
      </w:r>
      <w:r>
        <w:rPr>
          <w:rFonts w:ascii="Calibri" w:cs="Calibri" w:eastAsia="Calibri" w:hAnsi="Calibri"/>
          <w:sz w:val="21"/>
          <w:szCs w:val="21"/>
        </w:rPr>
        <w:t xml:space="preserve">Los archivos c202505v.96549050 y c202605v.96549050 contienen únicamente registros de detalle (20 y 19 registros respectivamente), sin registro de identificación ni de totales.</w:t>
      </w:r>
    </w:p>
    <w:p>
      <w:pPr>
        <w:spacing w:after="100" w:line="276"/>
      </w:pPr>
      <w:r>
        <w:rPr>
          <w:rFonts w:ascii="Calibri" w:cs="Calibri" w:eastAsia="Calibri" w:hAnsi="Calibri"/>
          <w:b/>
          <w:bCs/>
          <w:color w:val="1F4E79"/>
          <w:sz w:val="21"/>
          <w:szCs w:val="21"/>
        </w:rPr>
        <w:t xml:space="preserve">Impacto: </w:t>
      </w:r>
      <w:r>
        <w:rPr>
          <w:rFonts w:ascii="Calibri" w:cs="Calibri" w:eastAsia="Calibri" w:hAnsi="Calibri"/>
          <w:sz w:val="21"/>
          <w:szCs w:val="21"/>
        </w:rPr>
        <w:t xml:space="preserve">Los registros de detalle quedan sin RUT, razón social ni período asociados. El consumidor debe inferir la identidad de la compañía desde el nombre del archivo, lo que resulta especialmente frágil considerando el hallazgo H5.</w:t>
      </w:r>
    </w:p>
    <w:p>
      <w:pPr>
        <w:spacing w:after="100" w:line="276"/>
      </w:pPr>
      <w:r>
        <w:rPr>
          <w:rFonts w:ascii="Calibri" w:cs="Calibri" w:eastAsia="Calibri" w:hAnsi="Calibri"/>
          <w:b/>
          <w:bCs/>
          <w:color w:val="1F4E79"/>
          <w:sz w:val="21"/>
          <w:szCs w:val="21"/>
        </w:rPr>
        <w:t xml:space="preserve">Recomendación: </w:t>
      </w:r>
      <w:r>
        <w:rPr>
          <w:rFonts w:ascii="Calibri" w:cs="Calibri" w:eastAsia="Calibri" w:hAnsi="Calibri"/>
          <w:sz w:val="21"/>
          <w:szCs w:val="21"/>
        </w:rPr>
        <w:t xml:space="preserve">Validar en la recepción la presencia y posición del registro de identificación antes de aceptar el archivo.</w:t>
      </w:r>
    </w:p>
    <w:p>
      <w:pPr>
        <w:pStyle w:val="Heading2"/>
        <w:spacing w:after="120" w:before="260"/>
      </w:pPr>
      <w:r>
        <w:rPr>
          <w:rFonts w:ascii="Calibri" w:cs="Calibri" w:eastAsia="Calibri" w:hAnsi="Calibri"/>
          <w:b/>
          <w:bCs/>
          <w:color w:val="2E74B5"/>
          <w:sz w:val="23"/>
          <w:szCs w:val="23"/>
        </w:rPr>
        <w:t xml:space="preserve">H4. Registro de identificación corrompido por un carácter espurio</w:t>
      </w:r>
    </w:p>
    <w:p>
      <w:pPr>
        <w:spacing w:after="100" w:line="276"/>
      </w:pPr>
      <w:r>
        <w:rPr>
          <w:rFonts w:ascii="Calibri" w:cs="Calibri" w:eastAsia="Calibri" w:hAnsi="Calibri"/>
          <w:b/>
          <w:bCs/>
          <w:color w:val="1F4E79"/>
          <w:sz w:val="21"/>
          <w:szCs w:val="21"/>
        </w:rPr>
        <w:t xml:space="preserve">Descripción: </w:t>
      </w:r>
      <w:r>
        <w:rPr>
          <w:rFonts w:ascii="Calibri" w:cs="Calibri" w:eastAsia="Calibri" w:hAnsi="Calibri"/>
          <w:sz w:val="21"/>
          <w:szCs w:val="21"/>
        </w:rPr>
        <w:t xml:space="preserve">Un archivo presenta un carácter adicional al inicio de su primer registro, lo que desplaza todos los campos e invalida el registro de identificación.</w:t>
      </w:r>
    </w:p>
    <w:p>
      <w:pPr>
        <w:spacing w:after="100" w:line="276"/>
      </w:pPr>
      <w:r>
        <w:rPr>
          <w:rFonts w:ascii="Calibri" w:cs="Calibri" w:eastAsia="Calibri" w:hAnsi="Calibri"/>
          <w:b/>
          <w:bCs/>
          <w:color w:val="1F4E79"/>
          <w:sz w:val="21"/>
          <w:szCs w:val="21"/>
        </w:rPr>
        <w:t xml:space="preserve">Evidencia: </w:t>
      </w:r>
      <w:r>
        <w:rPr>
          <w:rFonts w:ascii="Calibri" w:cs="Calibri" w:eastAsia="Calibri" w:hAnsi="Calibri"/>
          <w:sz w:val="21"/>
          <w:szCs w:val="21"/>
        </w:rPr>
        <w:t xml:space="preserve">El primer registro del archivo c202505v.99289000 comienza con el carácter «x» en lugar del tipo de registro «1»:</w:t>
      </w:r>
    </w:p>
    <w:p>
      <w:pPr>
        <w:spacing w:after="100"/>
        <w:ind w:left="360"/>
      </w:pPr>
      <w:r>
        <w:rPr>
          <w:rFonts w:ascii="Consolas" w:cs="Consolas" w:eastAsia="Consolas" w:hAnsi="Consolas"/>
          <w:color w:val="333333"/>
          <w:sz w:val="18"/>
          <w:szCs w:val="18"/>
        </w:rPr>
        <w:t xml:space="preserve">x10992890002033 METLIFE CHILE SEGUROS DE VIDA S.A. ... 202505</w:t>
      </w:r>
    </w:p>
    <w:p>
      <w:pPr>
        <w:spacing w:after="140" w:line="276"/>
      </w:pPr>
      <w:r>
        <w:rPr>
          <w:rFonts w:ascii="Calibri" w:cs="Calibri" w:eastAsia="Calibri" w:hAnsi="Calibri"/>
          <w:sz w:val="21"/>
          <w:szCs w:val="21"/>
        </w:rPr>
        <w:t xml:space="preserve">Al descartar ese carácter inicial se reconoce la estructura esperada (RUT 099289000, correspondiente a METLIFE CHILE SEGUROS DE VIDA S.A.), lo que confirma que se trata de un carácter espurio y no de un formato distinto.</w:t>
      </w:r>
    </w:p>
    <w:p>
      <w:pPr>
        <w:spacing w:after="100" w:line="276"/>
      </w:pPr>
      <w:r>
        <w:rPr>
          <w:rFonts w:ascii="Calibri" w:cs="Calibri" w:eastAsia="Calibri" w:hAnsi="Calibri"/>
          <w:b/>
          <w:bCs/>
          <w:color w:val="1F4E79"/>
          <w:sz w:val="21"/>
          <w:szCs w:val="21"/>
        </w:rPr>
        <w:t xml:space="preserve">Impacto: </w:t>
      </w:r>
      <w:r>
        <w:rPr>
          <w:rFonts w:ascii="Calibri" w:cs="Calibri" w:eastAsia="Calibri" w:hAnsi="Calibri"/>
          <w:sz w:val="21"/>
          <w:szCs w:val="21"/>
        </w:rPr>
        <w:t xml:space="preserve">El archivo es rechazado por cualquier lector que valide el tipo de registro, o bien procesado incorrectamente por uno que no lo valide.</w:t>
      </w:r>
    </w:p>
    <w:p>
      <w:pPr>
        <w:spacing w:after="100" w:line="276"/>
      </w:pPr>
      <w:r>
        <w:rPr>
          <w:rFonts w:ascii="Calibri" w:cs="Calibri" w:eastAsia="Calibri" w:hAnsi="Calibri"/>
          <w:b/>
          <w:bCs/>
          <w:color w:val="1F4E79"/>
          <w:sz w:val="21"/>
          <w:szCs w:val="21"/>
        </w:rPr>
        <w:t xml:space="preserve">Recomendación: </w:t>
      </w:r>
      <w:r>
        <w:rPr>
          <w:rFonts w:ascii="Calibri" w:cs="Calibri" w:eastAsia="Calibri" w:hAnsi="Calibri"/>
          <w:sz w:val="21"/>
          <w:szCs w:val="21"/>
        </w:rPr>
        <w:t xml:space="preserve">Validar en la recepción que el primer carácter de cada registro corresponda a un tipo válido (1, 2 o 3).</w:t>
      </w:r>
    </w:p>
    <w:p>
      <w:pPr>
        <w:pStyle w:val="Heading2"/>
        <w:spacing w:after="120" w:before="260"/>
      </w:pPr>
      <w:r>
        <w:rPr>
          <w:rFonts w:ascii="Calibri" w:cs="Calibri" w:eastAsia="Calibri" w:hAnsi="Calibri"/>
          <w:b/>
          <w:bCs/>
          <w:color w:val="2E74B5"/>
          <w:sz w:val="23"/>
          <w:szCs w:val="23"/>
        </w:rPr>
        <w:t xml:space="preserve">H5. RUT del nombre de archivo distinto al declarado en el contenido</w:t>
      </w:r>
    </w:p>
    <w:p>
      <w:pPr>
        <w:spacing w:after="100" w:line="276"/>
      </w:pPr>
      <w:r>
        <w:rPr>
          <w:rFonts w:ascii="Calibri" w:cs="Calibri" w:eastAsia="Calibri" w:hAnsi="Calibri"/>
          <w:b/>
          <w:bCs/>
          <w:color w:val="1F4E79"/>
          <w:sz w:val="21"/>
          <w:szCs w:val="21"/>
        </w:rPr>
        <w:t xml:space="preserve">Descripción: </w:t>
      </w:r>
      <w:r>
        <w:rPr>
          <w:rFonts w:ascii="Calibri" w:cs="Calibri" w:eastAsia="Calibri" w:hAnsi="Calibri"/>
          <w:sz w:val="21"/>
          <w:szCs w:val="21"/>
        </w:rPr>
        <w:t xml:space="preserve">Se detectó un archivo cuyo RUT en el nombre no corresponde al RUT ni a la razón social declarados en su registro de identificación.</w:t>
      </w:r>
    </w:p>
    <w:p>
      <w:pPr>
        <w:spacing w:after="100" w:line="276"/>
      </w:pPr>
      <w:r>
        <w:rPr>
          <w:rFonts w:ascii="Calibri" w:cs="Calibri" w:eastAsia="Calibri" w:hAnsi="Calibri"/>
          <w:b/>
          <w:bCs/>
          <w:color w:val="1F4E79"/>
          <w:sz w:val="21"/>
          <w:szCs w:val="21"/>
        </w:rPr>
        <w:t xml:space="preserve">Evidencia: </w:t>
      </w:r>
      <w:r>
        <w:rPr>
          <w:rFonts w:ascii="Calibri" w:cs="Calibri" w:eastAsia="Calibri" w:hAnsi="Calibri"/>
          <w:sz w:val="21"/>
          <w:szCs w:val="21"/>
        </w:rPr>
        <w:t xml:space="preserve">El archivo c202505v.76632384 —cuyo nombre indica el RUT 76.632.384— contiene en su registro de identificación el RUT 99.185.000 y la razón social «Zurich Chile Seguros de Rentas Vitalicias S.A».</w:t>
      </w:r>
    </w:p>
    <w:p>
      <w:pPr>
        <w:spacing w:after="100" w:line="276"/>
      </w:pPr>
      <w:r>
        <w:rPr>
          <w:rFonts w:ascii="Calibri" w:cs="Calibri" w:eastAsia="Calibri" w:hAnsi="Calibri"/>
          <w:b/>
          <w:bCs/>
          <w:color w:val="1F4E79"/>
          <w:sz w:val="21"/>
          <w:szCs w:val="21"/>
        </w:rPr>
        <w:t xml:space="preserve">Impacto: </w:t>
      </w:r>
      <w:r>
        <w:rPr>
          <w:rFonts w:ascii="Calibri" w:cs="Calibri" w:eastAsia="Calibri" w:hAnsi="Calibri"/>
          <w:sz w:val="21"/>
          <w:szCs w:val="21"/>
        </w:rPr>
        <w:t xml:space="preserve">Existe ambigüedad respecto de a qué entidad corresponde la información, con riesgo de atribuir una cartera a la compañía equivocada. Adicionalmente, la compañía indicada en el nombre del archivo aparenta no haber informado en ese período.</w:t>
      </w:r>
    </w:p>
    <w:p>
      <w:pPr>
        <w:spacing w:after="100" w:line="276"/>
      </w:pPr>
      <w:r>
        <w:rPr>
          <w:rFonts w:ascii="Calibri" w:cs="Calibri" w:eastAsia="Calibri" w:hAnsi="Calibri"/>
          <w:b/>
          <w:bCs/>
          <w:color w:val="1F4E79"/>
          <w:sz w:val="21"/>
          <w:szCs w:val="21"/>
        </w:rPr>
        <w:t xml:space="preserve">Recomendación: </w:t>
      </w:r>
      <w:r>
        <w:rPr>
          <w:rFonts w:ascii="Calibri" w:cs="Calibri" w:eastAsia="Calibri" w:hAnsi="Calibri"/>
          <w:sz w:val="21"/>
          <w:szCs w:val="21"/>
        </w:rPr>
        <w:t xml:space="preserve">Validar en la recepción que el RUT del nombre del archivo coincida con el declarado en el registro de identificación.</w:t>
      </w:r>
    </w:p>
    <w:p>
      <w:pPr>
        <w:pStyle w:val="Heading2"/>
        <w:spacing w:after="120" w:before="260"/>
      </w:pPr>
      <w:r>
        <w:rPr>
          <w:rFonts w:ascii="Calibri" w:cs="Calibri" w:eastAsia="Calibri" w:hAnsi="Calibri"/>
          <w:b/>
          <w:bCs/>
          <w:color w:val="2E74B5"/>
          <w:sz w:val="23"/>
          <w:szCs w:val="23"/>
        </w:rPr>
        <w:t xml:space="preserve">H6. Nombre y extensión de archivo difieren de lo documentado</w:t>
      </w:r>
    </w:p>
    <w:p>
      <w:pPr>
        <w:spacing w:after="100" w:line="276"/>
      </w:pPr>
      <w:r>
        <w:rPr>
          <w:rFonts w:ascii="Calibri" w:cs="Calibri" w:eastAsia="Calibri" w:hAnsi="Calibri"/>
          <w:b/>
          <w:bCs/>
          <w:color w:val="1F4E79"/>
          <w:sz w:val="21"/>
          <w:szCs w:val="21"/>
        </w:rPr>
        <w:t xml:space="preserve">Descripción: </w:t>
      </w:r>
      <w:r>
        <w:rPr>
          <w:rFonts w:ascii="Calibri" w:cs="Calibri" w:eastAsia="Calibri" w:hAnsi="Calibri"/>
          <w:sz w:val="21"/>
          <w:szCs w:val="21"/>
        </w:rPr>
        <w:t xml:space="preserve">La convención de nombres descrita en la documentación no corresponde a la utilizada efectivamente en los archivos publicados.</w:t>
      </w:r>
    </w:p>
    <w:p>
      <w:pPr>
        <w:spacing w:after="100" w:line="276"/>
      </w:pPr>
      <w:r>
        <w:rPr>
          <w:rFonts w:ascii="Calibri" w:cs="Calibri" w:eastAsia="Calibri" w:hAnsi="Calibri"/>
          <w:b/>
          <w:bCs/>
          <w:color w:val="1F4E79"/>
          <w:sz w:val="21"/>
          <w:szCs w:val="21"/>
        </w:rPr>
        <w:t xml:space="preserve">Evidencia: </w:t>
      </w:r>
      <w:r>
        <w:rPr>
          <w:rFonts w:ascii="Calibri" w:cs="Calibri" w:eastAsia="Calibri" w:hAnsi="Calibri"/>
          <w:sz w:val="21"/>
          <w:szCs w:val="21"/>
        </w:rPr>
        <w:t xml:space="preserve">El documento descriptivo define el patrón «IaammddG.&lt;RUT_COMPAÑIA&gt;», donde aa es el año, mm el mes y dd el día, y señala que «el archivo IaammddG.TXT deberá contener la siguiente estructura». Los archivos reales se denominan, por ejemplo, i202605v.96656410: emplean el formato AAAAMM (sin día) y la extensión efectiva es el RUT de la compañía, no «.TXT».</w:t>
      </w:r>
    </w:p>
    <w:p>
      <w:pPr>
        <w:spacing w:after="100" w:line="276"/>
      </w:pPr>
      <w:r>
        <w:rPr>
          <w:rFonts w:ascii="Calibri" w:cs="Calibri" w:eastAsia="Calibri" w:hAnsi="Calibri"/>
          <w:b/>
          <w:bCs/>
          <w:color w:val="1F4E79"/>
          <w:sz w:val="21"/>
          <w:szCs w:val="21"/>
        </w:rPr>
        <w:t xml:space="preserve">Impacto: </w:t>
      </w:r>
      <w:r>
        <w:rPr>
          <w:rFonts w:ascii="Calibri" w:cs="Calibri" w:eastAsia="Calibri" w:hAnsi="Calibri"/>
          <w:sz w:val="21"/>
          <w:szCs w:val="21"/>
        </w:rPr>
        <w:t xml:space="preserve">Menor, pero induce a error en una primera implementación y obliga a inferir la convención real por inspección.</w:t>
      </w:r>
    </w:p>
    <w:p>
      <w:pPr>
        <w:spacing w:after="100" w:line="276"/>
      </w:pPr>
      <w:r>
        <w:rPr>
          <w:rFonts w:ascii="Calibri" w:cs="Calibri" w:eastAsia="Calibri" w:hAnsi="Calibri"/>
          <w:b/>
          <w:bCs/>
          <w:color w:val="1F4E79"/>
          <w:sz w:val="21"/>
          <w:szCs w:val="21"/>
        </w:rPr>
        <w:t xml:space="preserve">Recomendación: </w:t>
      </w:r>
      <w:r>
        <w:rPr>
          <w:rFonts w:ascii="Calibri" w:cs="Calibri" w:eastAsia="Calibri" w:hAnsi="Calibri"/>
          <w:sz w:val="21"/>
          <w:szCs w:val="21"/>
        </w:rPr>
        <w:t xml:space="preserve">Actualizar el documento descriptivo para reflejar la convención vigente.</w:t>
      </w:r>
    </w:p>
    <w:p>
      <w:pPr>
        <w:pStyle w:val="Heading2"/>
        <w:spacing w:after="120" w:before="260"/>
      </w:pPr>
      <w:r>
        <w:rPr>
          <w:rFonts w:ascii="Calibri" w:cs="Calibri" w:eastAsia="Calibri" w:hAnsi="Calibri"/>
          <w:b/>
          <w:bCs/>
          <w:color w:val="2E74B5"/>
          <w:sz w:val="23"/>
          <w:szCs w:val="23"/>
        </w:rPr>
        <w:t xml:space="preserve">H7. Ambigüedad entre bytes y caracteres en un formato de ancho fijo UTF-8</w:t>
      </w:r>
    </w:p>
    <w:p>
      <w:pPr>
        <w:spacing w:after="100" w:line="276"/>
      </w:pPr>
      <w:r>
        <w:rPr>
          <w:rFonts w:ascii="Calibri" w:cs="Calibri" w:eastAsia="Calibri" w:hAnsi="Calibri"/>
          <w:b/>
          <w:bCs/>
          <w:color w:val="1F4E79"/>
          <w:sz w:val="21"/>
          <w:szCs w:val="21"/>
        </w:rPr>
        <w:t xml:space="preserve">Descripción: </w:t>
      </w:r>
      <w:r>
        <w:rPr>
          <w:rFonts w:ascii="Calibri" w:cs="Calibri" w:eastAsia="Calibri" w:hAnsi="Calibri"/>
          <w:sz w:val="21"/>
          <w:szCs w:val="21"/>
        </w:rPr>
        <w:t xml:space="preserve">Los archivos están codificados en UTF-8, mientras que las especificaciones expresan los anchos mediante cláusulas PICTURE sin precisar si se refieren a bytes o a caracteres. En presencia de caracteres no ASCII ambas interpretaciones divergen.</w:t>
      </w:r>
    </w:p>
    <w:p>
      <w:pPr>
        <w:spacing w:after="100" w:line="276"/>
      </w:pPr>
      <w:r>
        <w:rPr>
          <w:rFonts w:ascii="Calibri" w:cs="Calibri" w:eastAsia="Calibri" w:hAnsi="Calibri"/>
          <w:b/>
          <w:bCs/>
          <w:color w:val="1F4E79"/>
          <w:sz w:val="21"/>
          <w:szCs w:val="21"/>
        </w:rPr>
        <w:t xml:space="preserve">Evidencia: </w:t>
      </w:r>
      <w:r>
        <w:rPr>
          <w:rFonts w:ascii="Calibri" w:cs="Calibri" w:eastAsia="Calibri" w:hAnsi="Calibri"/>
          <w:sz w:val="21"/>
          <w:szCs w:val="21"/>
        </w:rPr>
        <w:t xml:space="preserve">El registro de identificación del archivo i202605v.96656410 ocupa 971 bytes pero 970 caracteres, porque la razón social «BICE VIDA COMPAÑIA DE SEGUROS S.A.» contiene la letra Ñ, que en UTF-8 se codifica en dos bytes.</w:t>
      </w:r>
    </w:p>
    <w:p>
      <w:pPr>
        <w:spacing w:after="100" w:line="276"/>
      </w:pPr>
      <w:r>
        <w:rPr>
          <w:rFonts w:ascii="Calibri" w:cs="Calibri" w:eastAsia="Calibri" w:hAnsi="Calibri"/>
          <w:b/>
          <w:bCs/>
          <w:color w:val="1F4E79"/>
          <w:sz w:val="21"/>
          <w:szCs w:val="21"/>
        </w:rPr>
        <w:t xml:space="preserve">Impacto: </w:t>
      </w:r>
      <w:r>
        <w:rPr>
          <w:rFonts w:ascii="Calibri" w:cs="Calibri" w:eastAsia="Calibri" w:hAnsi="Calibri"/>
          <w:sz w:val="21"/>
          <w:szCs w:val="21"/>
        </w:rPr>
        <w:t xml:space="preserve">Una implementación que segmente los registros por posición de byte —lo natural en un formato heredado de COBOL— desalinea todos los campos posteriores al primer carácter no ASCII.</w:t>
      </w:r>
    </w:p>
    <w:p>
      <w:pPr>
        <w:spacing w:after="100" w:line="276"/>
      </w:pPr>
      <w:r>
        <w:rPr>
          <w:rFonts w:ascii="Calibri" w:cs="Calibri" w:eastAsia="Calibri" w:hAnsi="Calibri"/>
          <w:b/>
          <w:bCs/>
          <w:color w:val="1F4E79"/>
          <w:sz w:val="21"/>
          <w:szCs w:val="21"/>
        </w:rPr>
        <w:t xml:space="preserve">Recomendación: </w:t>
      </w:r>
      <w:r>
        <w:rPr>
          <w:rFonts w:ascii="Calibri" w:cs="Calibri" w:eastAsia="Calibri" w:hAnsi="Calibri"/>
          <w:sz w:val="21"/>
          <w:szCs w:val="21"/>
        </w:rPr>
        <w:t xml:space="preserve">Declarar explícitamente en la especificación la codificación de los archivos y que los anchos se expresan en caracteres.</w:t>
      </w:r>
    </w:p>
    <w:p>
      <w:r>
        <w:br w:type="page"/>
      </w:r>
    </w:p>
    <w:p>
      <w:pPr>
        <w:pStyle w:val="Heading1"/>
        <w:spacing w:after="160" w:before="320"/>
      </w:pPr>
      <w:r>
        <w:rPr>
          <w:rFonts w:ascii="Calibri" w:cs="Calibri" w:eastAsia="Calibri" w:hAnsi="Calibri"/>
          <w:b/>
          <w:bCs/>
          <w:color w:val="1F4E79"/>
          <w:sz w:val="28"/>
          <w:szCs w:val="28"/>
        </w:rPr>
        <w:t xml:space="preserve">5. Aspectos verificados como correctos</w:t>
      </w:r>
    </w:p>
    <w:p>
      <w:pPr>
        <w:spacing w:after="120" w:line="276"/>
      </w:pPr>
      <w:r>
        <w:rPr>
          <w:rFonts w:ascii="Calibri" w:cs="Calibri" w:eastAsia="Calibri" w:hAnsi="Calibri"/>
          <w:sz w:val="21"/>
          <w:szCs w:val="21"/>
        </w:rPr>
        <w:t xml:space="preserve">En resguardo de una lectura equilibrada, se deja constancia de los aspectos que se comprobaron consistentes durante la misma revisión:</w:t>
      </w:r>
    </w:p>
    <w:p>
      <w:pPr>
        <w:pStyle w:val="ListParagraph"/>
        <w:numPr>
          <w:ilvl w:val="0"/>
          <w:numId w:val="2"/>
        </w:numPr>
        <w:spacing w:after="80" w:line="276"/>
      </w:pPr>
      <w:r>
        <w:rPr>
          <w:rFonts w:ascii="Calibri" w:cs="Calibri" w:eastAsia="Calibri" w:hAnsi="Calibri"/>
          <w:sz w:val="21"/>
          <w:szCs w:val="21"/>
        </w:rPr>
        <w:t xml:space="preserve">El archivo B.8 (Información de Control) reconcilia de manera exacta: la suma de los anchos declarados en su especificación es de 138 caracteres, idéntica al largo real de los registros.</w:t>
      </w:r>
    </w:p>
    <w:p>
      <w:pPr>
        <w:pStyle w:val="ListParagraph"/>
        <w:numPr>
          <w:ilvl w:val="0"/>
          <w:numId w:val="2"/>
        </w:numPr>
        <w:spacing w:after="80" w:line="276"/>
      </w:pPr>
      <w:r>
        <w:rPr>
          <w:rFonts w:ascii="Calibri" w:cs="Calibri" w:eastAsia="Calibri" w:hAnsi="Calibri"/>
          <w:sz w:val="21"/>
          <w:szCs w:val="21"/>
        </w:rPr>
        <w:t xml:space="preserve">La totalidad de los campos de monto del archivo B.8 —diez por registro— parsean correctamente en las 33 compañías informantes, sin una sola excepción.</w:t>
      </w:r>
    </w:p>
    <w:p>
      <w:pPr>
        <w:pStyle w:val="ListParagraph"/>
        <w:numPr>
          <w:ilvl w:val="0"/>
          <w:numId w:val="2"/>
        </w:numPr>
        <w:spacing w:after="80" w:line="276"/>
      </w:pPr>
      <w:r>
        <w:rPr>
          <w:rFonts w:ascii="Calibri" w:cs="Calibri" w:eastAsia="Calibri" w:hAnsi="Calibri"/>
          <w:sz w:val="21"/>
          <w:szCs w:val="21"/>
        </w:rPr>
        <w:t xml:space="preserve">El largo de registro es uniforme dentro de cada tipo de archivo (por ejemplo, los 26.584 registros del archivo B.1 revisado miden exactamente 970 caracteres).</w:t>
      </w:r>
    </w:p>
    <w:p>
      <w:pPr>
        <w:pStyle w:val="ListParagraph"/>
        <w:numPr>
          <w:ilvl w:val="0"/>
          <w:numId w:val="2"/>
        </w:numPr>
        <w:spacing w:after="80" w:line="276"/>
      </w:pPr>
      <w:r>
        <w:rPr>
          <w:rFonts w:ascii="Calibri" w:cs="Calibri" w:eastAsia="Calibri" w:hAnsi="Calibri"/>
          <w:sz w:val="21"/>
          <w:szCs w:val="21"/>
        </w:rPr>
        <w:t xml:space="preserve">Los totales resultantes son coherentes con los estados financieros FECU de las mismas compañías: la razón entre la cartera informada y el total de inversiones financieras del estado de situación financiera se mantiene estable entre compañías, lo que confirma la consistencia de las magnitudes.</w:t>
      </w:r>
    </w:p>
    <w:p>
      <w:pPr>
        <w:pStyle w:val="ListParagraph"/>
        <w:numPr>
          <w:ilvl w:val="0"/>
          <w:numId w:val="2"/>
        </w:numPr>
        <w:spacing w:after="80" w:line="276"/>
      </w:pPr>
      <w:r>
        <w:rPr>
          <w:rFonts w:ascii="Calibri" w:cs="Calibri" w:eastAsia="Calibri" w:hAnsi="Calibri"/>
          <w:sz w:val="21"/>
          <w:szCs w:val="21"/>
        </w:rPr>
        <w:t xml:space="preserve">Tanto el documento descriptivo como las especificaciones por tipo de archivo son de acceso público y descarga directa.</w:t>
      </w:r>
    </w:p>
    <w:p>
      <w:pPr>
        <w:pStyle w:val="Heading1"/>
        <w:spacing w:after="160" w:before="320"/>
      </w:pPr>
      <w:r>
        <w:rPr>
          <w:rFonts w:ascii="Calibri" w:cs="Calibri" w:eastAsia="Calibri" w:hAnsi="Calibri"/>
          <w:b/>
          <w:bCs/>
          <w:color w:val="1F4E79"/>
          <w:sz w:val="28"/>
          <w:szCs w:val="28"/>
        </w:rPr>
        <w:t xml:space="preserve">6. Recomendaciones consolidadas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5600"/>
        <w:gridCol w:w="3000"/>
      </w:tblGrid>
      <w:tr>
        <w:trPr>
          <w:tblHeader/>
        </w:trPr>
        <w:tc>
          <w:tcPr>
            <w:tcW w:type="dxa" w:w="76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N°</w:t>
            </w:r>
          </w:p>
        </w:tc>
        <w:tc>
          <w:tcPr>
            <w:tcW w:type="dxa" w:w="56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Recomendación</w:t>
            </w:r>
          </w:p>
        </w:tc>
        <w:tc>
          <w:tcPr>
            <w:tcW w:type="dxa" w:w="3000"/>
            <w:shd w:fill="1F4E79" w:val="clear"/>
            <w:tcMar>
              <w:top w:type="dxa" w:w="80"/>
              <w:left w:type="dxa" w:w="120"/>
              <w:bottom w:type="dxa" w:w="80"/>
              <w:right w:type="dxa" w:w="120"/>
            </w:tcMar>
          </w:tcPr>
          <w:p>
            <w:r>
              <w:rPr>
                <w:rFonts w:ascii="Calibri" w:cs="Calibri" w:eastAsia="Calibri" w:hAnsi="Calibri"/>
                <w:b/>
                <w:bCs/>
                <w:color w:val="FFFFFF"/>
                <w:sz w:val="19"/>
                <w:szCs w:val="19"/>
              </w:rPr>
              <w:t xml:space="preserve">Atiende</w:t>
            </w:r>
          </w:p>
        </w:tc>
      </w:tr>
      <w:tr>
        <w:trPr>
          <w:tblHeader w:val="false"/>
        </w:trPr>
        <w:tc>
          <w:tcPr>
            <w:tcW w:type="dxa" w:w="76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R1</w:t>
            </w:r>
          </w:p>
        </w:tc>
        <w:tc>
          <w:tcPr>
            <w:tcW w:type="dxa" w:w="56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Publicar la especificación vigente que corresponda a los archivos efectivamente generados, con número de versión y fecha de vigencia.</w:t>
            </w:r>
          </w:p>
        </w:tc>
        <w:tc>
          <w:tcPr>
            <w:tcW w:type="dxa" w:w="30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H1, H6</w:t>
            </w:r>
          </w:p>
        </w:tc>
      </w:tr>
      <w:tr>
        <w:trPr>
          <w:tblHeader w:val="false"/>
        </w:trPr>
        <w:tc>
          <w:tcPr>
            <w:tcW w:type="dxa" w:w="760"/>
            <w:tcMar>
              <w:top w:type="dxa" w:w="80"/>
              <w:left w:type="dxa" w:w="120"/>
              <w:bottom w:type="dxa" w:w="80"/>
              <w:right w:type="dxa" w:w="120"/>
            </w:tcMar>
          </w:tcPr>
          <w:p>
            <w:r>
              <w:rPr>
                <w:rFonts w:ascii="Calibri" w:cs="Calibri" w:eastAsia="Calibri" w:hAnsi="Calibri"/>
                <w:b w:val="false"/>
                <w:bCs w:val="false"/>
                <w:sz w:val="19"/>
                <w:szCs w:val="19"/>
              </w:rPr>
              <w:t xml:space="preserve">R2</w:t>
            </w:r>
          </w:p>
        </w:tc>
        <w:tc>
          <w:tcPr>
            <w:tcW w:type="dxa" w:w="56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Validar en la recepción la presencia y posición del registro de identificación obligatorio.</w:t>
            </w:r>
          </w:p>
        </w:tc>
        <w:tc>
          <w:tcPr>
            <w:tcW w:type="dxa" w:w="30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H3</w:t>
            </w:r>
          </w:p>
        </w:tc>
      </w:tr>
      <w:tr>
        <w:trPr>
          <w:tblHeader w:val="false"/>
        </w:trPr>
        <w:tc>
          <w:tcPr>
            <w:tcW w:type="dxa" w:w="76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R3</w:t>
            </w:r>
          </w:p>
        </w:tc>
        <w:tc>
          <w:tcPr>
            <w:tcW w:type="dxa" w:w="56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Validar que el primer carácter de cada registro corresponda a un tipo válido (1, 2 o 3).</w:t>
            </w:r>
          </w:p>
        </w:tc>
        <w:tc>
          <w:tcPr>
            <w:tcW w:type="dxa" w:w="30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H4</w:t>
            </w:r>
          </w:p>
        </w:tc>
      </w:tr>
      <w:tr>
        <w:trPr>
          <w:tblHeader w:val="false"/>
        </w:trPr>
        <w:tc>
          <w:tcPr>
            <w:tcW w:type="dxa" w:w="760"/>
            <w:tcMar>
              <w:top w:type="dxa" w:w="80"/>
              <w:left w:type="dxa" w:w="120"/>
              <w:bottom w:type="dxa" w:w="80"/>
              <w:right w:type="dxa" w:w="120"/>
            </w:tcMar>
          </w:tcPr>
          <w:p>
            <w:r>
              <w:rPr>
                <w:rFonts w:ascii="Calibri" w:cs="Calibri" w:eastAsia="Calibri" w:hAnsi="Calibri"/>
                <w:b w:val="false"/>
                <w:bCs w:val="false"/>
                <w:sz w:val="19"/>
                <w:szCs w:val="19"/>
              </w:rPr>
              <w:t xml:space="preserve">R4</w:t>
            </w:r>
          </w:p>
        </w:tc>
        <w:tc>
          <w:tcPr>
            <w:tcW w:type="dxa" w:w="56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Validar que el RUT del nombre del archivo coincida con el declarado en su contenido.</w:t>
            </w:r>
          </w:p>
        </w:tc>
        <w:tc>
          <w:tcPr>
            <w:tcW w:type="dxa" w:w="30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H5</w:t>
            </w:r>
          </w:p>
        </w:tc>
      </w:tr>
      <w:tr>
        <w:trPr>
          <w:tblHeader w:val="false"/>
        </w:trPr>
        <w:tc>
          <w:tcPr>
            <w:tcW w:type="dxa" w:w="760"/>
            <w:shd w:fill="F2F6FA" w:val="clear"/>
            <w:tcMar>
              <w:top w:type="dxa" w:w="80"/>
              <w:left w:type="dxa" w:w="120"/>
              <w:bottom w:type="dxa" w:w="80"/>
              <w:right w:type="dxa" w:w="120"/>
            </w:tcMar>
          </w:tcPr>
          <w:p>
            <w:r>
              <w:rPr>
                <w:rFonts w:ascii="Calibri" w:cs="Calibri" w:eastAsia="Calibri" w:hAnsi="Calibri"/>
                <w:b w:val="false"/>
                <w:bCs w:val="false"/>
                <w:sz w:val="19"/>
                <w:szCs w:val="19"/>
              </w:rPr>
              <w:t xml:space="preserve">R5</w:t>
            </w:r>
          </w:p>
        </w:tc>
        <w:tc>
          <w:tcPr>
            <w:tcW w:type="dxa" w:w="56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Precisar el criterio de cómputo de TOTAL_REGISTROS y validarlo en la recepción.</w:t>
            </w:r>
          </w:p>
        </w:tc>
        <w:tc>
          <w:tcPr>
            <w:tcW w:type="dxa" w:w="3000"/>
            <w:shd w:fill="F2F6FA" w:val="clear"/>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H2</w:t>
            </w:r>
          </w:p>
        </w:tc>
      </w:tr>
      <w:tr>
        <w:trPr>
          <w:tblHeader w:val="false"/>
        </w:trPr>
        <w:tc>
          <w:tcPr>
            <w:tcW w:type="dxa" w:w="760"/>
            <w:tcMar>
              <w:top w:type="dxa" w:w="80"/>
              <w:left w:type="dxa" w:w="120"/>
              <w:bottom w:type="dxa" w:w="80"/>
              <w:right w:type="dxa" w:w="120"/>
            </w:tcMar>
          </w:tcPr>
          <w:p>
            <w:r>
              <w:rPr>
                <w:rFonts w:ascii="Calibri" w:cs="Calibri" w:eastAsia="Calibri" w:hAnsi="Calibri"/>
                <w:b w:val="false"/>
                <w:bCs w:val="false"/>
                <w:sz w:val="19"/>
                <w:szCs w:val="19"/>
              </w:rPr>
              <w:t xml:space="preserve">R6</w:t>
            </w:r>
          </w:p>
        </w:tc>
        <w:tc>
          <w:tcPr>
            <w:tcW w:type="dxa" w:w="56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Declarar explícitamente la codificación de los archivos y que los anchos se expresan en caracteres.</w:t>
            </w:r>
          </w:p>
        </w:tc>
        <w:tc>
          <w:tcPr>
            <w:tcW w:type="dxa" w:w="3000"/>
            <w:tcMar>
              <w:top w:type="dxa" w:w="80"/>
              <w:left w:type="dxa" w:w="120"/>
              <w:bottom w:type="dxa" w:w="80"/>
              <w:right w:type="dxa" w:w="120"/>
            </w:tcMar>
          </w:tcPr>
          <w:p>
            <w:pPr>
              <w:jc w:val="center"/>
            </w:pPr>
            <w:r>
              <w:rPr>
                <w:rFonts w:ascii="Calibri" w:cs="Calibri" w:eastAsia="Calibri" w:hAnsi="Calibri"/>
                <w:b w:val="false"/>
                <w:bCs w:val="false"/>
                <w:sz w:val="19"/>
                <w:szCs w:val="19"/>
              </w:rPr>
              <w:t xml:space="preserve">H7</w:t>
            </w:r>
          </w:p>
        </w:tc>
      </w:tr>
    </w:tbl>
    <w:p>
      <w:pPr>
        <w:pStyle w:val="Heading1"/>
        <w:spacing w:after="160" w:before="320"/>
      </w:pPr>
      <w:r>
        <w:rPr>
          <w:rFonts w:ascii="Calibri" w:cs="Calibri" w:eastAsia="Calibri" w:hAnsi="Calibri"/>
          <w:b/>
          <w:bCs/>
          <w:color w:val="1F4E79"/>
          <w:sz w:val="28"/>
          <w:szCs w:val="28"/>
        </w:rPr>
        <w:t xml:space="preserve">7. Observación adicional sobre el acceso</w:t>
      </w:r>
    </w:p>
    <w:p>
      <w:pPr>
        <w:spacing w:after="120" w:line="276"/>
      </w:pPr>
      <w:r>
        <w:rPr>
          <w:rFonts w:ascii="Calibri" w:cs="Calibri" w:eastAsia="Calibri" w:hAnsi="Calibri"/>
          <w:sz w:val="21"/>
          <w:szCs w:val="21"/>
        </w:rPr>
        <w:t xml:space="preserve">Al margen de los hallazgos anteriores, se hace presente que la descarga de los archivos mensuales requiere resolver una validación tipo CAPTCHA. Si bien esto es razonable como medida de protección del sitio, impide la incorporación programática de la información por parte de usuarios institucionales que la utilizan de forma recurrente y legítima.</w:t>
      </w:r>
    </w:p>
    <w:p>
      <w:pPr>
        <w:spacing w:after="120" w:line="276"/>
      </w:pPr>
      <w:r>
        <w:rPr>
          <w:rFonts w:ascii="Calibri" w:cs="Calibri" w:eastAsia="Calibri" w:hAnsi="Calibri"/>
          <w:sz w:val="21"/>
          <w:szCs w:val="21"/>
        </w:rPr>
        <w:t xml:space="preserve">Se sugiere evaluar la habilitación de un canal complementario legible por máquina para estos mismos archivos —por ejemplo, su publicación en el portal de datos abiertos o mediante un servicio con credenciales—, lo que reduciría además la carga sobre el sitio institucional.</w:t>
      </w:r>
    </w:p>
    <w:p>
      <w:pPr>
        <w:pBdr>
          <w:bottom w:val="single" w:color="BFBFBF" w:sz="6"/>
        </w:pBdr>
        <w:spacing w:after="200" w:before="60"/>
      </w:pPr>
      <w:r>
        <w:t xml:space="preserve"/>
      </w:r>
    </w:p>
    <w:p>
      <w:pPr>
        <w:spacing w:after="120" w:line="276"/>
      </w:pPr>
      <w:r>
        <w:rPr>
          <w:rFonts w:ascii="Calibri" w:cs="Calibri" w:eastAsia="Calibri" w:hAnsi="Calibri"/>
          <w:i/>
          <w:iCs/>
          <w:color w:val="595959"/>
          <w:sz w:val="18"/>
          <w:szCs w:val="18"/>
        </w:rPr>
        <w:t xml:space="preserve">Documento elaborado a partir de la revisión técnica de los archivos publicados. Todas las cifras y referencias a archivos citadas fueron verificadas directamente sobre los datos de los períodos indicados.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Inconsistencias — Cartera de Inversiones Circular N°1.835</dc:title>
  <dc:creator>INF_FIN_IA</dc:creator>
  <cp:lastModifiedBy>Un-named</cp:lastModifiedBy>
  <cp:revision>1</cp:revision>
  <dcterms:created xsi:type="dcterms:W3CDTF">2026-07-23T22:50:34.648Z</dcterms:created>
  <dcterms:modified xsi:type="dcterms:W3CDTF">2026-07-23T22:50:34.649Z</dcterms:modified>
</cp:coreProperties>
</file>

<file path=docProps/custom.xml><?xml version="1.0" encoding="utf-8"?>
<Properties xmlns="http://schemas.openxmlformats.org/officeDocument/2006/custom-properties" xmlns:vt="http://schemas.openxmlformats.org/officeDocument/2006/docPropsVTypes"/>
</file>