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AuraMail</w:t>
      </w:r>
    </w:p>
    <w:p>
      <w:pPr>
        <w:pBdr>
          <w:bottom w:val="single" w:color="1F4E79" w:sz="8" w:space="6"/>
        </w:pBdr>
        <w:spacing w:after="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Datenblatt</w:t>
      </w:r>
    </w:p>
    <w:p>
      <w:pPr>
        <w:spacing w:after="120" w:line="276"/>
        <w:rPr>
          <w:b/>
          <w:bCs/>
          <w:sz w:val="26"/>
          <w:szCs w:val="26"/>
        </w:rPr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Euer eigener Mailserver — verbunden mit allem, was ihr schon nutzt.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AuraMail verwaltet persönliche und geteilte Postfächer auf eurer Infrastruktur — wahlweise mit eigenem Mailserver, Microsoft 365 oder bestehenden IMAP/SMTP-Konten. Nahtlos verbunden mit AuraChat, AuraTicket und AuraDirect.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Funktionen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Drei Anbindungen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Eigener Mailserver, Microsoft 365 (Graph) oder externe IMAP/SMTP-Konten — pro Installation wählbar.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Microsoft-365-Konten übernehmen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Konten und geteilte Postfächer direkt aus eurem Microsoft-365-Verzeichnis anzeigen, ankreuzen und als Postfächer übernehmen — ohne Abtippen.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Persönlich &amp; geteilt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Persönliche Postfächer pro Person, geteilte Postfächer (z.B. info@) mit frei wählbarem Zugriff für ganze Teams.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Zentrale Anmeldung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Anmeldung mit dem AuraDirect-Konto, inklusive zentraler Zwei-Faktor-Authentifizierung. Personen werden automatisch aus AuraDirect übernommen — ohne dass sie sich vorher anmelden müssen.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Mails per Sprache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 AuraChat diktieren: „Aura, verfasse mir bitte ein Mail an …“ — AuraChat schreibt den Entwurf und sendet erst nach eurem „ja“.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Ticket-Anbindung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Über die offene Schnittstelle macht AuraTicket aus eingehenden Mails Tickets und sendet Antworten über das richtige Postfach.</w:t>
            </w:r>
          </w:p>
        </w:tc>
      </w:tr>
    </w:tbl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Lizenzmodell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Inklusive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32"/>
                <w:szCs w:val="32"/>
              </w:rPr>
              <w:t xml:space="preserve">kostenlos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bis 4 Benutzer, oder sobald mindestens zwei Aura-Anwendungen verbunden sind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Alle Funktionen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Eigener Server, Microsoft 365 oder IMAP/SMTP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Zentrale Anmeldung &amp; 2FA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Eigenständig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32"/>
                <w:szCs w:val="32"/>
              </w:rPr>
              <w:t xml:space="preserve">CHF 15.–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pro Installation / Mt.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Alle Funktionen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Ohne weitere Aura-Anwendung</w:t>
            </w:r>
          </w:p>
        </w:tc>
      </w:tr>
    </w:tbl>
    <w:p>
      <w:pPr>
        <w:spacing w:after="120" w:before="100"/>
        <w:rPr>
          <w:color w:val="7F7F7F"/>
          <w:sz w:val="18"/>
          <w:szCs w:val="18"/>
        </w:rPr>
      </w:pPr>
      <w:r>
        <w:rPr>
          <w:rFonts w:ascii="Calibri" w:cs="Calibri" w:eastAsia="Calibri" w:hAnsi="Calibri"/>
          <w:color w:val="7F7F7F"/>
          <w:sz w:val="18"/>
          <w:szCs w:val="18"/>
        </w:rPr>
        <w:t xml:space="preserve">Alle Preise sind Richtwerte exkl. MwSt.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Schnellstart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Voraussetzung: Docker mit Docker Compose. Für den Empfang aus dem Internet im Modus „eigener Mailserver“ muss Port 25 extern auf Port 2525 weitergeleitet werden. Mit Microsoft 365 oder IMAP/SMTP nicht nötig.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unzip auramail-quickstart.zip -d auramail &amp;&amp; cd auramail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cp .env.example .env &amp;&amp; nano .env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docker compose up -d</w:t>
      </w:r>
    </w:p>
    <w:p>
      <w:pPr>
        <w:spacing w:after="80" w:before="120"/>
      </w:pPr>
      <w:r>
        <w:rPr>
          <w:rFonts w:ascii="Calibri" w:cs="Calibri" w:eastAsia="Calibri" w:hAnsi="Calibri"/>
          <w:sz w:val="21"/>
          <w:szCs w:val="21"/>
        </w:rPr>
        <w:t xml:space="preserve">Web-Oberfläche: http://&lt;Server-IP&gt;:3300   ·   Erste Anmeldung: admin / admin (bitte sofort ändern)</w:t>
      </w:r>
    </w:p>
    <w:p>
      <w:pPr>
        <w:spacing w:after="120" w:line="276"/>
        <w:rPr>
          <w:color w:val="595959"/>
        </w:rPr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Das Quickstart-Paket findet ihr auf der Website im Bereich des jeweiligen Produkts.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AuraMail · Gerber Backoffice Solutions ·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AuraMail – Datenblatt</dc:title>
  <dc:creator>Gerber Backoffice Solutions</dc:creator>
  <cp:lastModifiedBy>Un-named</cp:lastModifiedBy>
  <cp:revision>1</cp:revision>
  <dcterms:created xsi:type="dcterms:W3CDTF">2026-10-05T12:17:44.460Z</dcterms:created>
  <dcterms:modified xsi:type="dcterms:W3CDTF">2026-10-05T12:17:44.460Z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