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4E79"/>
          <w:sz w:val="48"/>
          <w:szCs w:val="48"/>
        </w:rPr>
        <w:t xml:space="preserve">AuraProxy</w:t>
      </w:r>
    </w:p>
    <w:p>
      <w:pPr>
        <w:pBdr>
          <w:bottom w:val="single" w:color="1F4E79" w:sz="8" w:space="6"/>
        </w:pBdr>
        <w:spacing w:after="200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Datenblatt</w:t>
      </w:r>
    </w:p>
    <w:p>
      <w:pPr>
        <w:spacing w:after="120" w:line="276"/>
        <w:rPr>
          <w:b/>
          <w:bCs/>
          <w:sz w:val="26"/>
          <w:szCs w:val="26"/>
        </w:rPr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Ein Eingang für alle eure Dienste — mit automatischem HTTPS.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AuraProxy leitet Anfragen aus dem Internet an die richtigen Dienste in eurem Netz weiter und besorgt für jede Domain automatisch ein Let's-Encrypt-Zertifikat. Basierend auf Caddy, verwaltet über eine einfache Oberfläche.</w:t>
      </w:r>
    </w:p>
    <w:p>
      <w:pPr>
        <w:pStyle w:val="Heading1"/>
        <w:keepNext/>
        <w:spacing w:after="13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Funktionen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Domain → interne Adresse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Pro Domain festlegen, an welche interne Adresse und welchen Port weitergeleitet wird. Einträge lassen sich bearbeiten, pausieren und löschen.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Automatische Zertifikate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Let's-Encrypt-Zertifikate werden pro Domain automatisch geholt und erneuert.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Zertifikate im Überblick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Aktive Zertifikate mit Ablaufdatum anzeigen, löschen oder ein eigenes Zertifikat pro Domain hochladen.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Mehrere Ports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Neben 80 und 443 lassen sich weitere, vorab in der Docker-Konfiguration freigegebene Ports nutzen — z.B. https://domain:8092.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Zentrale Anmeldung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Anmeldung mit dem AuraDirect-Konto, inklusive zentraler Zwei-Faktor-Authentifizierung.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Administration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Backup &amp; Wiederherstellung, Lizenzverwaltung mit Testphase.</w:t>
            </w:r>
          </w:p>
        </w:tc>
      </w:tr>
    </w:tbl>
    <w:p>
      <w:pPr>
        <w:pStyle w:val="Heading1"/>
        <w:keepNext/>
        <w:spacing w:after="13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Lizenzmodell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4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4"/>
                <w:szCs w:val="24"/>
              </w:rPr>
              <w:t xml:space="preserve">Inklusive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32"/>
                <w:szCs w:val="32"/>
              </w:rPr>
              <w:t xml:space="preserve">kostenlos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595959"/>
                <w:sz w:val="21"/>
                <w:szCs w:val="21"/>
              </w:rPr>
              <w:t xml:space="preserve">bis 4 Benutzer, oder sobald mindestens zwei Aura-Anwendungen verbunden sind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· Alle Funktionen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· Domains, Ports und Zertifikate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· Zentrale Anmeldung &amp; 2FA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4"/>
                <w:szCs w:val="24"/>
              </w:rPr>
              <w:t xml:space="preserve">Eigenständig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32"/>
                <w:szCs w:val="32"/>
              </w:rPr>
              <w:t xml:space="preserve">CHF 15.–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595959"/>
                <w:sz w:val="21"/>
                <w:szCs w:val="21"/>
              </w:rPr>
              <w:t xml:space="preserve">pro Installation / Mt.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· Alle Funktionen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· Ohne weitere Aura-Anwendung</w:t>
            </w:r>
          </w:p>
        </w:tc>
      </w:tr>
    </w:tbl>
    <w:p>
      <w:pPr>
        <w:spacing w:after="120" w:before="100"/>
        <w:rPr>
          <w:color w:val="7F7F7F"/>
          <w:sz w:val="18"/>
          <w:szCs w:val="18"/>
        </w:rPr>
      </w:pPr>
      <w:r>
        <w:rPr>
          <w:rFonts w:ascii="Calibri" w:cs="Calibri" w:eastAsia="Calibri" w:hAnsi="Calibri"/>
          <w:color w:val="7F7F7F"/>
          <w:sz w:val="18"/>
          <w:szCs w:val="18"/>
        </w:rPr>
        <w:t xml:space="preserve">Alle Preise sind Richtwerte exkl. MwSt.</w:t>
      </w:r>
    </w:p>
    <w:p>
      <w:pPr>
        <w:pStyle w:val="Heading1"/>
        <w:keepNext/>
        <w:spacing w:after="13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Schnellstart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Voraussetzung: Docker mit Docker Compose. Die Ports 80 und 443 müssen frei und von aussen erreichbar sein. Port 80 bleibt auch für andere Ports für die Let's-Encrypt-Prüfung offen. Die Verwaltungsoberfläche (Port 3500) nicht öffentlich freigeben.</w:t>
      </w:r>
    </w:p>
    <w:p>
      <w:pPr>
        <w:shd w:fill="F2F2F2" w:color="auto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unzip auraproxy-quickstart.zip -d auraproxy &amp;&amp; cd auraproxy</w:t>
      </w:r>
    </w:p>
    <w:p>
      <w:pPr>
        <w:shd w:fill="F2F2F2" w:color="auto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cp .env.example .env &amp;&amp; nano .env</w:t>
      </w:r>
    </w:p>
    <w:p>
      <w:pPr>
        <w:shd w:fill="F2F2F2" w:color="auto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docker compose up -d</w:t>
      </w:r>
    </w:p>
    <w:p>
      <w:pPr>
        <w:spacing w:after="80" w:before="120"/>
      </w:pPr>
      <w:r>
        <w:rPr>
          <w:rFonts w:ascii="Calibri" w:cs="Calibri" w:eastAsia="Calibri" w:hAnsi="Calibri"/>
          <w:sz w:val="21"/>
          <w:szCs w:val="21"/>
        </w:rPr>
        <w:t xml:space="preserve">Web-Oberfläche: http://&lt;Server-IP&gt;:3500   ·   Erste Anmeldung: admin / admin (bitte sofort ändern)</w:t>
      </w:r>
    </w:p>
    <w:p>
      <w:pPr>
        <w:spacing w:after="120" w:line="276"/>
        <w:rPr>
          <w:color w:val="595959"/>
        </w:rPr>
      </w:pPr>
      <w:r>
        <w:rPr>
          <w:rFonts w:ascii="Calibri" w:cs="Calibri" w:eastAsia="Calibri" w:hAnsi="Calibri"/>
          <w:color w:val="595959"/>
          <w:sz w:val="21"/>
          <w:szCs w:val="21"/>
        </w:rPr>
        <w:t xml:space="preserve">Das Quickstart-Paket findet ihr auf der Website im Bereich des jeweiligen Produkts.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AuraProxy · Gerber Backoffice Solutions ·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AuraProxy – Datenblatt</dc:title>
  <dc:creator>Gerber Backoffice Solutions</dc:creator>
  <cp:lastModifiedBy>Un-named</cp:lastModifiedBy>
  <cp:revision>1</cp:revision>
  <dcterms:created xsi:type="dcterms:W3CDTF">2026-10-05T12:17:44.832Z</dcterms:created>
  <dcterms:modified xsi:type="dcterms:W3CDTF">2026-10-05T12:17:44.832Z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