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8"/>
          <w:szCs w:val="48"/>
        </w:rPr>
        <w:t xml:space="preserve">AuraProxy</w:t>
      </w:r>
    </w:p>
    <w:p>
      <w:pPr>
        <w:pBdr>
          <w:bottom w:val="single" w:color="1F4E79" w:sz="8" w:space="6"/>
        </w:pBdr>
        <w:spacing w:after="200"/>
      </w:pPr>
      <w:r>
        <w:rPr>
          <w:rFonts w:ascii="Calibri" w:cs="Calibri" w:eastAsia="Calibri" w:hAnsi="Calibri"/>
          <w:color w:val="595959"/>
          <w:sz w:val="24"/>
          <w:szCs w:val="24"/>
        </w:rPr>
        <w:t xml:space="preserve">Fiche produit</w:t>
      </w:r>
    </w:p>
    <w:p>
      <w:pPr>
        <w:spacing w:after="120" w:line="276"/>
        <w:rPr>
          <w:b/>
          <w:bCs/>
          <w:sz w:val="26"/>
          <w:szCs w:val="26"/>
        </w:rPr>
      </w:pPr>
      <w:r>
        <w:rPr>
          <w:rFonts w:ascii="Calibri" w:cs="Calibri" w:eastAsia="Calibri" w:hAnsi="Calibri"/>
          <w:b/>
          <w:bCs/>
          <w:sz w:val="26"/>
          <w:szCs w:val="26"/>
        </w:rPr>
        <w:t xml:space="preserve">Un point d'entrée unique pour tous vos services — avec HTTPS automatique.</w:t>
      </w:r>
    </w:p>
    <w:p>
      <w:pPr>
        <w:spacing w:after="120" w:line="276"/>
      </w:pPr>
      <w:r>
        <w:rPr>
          <w:rFonts w:ascii="Calibri" w:cs="Calibri" w:eastAsia="Calibri" w:hAnsi="Calibri"/>
          <w:sz w:val="21"/>
          <w:szCs w:val="21"/>
        </w:rPr>
        <w:t xml:space="preserve">AuraProxy transmet les requêtes d'Internet vers les bons services de votre réseau et obtient automatiquement un certificat Let's Encrypt pour chaque domaine. Basé sur Caddy, géré via une interface simple.</w:t>
      </w:r>
    </w:p>
    <w:p>
      <w:pPr>
        <w:pStyle w:val="Heading1"/>
        <w:keepNext/>
        <w:spacing w:after="130" w:before="300"/>
      </w:pPr>
      <w:r>
        <w:rPr>
          <w:rFonts w:ascii="Calibri" w:cs="Calibri" w:eastAsia="Calibri" w:hAnsi="Calibri"/>
          <w:b/>
          <w:bCs/>
          <w:color w:val="1F4E79"/>
          <w:sz w:val="28"/>
          <w:szCs w:val="28"/>
        </w:rPr>
        <w:t xml:space="preserve">Fonctionnalités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Domaine → adresse interne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Définir pour chaque domaine vers quelle adresse interne et quel port rediriger. Les entrées peuvent être modifiées, mises en pause et supprimées.</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Certificats automatiques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Les certificats Let's Encrypt sont obtenus et renouvelés automatiquement pour chaque domaine.</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Certificats en un coup d'œil</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Afficher les certificats actifs avec leur date d'expiration, les supprimer ou téléverser son propre certificat par domaine.</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Plusieurs ports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En plus de 80 et 443, d'autres ports ouverts à l'avance dans la configuration Docker sont utilisables — p. ex. https://domaine:8092.</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Connexion centrale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Connexion avec le compte AuraDirect, y compris l'authentification à deux facteurs centralisée.</w:t>
            </w:r>
          </w:p>
        </w:tc>
      </w:tr>
      <w:tr>
        <w:trPr>
          <w:cantSplit/>
        </w:trPr>
        <w:tc>
          <w:tcPr>
            <w:tcW w:type="dxa" w:w="30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rFonts w:ascii="Calibri" w:cs="Calibri" w:eastAsia="Calibri" w:hAnsi="Calibri"/>
                <w:b/>
                <w:bCs/>
                <w:sz w:val="21"/>
                <w:szCs w:val="21"/>
              </w:rPr>
              <w:t xml:space="preserve">Administration</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1"/>
                <w:szCs w:val="21"/>
              </w:rPr>
              <w:t xml:space="preserve">Sauvegarde et restauration, gestion des licences avec période d'essai.</w:t>
            </w:r>
          </w:p>
        </w:tc>
      </w:tr>
    </w:tbl>
    <w:p>
      <w:pPr>
        <w:pStyle w:val="Heading1"/>
        <w:keepNext/>
        <w:spacing w:after="130" w:before="300"/>
      </w:pPr>
      <w:r>
        <w:rPr>
          <w:rFonts w:ascii="Calibri" w:cs="Calibri" w:eastAsia="Calibri" w:hAnsi="Calibri"/>
          <w:b/>
          <w:bCs/>
          <w:color w:val="1F4E79"/>
          <w:sz w:val="28"/>
          <w:szCs w:val="28"/>
        </w:rPr>
        <w:t xml:space="preserve">Modèle de licence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shd w:fill="EEF4FB" w:color="auto" w:val="clear"/>
            <w:tcMar>
              <w:top w:type="dxa" w:w="80"/>
              <w:left w:type="dxa" w:w="120"/>
              <w:bottom w:type="dxa" w:w="80"/>
              <w:right w:type="dxa" w:w="120"/>
            </w:tcMar>
          </w:tcPr>
          <w:p>
            <w:pPr>
              <w:spacing w:after="40"/>
            </w:pPr>
            <w:r>
              <w:rPr>
                <w:rFonts w:ascii="Calibri" w:cs="Calibri" w:eastAsia="Calibri" w:hAnsi="Calibri"/>
                <w:b/>
                <w:bCs/>
                <w:color w:val="1F4E79"/>
                <w:sz w:val="24"/>
                <w:szCs w:val="24"/>
              </w:rPr>
              <w:t xml:space="preserve">Inclus</w:t>
            </w:r>
          </w:p>
          <w:p>
            <w:pPr>
              <w:spacing w:after="40"/>
            </w:pPr>
            <w:r>
              <w:rPr>
                <w:rFonts w:ascii="Calibri" w:cs="Calibri" w:eastAsia="Calibri" w:hAnsi="Calibri"/>
                <w:b/>
                <w:bCs/>
                <w:sz w:val="32"/>
                <w:szCs w:val="32"/>
              </w:rPr>
              <w:t xml:space="preserve">gratuit</w:t>
            </w:r>
          </w:p>
          <w:p>
            <w:pPr>
              <w:spacing w:after="100"/>
            </w:pPr>
            <w:r>
              <w:rPr>
                <w:rFonts w:ascii="Calibri" w:cs="Calibri" w:eastAsia="Calibri" w:hAnsi="Calibri"/>
                <w:color w:val="595959"/>
                <w:sz w:val="21"/>
                <w:szCs w:val="21"/>
              </w:rPr>
              <w:t xml:space="preserve">jusqu'à 4 utilisateurs, ou dès que deux applications Aura au moins sont connectées</w:t>
            </w:r>
          </w:p>
          <w:p>
            <w:pPr>
              <w:spacing w:after="40"/>
            </w:pPr>
            <w:r>
              <w:rPr>
                <w:rFonts w:ascii="Calibri" w:cs="Calibri" w:eastAsia="Calibri" w:hAnsi="Calibri"/>
                <w:sz w:val="21"/>
                <w:szCs w:val="21"/>
              </w:rPr>
              <w:t xml:space="preserve">· Toutes les fonctionnalités</w:t>
            </w:r>
          </w:p>
          <w:p>
            <w:pPr>
              <w:spacing w:after="40"/>
            </w:pPr>
            <w:r>
              <w:rPr>
                <w:rFonts w:ascii="Calibri" w:cs="Calibri" w:eastAsia="Calibri" w:hAnsi="Calibri"/>
                <w:sz w:val="21"/>
                <w:szCs w:val="21"/>
              </w:rPr>
              <w:t xml:space="preserve">· Domaines, ports et certificats</w:t>
            </w:r>
          </w:p>
          <w:p>
            <w:pPr>
              <w:spacing w:after="40"/>
            </w:pPr>
            <w:r>
              <w:rPr>
                <w:rFonts w:ascii="Calibri" w:cs="Calibri" w:eastAsia="Calibri" w:hAnsi="Calibri"/>
                <w:sz w:val="21"/>
                <w:szCs w:val="21"/>
              </w:rPr>
              <w:t xml:space="preserve">· Connexion centrale et 2FA</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color w:val="1F4E79"/>
                <w:sz w:val="24"/>
                <w:szCs w:val="24"/>
              </w:rPr>
              <w:t xml:space="preserve">Autonome</w:t>
            </w:r>
          </w:p>
          <w:p>
            <w:pPr>
              <w:spacing w:after="40"/>
            </w:pPr>
            <w:r>
              <w:rPr>
                <w:rFonts w:ascii="Calibri" w:cs="Calibri" w:eastAsia="Calibri" w:hAnsi="Calibri"/>
                <w:b/>
                <w:bCs/>
                <w:sz w:val="32"/>
                <w:szCs w:val="32"/>
              </w:rPr>
              <w:t xml:space="preserve">CHF 15.–</w:t>
            </w:r>
          </w:p>
          <w:p>
            <w:pPr>
              <w:spacing w:after="100"/>
            </w:pPr>
            <w:r>
              <w:rPr>
                <w:rFonts w:ascii="Calibri" w:cs="Calibri" w:eastAsia="Calibri" w:hAnsi="Calibri"/>
                <w:color w:val="595959"/>
                <w:sz w:val="21"/>
                <w:szCs w:val="21"/>
              </w:rPr>
              <w:t xml:space="preserve">par installation / mois</w:t>
            </w:r>
          </w:p>
          <w:p>
            <w:pPr>
              <w:spacing w:after="40"/>
            </w:pPr>
            <w:r>
              <w:rPr>
                <w:rFonts w:ascii="Calibri" w:cs="Calibri" w:eastAsia="Calibri" w:hAnsi="Calibri"/>
                <w:sz w:val="21"/>
                <w:szCs w:val="21"/>
              </w:rPr>
              <w:t xml:space="preserve">· Toutes les fonctionnalités</w:t>
            </w:r>
          </w:p>
          <w:p>
            <w:pPr>
              <w:spacing w:after="40"/>
            </w:pPr>
            <w:r>
              <w:rPr>
                <w:rFonts w:ascii="Calibri" w:cs="Calibri" w:eastAsia="Calibri" w:hAnsi="Calibri"/>
                <w:sz w:val="21"/>
                <w:szCs w:val="21"/>
              </w:rPr>
              <w:t xml:space="preserve">· Sans autre application Aura</w:t>
            </w:r>
          </w:p>
        </w:tc>
      </w:tr>
    </w:tbl>
    <w:p>
      <w:pPr>
        <w:spacing w:after="120" w:before="100"/>
        <w:rPr>
          <w:color w:val="7F7F7F"/>
          <w:sz w:val="18"/>
          <w:szCs w:val="18"/>
        </w:rPr>
      </w:pPr>
      <w:r>
        <w:rPr>
          <w:rFonts w:ascii="Calibri" w:cs="Calibri" w:eastAsia="Calibri" w:hAnsi="Calibri"/>
          <w:color w:val="7F7F7F"/>
          <w:sz w:val="18"/>
          <w:szCs w:val="18"/>
        </w:rPr>
        <w:t xml:space="preserve">Tous les prix sont indicatifs, hors TVA.</w:t>
      </w:r>
    </w:p>
    <w:p>
      <w:pPr>
        <w:pStyle w:val="Heading1"/>
        <w:keepNext/>
        <w:spacing w:after="130" w:before="300"/>
      </w:pPr>
      <w:r>
        <w:rPr>
          <w:rFonts w:ascii="Calibri" w:cs="Calibri" w:eastAsia="Calibri" w:hAnsi="Calibri"/>
          <w:b/>
          <w:bCs/>
          <w:color w:val="1F4E79"/>
          <w:sz w:val="28"/>
          <w:szCs w:val="28"/>
        </w:rPr>
        <w:t xml:space="preserve">Démarrage rapide</w:t>
      </w:r>
    </w:p>
    <w:p>
      <w:pPr>
        <w:spacing w:after="120" w:line="276"/>
      </w:pPr>
      <w:r>
        <w:rPr>
          <w:rFonts w:ascii="Calibri" w:cs="Calibri" w:eastAsia="Calibri" w:hAnsi="Calibri"/>
          <w:sz w:val="21"/>
          <w:szCs w:val="21"/>
        </w:rPr>
        <w:t xml:space="preserve">Prérequis : Docker avec Docker Compose. Les ports 80 et 443 doivent être libres et accessibles depuis l'extérieur. Le port 80 reste aussi ouvert pour la vérification Let's Encrypt avec d'autres ports. Ne pas exposer l'interface d'administration (port 3500) publiquement.</w:t>
      </w:r>
    </w:p>
    <w:p>
      <w:pPr>
        <w:shd w:fill="F2F2F2" w:color="auto" w:val="clear"/>
        <w:spacing w:after="40"/>
      </w:pPr>
      <w:r>
        <w:rPr>
          <w:rFonts w:ascii="Courier New" w:cs="Courier New" w:eastAsia="Courier New" w:hAnsi="Courier New"/>
          <w:sz w:val="19"/>
          <w:szCs w:val="19"/>
        </w:rPr>
        <w:t xml:space="preserve">unzip auraproxy-quickstart.zip -d auraproxy &amp;&amp; cd auraproxy</w:t>
      </w:r>
    </w:p>
    <w:p>
      <w:pPr>
        <w:shd w:fill="F2F2F2" w:color="auto" w:val="clear"/>
        <w:spacing w:after="40"/>
      </w:pPr>
      <w:r>
        <w:rPr>
          <w:rFonts w:ascii="Courier New" w:cs="Courier New" w:eastAsia="Courier New" w:hAnsi="Courier New"/>
          <w:sz w:val="19"/>
          <w:szCs w:val="19"/>
        </w:rPr>
        <w:t xml:space="preserve">cp .env.example .env &amp;&amp; nano .env</w:t>
      </w:r>
    </w:p>
    <w:p>
      <w:pPr>
        <w:shd w:fill="F2F2F2" w:color="auto" w:val="clear"/>
        <w:spacing w:after="40"/>
      </w:pPr>
      <w:r>
        <w:rPr>
          <w:rFonts w:ascii="Courier New" w:cs="Courier New" w:eastAsia="Courier New" w:hAnsi="Courier New"/>
          <w:sz w:val="19"/>
          <w:szCs w:val="19"/>
        </w:rPr>
        <w:t xml:space="preserve">docker compose up -d</w:t>
      </w:r>
    </w:p>
    <w:p>
      <w:pPr>
        <w:spacing w:after="80" w:before="120"/>
      </w:pPr>
      <w:r>
        <w:rPr>
          <w:rFonts w:ascii="Calibri" w:cs="Calibri" w:eastAsia="Calibri" w:hAnsi="Calibri"/>
          <w:sz w:val="21"/>
          <w:szCs w:val="21"/>
        </w:rPr>
        <w:t xml:space="preserve">Interface web : http://&lt;Server-IP&gt;:3500   ·   Première connexion : admin / admin (à changer immédiatement)</w:t>
      </w:r>
    </w:p>
    <w:p>
      <w:pPr>
        <w:spacing w:after="120" w:line="276"/>
        <w:rPr>
          <w:color w:val="595959"/>
        </w:rPr>
      </w:pPr>
      <w:r>
        <w:rPr>
          <w:rFonts w:ascii="Calibri" w:cs="Calibri" w:eastAsia="Calibri" w:hAnsi="Calibri"/>
          <w:color w:val="595959"/>
          <w:sz w:val="21"/>
          <w:szCs w:val="21"/>
        </w:rPr>
        <w:t xml:space="preserve">Le paquet de démarrage rapide se trouve sur le site web, dans la section du produit concerné.</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AuraProxy · Gerber Backoffice Solutions ·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AuraProxy – Fiche produit</dc:title>
  <dc:creator>Gerber Backoffice Solutions</dc:creator>
  <cp:lastModifiedBy>Un-named</cp:lastModifiedBy>
  <cp:revision>1</cp:revision>
  <dcterms:created xsi:type="dcterms:W3CDTF">2026-10-05T12:17:44.885Z</dcterms:created>
  <dcterms:modified xsi:type="dcterms:W3CDTF">2026-10-05T12:17:44.885Z</dcterms:modified>
</cp:coreProperties>
</file>

<file path=docProps/custom.xml><?xml version="1.0" encoding="utf-8"?>
<Properties xmlns="http://schemas.openxmlformats.org/officeDocument/2006/custom-properties" xmlns:vt="http://schemas.openxmlformats.org/officeDocument/2006/docPropsVTypes"/>
</file>