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79"/>
          <w:sz w:val="48"/>
          <w:szCs w:val="48"/>
        </w:rPr>
        <w:t xml:space="preserve">AuraProxy</w:t>
      </w:r>
    </w:p>
    <w:p>
      <w:pPr>
        <w:pBdr>
          <w:bottom w:val="single" w:color="1F4E79" w:sz="8" w:space="6"/>
        </w:pBdr>
        <w:spacing w:after="200"/>
      </w:pPr>
      <w:r>
        <w:rPr>
          <w:rFonts w:ascii="Calibri" w:cs="Calibri" w:eastAsia="Calibri" w:hAnsi="Calibri"/>
          <w:color w:val="595959"/>
          <w:sz w:val="24"/>
          <w:szCs w:val="24"/>
        </w:rPr>
        <w:t xml:space="preserve">Fiche produit</w:t>
      </w:r>
    </w:p>
    <w:p>
      <w:pPr>
        <w:spacing w:after="120" w:line="276"/>
        <w:rPr>
          <w:b/>
          <w:bCs/>
          <w:sz w:val="26"/>
          <w:szCs w:val="26"/>
        </w:rPr>
      </w:pPr>
      <w:r>
        <w:rPr>
          <w:rFonts w:ascii="Calibri" w:cs="Calibri" w:eastAsia="Calibri" w:hAnsi="Calibri"/>
          <w:b/>
          <w:bCs/>
          <w:sz w:val="26"/>
          <w:szCs w:val="26"/>
        </w:rPr>
        <w:t xml:space="preserve">Un point d'entrée unique pour tous vos services — avec HTTPS automatique.</w:t>
      </w:r>
    </w:p>
    <w:p>
      <w:pPr>
        <w:spacing w:after="120" w:line="276"/>
      </w:pPr>
      <w:r>
        <w:rPr>
          <w:rFonts w:ascii="Calibri" w:cs="Calibri" w:eastAsia="Calibri" w:hAnsi="Calibri"/>
          <w:sz w:val="21"/>
          <w:szCs w:val="21"/>
        </w:rPr>
        <w:t xml:space="preserve">AuraProxy transmet les requêtes d'Internet vers les bons services de votre réseau et obtient automatiquement un certificat Let's Encrypt pour chaque domaine. Basé sur Caddy, géré via une interface simple.</w:t>
      </w:r>
    </w:p>
    <w:p>
      <w:pPr>
        <w:pStyle w:val="Heading1"/>
        <w:keepNext/>
        <w:spacing w:after="130" w:before="300"/>
      </w:pPr>
      <w:r>
        <w:rPr>
          <w:rFonts w:ascii="Calibri" w:cs="Calibri" w:eastAsia="Calibri" w:hAnsi="Calibri"/>
          <w:b/>
          <w:bCs/>
          <w:color w:val="1F4E79"/>
          <w:sz w:val="28"/>
          <w:szCs w:val="28"/>
        </w:rPr>
        <w:t xml:space="preserve">Fonctionnalités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Domaine → adresse interne</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Définir pour chaque domaine vers quelle adresse interne et quel port rediriger. Les entrées peuvent être modifiées, mises en pause et supprimées.</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Certificats automatiques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Les certificats Let's Encrypt sont obtenus et renouvelés automatiquement pour chaque domaine.</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Certificats en un coup d'œil</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Afficher les certificats actifs avec leur date d'expiration, les supprimer ou téléverser son propre certificat par domaine.</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Plusieurs ports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En plus de 80 et 443, d'autres ports ouverts à l'avance dans la configuration Docker sont utilisables — p. ex. https://domaine:8092.</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Connexion centrale</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Connexion avec le compte AuraDirect, y compris l'authentification à deux facteurs centralisée.</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Administration</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Sauvegarde et restauration, gestion des licences avec période d'essai.</w:t>
            </w:r>
          </w:p>
        </w:tc>
      </w:tr>
    </w:tbl>
    <w:p>
      <w:pPr>
        <w:pStyle w:val="Heading1"/>
        <w:keepNext/>
        <w:spacing w:after="130" w:before="300"/>
      </w:pPr>
      <w:r>
        <w:rPr>
          <w:rFonts w:ascii="Calibri" w:cs="Calibri" w:eastAsia="Calibri" w:hAnsi="Calibri"/>
          <w:b/>
          <w:bCs/>
          <w:color w:val="1F4E79"/>
          <w:sz w:val="28"/>
          <w:szCs w:val="28"/>
        </w:rPr>
        <w:t xml:space="preserve">Modèle de licence</w:t>
      </w:r>
    </w:p>
    <w:p>
      <w:pPr>
        <w:spacing w:after="120" w:line="276"/>
        <w:rPr>
          <w:b/>
          <w:bCs/>
        </w:rPr>
      </w:pPr>
      <w:r>
        <w:rPr>
          <w:rFonts w:ascii="Calibri" w:cs="Calibri" w:eastAsia="Calibri" w:hAnsi="Calibri"/>
          <w:b/>
          <w:bCs/>
          <w:sz w:val="21"/>
          <w:szCs w:val="21"/>
        </w:rPr>
        <w:t xml:space="preserve">Inclus dans: Toujours gratuit et inclus dans chaque formule, y compris le Free Plan. Sans période d’essai ni blocage.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cantSplit/>
        </w:trPr>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Free Plan</w:t>
            </w:r>
          </w:p>
          <w:p>
            <w:pPr>
              <w:spacing w:after="40"/>
            </w:pPr>
            <w:r>
              <w:rPr>
                <w:rFonts w:ascii="Calibri" w:cs="Calibri" w:eastAsia="Calibri" w:hAnsi="Calibri"/>
                <w:b/>
                <w:bCs/>
                <w:sz w:val="26"/>
                <w:szCs w:val="26"/>
              </w:rPr>
              <w:t xml:space="preserve">CHF 0 pour toujours</w:t>
            </w:r>
          </w:p>
          <w:p>
            <w:pPr>
              <w:spacing w:after="40"/>
            </w:pPr>
            <w:r>
              <w:rPr>
                <w:rFonts w:ascii="Calibri" w:cs="Calibri" w:eastAsia="Calibri" w:hAnsi="Calibri"/>
                <w:color w:val="595959"/>
                <w:sz w:val="21"/>
                <w:szCs w:val="21"/>
              </w:rPr>
              <w:t xml:space="preserve">Exactement 1 utilisateur (usage privé)</w:t>
            </w:r>
          </w:p>
          <w:p>
            <w:pPr>
              <w:spacing w:after="40"/>
            </w:pPr>
            <w:r>
              <w:rPr>
                <w:rFonts w:ascii="Calibri" w:cs="Calibri" w:eastAsia="Calibri" w:hAnsi="Calibri"/>
                <w:color w:val="595959"/>
                <w:sz w:val="21"/>
                <w:szCs w:val="21"/>
              </w:rPr>
              <w:t xml:space="preserve">Particuliers &amp; loisirs</w:t>
            </w:r>
          </w:p>
        </w:tc>
        <w:tc>
          <w:tcPr>
            <w:tcW w:type="dxa" w:w="3212"/>
            <w:tcBorders>
              <w:top w:val="single" w:color="BFBFBF" w:sz="4"/>
              <w:left w:val="single" w:color="BFBFBF" w:sz="4"/>
              <w:bottom w:val="single" w:color="BFBFBF" w:sz="4"/>
              <w:right w:val="single" w:color="BFBFBF" w:sz="4"/>
            </w:tcBorders>
            <w:shd w:fill="EEF4FB" w:color="auto" w:val="clear"/>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Business Solo</w:t>
            </w:r>
          </w:p>
          <w:p>
            <w:pPr>
              <w:spacing w:after="40"/>
            </w:pPr>
            <w:r>
              <w:rPr>
                <w:rFonts w:ascii="Calibri" w:cs="Calibri" w:eastAsia="Calibri" w:hAnsi="Calibri"/>
                <w:b/>
                <w:bCs/>
                <w:sz w:val="26"/>
                <w:szCs w:val="26"/>
              </w:rPr>
              <w:t xml:space="preserve">CHF 19.90 / mois</w:t>
            </w:r>
          </w:p>
          <w:p>
            <w:pPr>
              <w:spacing w:after="40"/>
            </w:pPr>
            <w:r>
              <w:rPr>
                <w:rFonts w:ascii="Calibri" w:cs="Calibri" w:eastAsia="Calibri" w:hAnsi="Calibri"/>
                <w:color w:val="595959"/>
                <w:sz w:val="21"/>
                <w:szCs w:val="21"/>
              </w:rPr>
              <w:t xml:space="preserve">1 utilisateur professionnel avec licence d’utilisation commerciale</w:t>
            </w:r>
          </w:p>
          <w:p>
            <w:pPr>
              <w:spacing w:after="40"/>
            </w:pPr>
            <w:r>
              <w:rPr>
                <w:rFonts w:ascii="Calibri" w:cs="Calibri" w:eastAsia="Calibri" w:hAnsi="Calibri"/>
                <w:color w:val="595959"/>
                <w:sz w:val="21"/>
                <w:szCs w:val="21"/>
              </w:rPr>
              <w:t xml:space="preserve">Entreprises individuelles &amp; indépendants</w:t>
            </w:r>
          </w:p>
        </w:tc>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Business Advanced</w:t>
            </w:r>
          </w:p>
          <w:p>
            <w:pPr>
              <w:spacing w:after="40"/>
            </w:pPr>
            <w:r>
              <w:rPr>
                <w:rFonts w:ascii="Calibri" w:cs="Calibri" w:eastAsia="Calibri" w:hAnsi="Calibri"/>
                <w:b/>
                <w:bCs/>
                <w:sz w:val="26"/>
                <w:szCs w:val="26"/>
              </w:rPr>
              <w:t xml:space="preserve">CHF 19.90 / mois pour le 1er utilisateur</w:t>
            </w:r>
          </w:p>
          <w:p>
            <w:pPr>
              <w:spacing w:after="40"/>
            </w:pPr>
            <w:r>
              <w:rPr>
                <w:rFonts w:ascii="Calibri" w:cs="Calibri" w:eastAsia="Calibri" w:hAnsi="Calibri"/>
                <w:sz w:val="21"/>
                <w:szCs w:val="21"/>
              </w:rPr>
              <w:t xml:space="preserve">+ CHF 9.90 / mois par utilisateur supplémentaire</w:t>
            </w:r>
          </w:p>
          <w:p>
            <w:pPr>
              <w:spacing w:after="40"/>
            </w:pPr>
            <w:r>
              <w:rPr>
                <w:rFonts w:ascii="Calibri" w:cs="Calibri" w:eastAsia="Calibri" w:hAnsi="Calibri"/>
                <w:color w:val="595959"/>
                <w:sz w:val="21"/>
                <w:szCs w:val="21"/>
              </w:rPr>
              <w:t xml:space="preserve">À partir de 2 utilisateurs</w:t>
            </w:r>
          </w:p>
          <w:p>
            <w:pPr>
              <w:spacing w:after="40"/>
            </w:pPr>
            <w:r>
              <w:rPr>
                <w:rFonts w:ascii="Calibri" w:cs="Calibri" w:eastAsia="Calibri" w:hAnsi="Calibri"/>
                <w:color w:val="595959"/>
                <w:sz w:val="21"/>
                <w:szCs w:val="21"/>
              </w:rPr>
              <w:t xml:space="preserve">Entreprises &amp; équipes</w:t>
            </w:r>
          </w:p>
        </w:tc>
      </w:tr>
    </w:tbl>
    <w:p>
      <w:pPr>
        <w:spacing w:after="60" w:before="160"/>
        <w:rPr>
          <w:b/>
          <w:bCs/>
        </w:rPr>
      </w:pPr>
      <w:r>
        <w:rPr>
          <w:rFonts w:ascii="Calibri" w:cs="Calibri" w:eastAsia="Calibri" w:hAnsi="Calibri"/>
          <w:b/>
          <w:bCs/>
          <w:sz w:val="21"/>
          <w:szCs w:val="21"/>
        </w:rPr>
        <w:t xml:space="preserve">Exemple : Business Advanced avec 3 utilisateurs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cantSplit/>
        </w:trPr>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1er utilisateur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Calibri" w:cs="Calibri" w:eastAsia="Calibri" w:hAnsi="Calibri"/>
                <w:sz w:val="21"/>
                <w:szCs w:val="21"/>
              </w:rPr>
              <w:t xml:space="preserve">CHF 19.90</w:t>
            </w:r>
          </w:p>
        </w:tc>
      </w:tr>
      <w:tr>
        <w:trPr>
          <w:cantSplit/>
        </w:trPr>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2 utilisateurs supplémentaires (2 × CHF 9.90)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Calibri" w:cs="Calibri" w:eastAsia="Calibri" w:hAnsi="Calibri"/>
                <w:sz w:val="21"/>
                <w:szCs w:val="21"/>
              </w:rPr>
              <w:t xml:space="preserve">+ CHF 19.80</w:t>
            </w:r>
          </w:p>
        </w:tc>
      </w:tr>
      <w:tr>
        <w:trPr>
          <w:cantSplit/>
        </w:trPr>
        <w:tc>
          <w:tcPr>
            <w:tcW w:type="dxa" w:w="6638"/>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Total par mois</w:t>
            </w:r>
          </w:p>
        </w:tc>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pPr>
              <w:jc w:val="right"/>
            </w:pPr>
            <w:r>
              <w:rPr>
                <w:rFonts w:ascii="Calibri" w:cs="Calibri" w:eastAsia="Calibri" w:hAnsi="Calibri"/>
                <w:b/>
                <w:bCs/>
                <w:sz w:val="21"/>
                <w:szCs w:val="21"/>
              </w:rPr>
              <w:t xml:space="preserve">CHF 39.70</w:t>
            </w:r>
          </w:p>
        </w:tc>
      </w:tr>
    </w:tbl>
    <w:p>
      <w:pPr>
        <w:spacing w:after="60"/>
      </w:pPr>
      <w:r>
        <w:rPr>
          <w:rFonts w:ascii="Calibri" w:cs="Calibri" w:eastAsia="Calibri" w:hAnsi="Calibri"/>
          <w:sz w:val="21"/>
          <w:szCs w:val="21"/>
        </w:rPr>
        <w:t xml:space="preserve"/>
      </w:r>
    </w:p>
    <w:p>
      <w:pPr>
        <w:spacing w:after="60"/>
      </w:pPr>
      <w:r>
        <w:rPr>
          <w:rFonts w:ascii="Calibri" w:cs="Calibri" w:eastAsia="Calibri" w:hAnsi="Calibri"/>
          <w:sz w:val="21"/>
          <w:szCs w:val="21"/>
        </w:rPr>
        <w:t xml:space="preserve">Matériel: Le matériel ne fait pas partie de la licence. Il est acquis par le client ou peut aussi être fourni par Gerber Backoffice Solutions.</w:t>
      </w:r>
    </w:p>
    <w:p>
      <w:pPr>
        <w:spacing w:after="120"/>
        <w:rPr>
          <w:color w:val="7F7F7F"/>
          <w:sz w:val="18"/>
          <w:szCs w:val="18"/>
        </w:rPr>
      </w:pPr>
      <w:r>
        <w:rPr>
          <w:rFonts w:ascii="Calibri" w:cs="Calibri" w:eastAsia="Calibri" w:hAnsi="Calibri"/>
          <w:color w:val="7F7F7F"/>
          <w:sz w:val="18"/>
          <w:szCs w:val="18"/>
        </w:rPr>
        <w:t xml:space="preserve">Tous les prix hors TVA. AuraMail et AuraCall peuvent être testés gratuitement pendant 14 jours.</w:t>
      </w:r>
    </w:p>
    <w:p>
      <w:pPr>
        <w:pStyle w:val="Heading1"/>
        <w:keepNext/>
        <w:spacing w:after="130" w:before="300"/>
      </w:pPr>
      <w:r>
        <w:rPr>
          <w:rFonts w:ascii="Calibri" w:cs="Calibri" w:eastAsia="Calibri" w:hAnsi="Calibri"/>
          <w:b/>
          <w:bCs/>
          <w:color w:val="1F4E79"/>
          <w:sz w:val="28"/>
          <w:szCs w:val="28"/>
        </w:rPr>
        <w:t xml:space="preserve">Démarrage rapide</w:t>
      </w:r>
    </w:p>
    <w:p>
      <w:pPr>
        <w:spacing w:after="120" w:line="276"/>
      </w:pPr>
      <w:r>
        <w:rPr>
          <w:rFonts w:ascii="Calibri" w:cs="Calibri" w:eastAsia="Calibri" w:hAnsi="Calibri"/>
          <w:sz w:val="21"/>
          <w:szCs w:val="21"/>
        </w:rPr>
        <w:t xml:space="preserve">Prérequis : Docker avec Docker Compose. Les ports 80 et 443 doivent être libres et accessibles depuis l'extérieur. Le port 80 reste aussi ouvert pour la vérification Let's Encrypt avec d'autres ports. Ne pas exposer l'interface d'administration (port 3500) publiquement.</w:t>
      </w:r>
    </w:p>
    <w:p>
      <w:pPr>
        <w:shd w:fill="F2F2F2" w:color="auto" w:val="clear"/>
        <w:spacing w:after="40"/>
      </w:pPr>
      <w:r>
        <w:rPr>
          <w:rFonts w:ascii="Courier New" w:cs="Courier New" w:eastAsia="Courier New" w:hAnsi="Courier New"/>
          <w:sz w:val="19"/>
          <w:szCs w:val="19"/>
        </w:rPr>
        <w:t xml:space="preserve">unzip auraproxy-quickstart.zip -d auraproxy &amp;&amp; cd auraproxy</w:t>
      </w:r>
    </w:p>
    <w:p>
      <w:pPr>
        <w:shd w:fill="F2F2F2" w:color="auto" w:val="clear"/>
        <w:spacing w:after="40"/>
      </w:pPr>
      <w:r>
        <w:rPr>
          <w:rFonts w:ascii="Courier New" w:cs="Courier New" w:eastAsia="Courier New" w:hAnsi="Courier New"/>
          <w:sz w:val="19"/>
          <w:szCs w:val="19"/>
        </w:rPr>
        <w:t xml:space="preserve">cp .env.example .env &amp;&amp; nano .env</w:t>
      </w:r>
    </w:p>
    <w:p>
      <w:pPr>
        <w:shd w:fill="F2F2F2" w:color="auto" w:val="clear"/>
        <w:spacing w:after="40"/>
      </w:pPr>
      <w:r>
        <w:rPr>
          <w:rFonts w:ascii="Courier New" w:cs="Courier New" w:eastAsia="Courier New" w:hAnsi="Courier New"/>
          <w:sz w:val="19"/>
          <w:szCs w:val="19"/>
        </w:rPr>
        <w:t xml:space="preserve">docker compose up -d</w:t>
      </w:r>
    </w:p>
    <w:p>
      <w:pPr>
        <w:spacing w:after="80" w:before="120"/>
      </w:pPr>
      <w:r>
        <w:rPr>
          <w:rFonts w:ascii="Calibri" w:cs="Calibri" w:eastAsia="Calibri" w:hAnsi="Calibri"/>
          <w:sz w:val="21"/>
          <w:szCs w:val="21"/>
        </w:rPr>
        <w:t xml:space="preserve">Interface web : http://&lt;Server-IP&gt;:3500   ·   Première connexion : admin / admin (à changer immédiatement)</w:t>
      </w:r>
    </w:p>
    <w:p>
      <w:pPr>
        <w:spacing w:after="120" w:line="276"/>
        <w:rPr>
          <w:color w:val="595959"/>
        </w:rPr>
      </w:pPr>
      <w:r>
        <w:rPr>
          <w:rFonts w:ascii="Calibri" w:cs="Calibri" w:eastAsia="Calibri" w:hAnsi="Calibri"/>
          <w:color w:val="595959"/>
          <w:sz w:val="21"/>
          <w:szCs w:val="21"/>
        </w:rPr>
        <w:t xml:space="preserve">Le paquet de démarrage rapide se trouve sur le site web, dans la section du produit concerné.</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AuraProxy · Gerber Backoffice Solutions ·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AuraProxy – Fiche produit</dc:title>
  <dc:creator>Gerber Backoffice Solutions</dc:creator>
  <cp:lastModifiedBy>Un-named</cp:lastModifiedBy>
  <cp:revision>1</cp:revision>
  <dcterms:created xsi:type="dcterms:W3CDTF">2026-10-20T18:51:18.511Z</dcterms:created>
  <dcterms:modified xsi:type="dcterms:W3CDTF">2026-10-20T18:51:18.511Z</dcterms:modified>
</cp:coreProperties>
</file>

<file path=docProps/custom.xml><?xml version="1.0" encoding="utf-8"?>
<Properties xmlns="http://schemas.openxmlformats.org/officeDocument/2006/custom-properties" xmlns:vt="http://schemas.openxmlformats.org/officeDocument/2006/docPropsVTypes"/>
</file>