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1F4E79"/>
          <w:sz w:val="48"/>
          <w:szCs w:val="48"/>
        </w:rPr>
        <w:t xml:space="preserve">AuraTicket</w:t>
      </w:r>
    </w:p>
    <w:p>
      <w:pPr>
        <w:pBdr>
          <w:bottom w:val="single" w:color="1F4E79" w:sz="8" w:space="6"/>
        </w:pBdr>
        <w:spacing w:after="200"/>
      </w:pPr>
      <w:r>
        <w:rPr>
          <w:rFonts w:ascii="Calibri" w:cs="Calibri" w:eastAsia="Calibri" w:hAnsi="Calibri"/>
          <w:color w:val="595959"/>
          <w:sz w:val="24"/>
          <w:szCs w:val="24"/>
        </w:rPr>
        <w:t xml:space="preserve">Ficha de producto</w:t>
      </w:r>
    </w:p>
    <w:p>
      <w:pPr>
        <w:spacing w:after="120" w:line="276"/>
        <w:rPr>
          <w:b/>
          <w:bCs/>
          <w:sz w:val="26"/>
          <w:szCs w:val="26"/>
        </w:rPr>
      </w:pPr>
      <w:r>
        <w:rPr>
          <w:rFonts w:ascii="Calibri" w:cs="Calibri" w:eastAsia="Calibri" w:hAnsi="Calibri"/>
          <w:b/>
          <w:bCs/>
          <w:sz w:val="26"/>
          <w:szCs w:val="26"/>
        </w:rPr>
        <w:t xml:space="preserve">Tickets de soporte a partir de tus correos — y AuraChat te mantiene informado.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AuraTicket convierte los correos entrantes en tickets que tu equipo gestiona y responde. Conectado con AuraMail para el envío y con AuraChat para controlar los tickets por voz.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Funciones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638"/>
      </w:tblGrid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El correo se convierte en ticket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Los correos que llegan a un buzón de soporte se convierten automáticamente en tickets. Las respuestas a tickets existentes se asignan mediante el número de ticket en el asunto.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Respuestas y notas internas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Responder a los clientes por correo o anotar notas internas. Estado, prioridad y responsable por ticket.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Campañas de correo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Enviar correos a una lista CSV, con saludo personalizado y envío escalonado en segundo plano.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Control mediante AuraChat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«¿Cuántos tickets hay abiertos?», «Cierra el ticket T-00001», «Responde al ticket …» — y los tickets nuevos se te leen en voz alta.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Inicio de sesión central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Acceso con la cuenta de AuraDirect, incluida la autenticación en dos pasos centralizada.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Administración</w:t>
            </w:r>
          </w:p>
        </w:tc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Gestión de usuarios, copia de seguridad y restauración, gestión de licencias con periodo de prueba.</w:t>
            </w:r>
          </w:p>
        </w:tc>
      </w:tr>
    </w:tbl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Modelo de licencia</w:t>
      </w:r>
    </w:p>
    <w:p>
      <w:pPr>
        <w:spacing w:after="120" w:line="276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Incluido en: Free Plan, Business Solo y Business Advanced. En el Free Plan para 1 usuario (uso privado).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</w:trPr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Free Plan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0 para siempre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Exactamente 1 usuario (uso privado)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Particulares &amp; hobby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EF4FB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Solo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1 usuario profesional con licencia de uso comercial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unipersonales &amp; autónomos</w:t>
            </w:r>
          </w:p>
        </w:tc>
        <w:tc>
          <w:tcPr>
            <w:tcW w:type="dxa" w:w="3212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1F4E79"/>
                <w:sz w:val="24"/>
                <w:szCs w:val="24"/>
              </w:rPr>
              <w:t xml:space="preserve">Business Advanced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sz w:val="26"/>
                <w:szCs w:val="26"/>
              </w:rPr>
              <w:t xml:space="preserve">CHF 19.90 / mes por el 1.er usuario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9.90 / mes por cada usuario adicional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Desde 2 usuarios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595959"/>
                <w:sz w:val="21"/>
                <w:szCs w:val="21"/>
              </w:rPr>
              <w:t xml:space="preserve">Empresas &amp; equipos</w:t>
            </w:r>
          </w:p>
        </w:tc>
      </w:tr>
    </w:tbl>
    <w:p>
      <w:pPr>
        <w:spacing w:after="60" w:before="160"/>
        <w:rPr>
          <w:b/>
          <w:bCs/>
        </w:rPr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Ejemplo: Business Advanced con 3 usuarios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638"/>
        <w:gridCol w:w="3000"/>
      </w:tblGrid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1.er usuario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CHF 19.90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sz w:val="21"/>
                <w:szCs w:val="21"/>
              </w:rPr>
              <w:t xml:space="preserve">2 usuarios adicionales (2 × CHF 9.90)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sz w:val="21"/>
                <w:szCs w:val="21"/>
              </w:rPr>
              <w:t xml:space="preserve">+ CHF 19.80</w:t>
            </w:r>
          </w:p>
        </w:tc>
      </w:tr>
      <w:tr>
        <w:trPr>
          <w:cantSplit/>
        </w:trPr>
        <w:tc>
          <w:tcPr>
            <w:tcW w:type="dxa" w:w="6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Total al mes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1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right"/>
            </w:pPr>
            <w:r>
              <w:rPr>
                <w:rFonts w:ascii="Calibri" w:cs="Calibri" w:eastAsia="Calibri" w:hAnsi="Calibri"/>
                <w:b/>
                <w:bCs/>
                <w:sz w:val="21"/>
                <w:szCs w:val="21"/>
              </w:rPr>
              <w:t xml:space="preserve">CHF 39.70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/>
      </w:r>
    </w:p>
    <w:p>
      <w:pPr>
        <w:spacing w:after="60"/>
      </w:pPr>
      <w:r>
        <w:rPr>
          <w:rFonts w:ascii="Calibri" w:cs="Calibri" w:eastAsia="Calibri" w:hAnsi="Calibri"/>
          <w:sz w:val="21"/>
          <w:szCs w:val="21"/>
        </w:rPr>
        <w:t xml:space="preserve">Hardware: El hardware no forma parte de la licencia. Lo adquiere el cliente o también puede suministrarlo Gerber Backoffice Solutions.</w:t>
      </w:r>
    </w:p>
    <w:p>
      <w:pPr>
        <w:spacing w:after="120"/>
        <w:rPr>
          <w:color w:val="7F7F7F"/>
          <w:sz w:val="18"/>
          <w:szCs w:val="18"/>
        </w:rPr>
      </w:pPr>
      <w:r>
        <w:rPr>
          <w:rFonts w:ascii="Calibri" w:cs="Calibri" w:eastAsia="Calibri" w:hAnsi="Calibri"/>
          <w:color w:val="7F7F7F"/>
          <w:sz w:val="18"/>
          <w:szCs w:val="18"/>
        </w:rPr>
        <w:t xml:space="preserve">Todos los precios sin IVA. AuraMail y AuraCall se pueden probar gratis durante 14 días.</w:t>
      </w:r>
    </w:p>
    <w:p>
      <w:pPr>
        <w:pStyle w:val="Heading1"/>
        <w:keepNext/>
        <w:spacing w:after="130" w:before="300"/>
      </w:pPr>
      <w:r>
        <w:rPr>
          <w:rFonts w:ascii="Calibri" w:cs="Calibri" w:eastAsia="Calibri" w:hAnsi="Calibri"/>
          <w:b/>
          <w:bCs/>
          <w:color w:val="1F4E79"/>
          <w:sz w:val="28"/>
          <w:szCs w:val="28"/>
        </w:rPr>
        <w:t xml:space="preserve">Inicio rápido</w:t>
      </w:r>
    </w:p>
    <w:p>
      <w:pPr>
        <w:spacing w:after="120" w:line="276"/>
      </w:pPr>
      <w:r>
        <w:rPr>
          <w:rFonts w:ascii="Calibri" w:cs="Calibri" w:eastAsia="Calibri" w:hAnsi="Calibri"/>
          <w:sz w:val="21"/>
          <w:szCs w:val="21"/>
        </w:rPr>
        <w:t xml:space="preserve">Requisitos: Docker con Docker Compose. Se necesita AuraMail para convertir correos en tickets y enviar respuestas (introducir su clave de servicio en el panel de administración).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unzip auraticket-quickstart.zip -d auraticket &amp;&amp; cd auraticket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cp .env.example .env &amp;&amp; nano .env</w:t>
      </w:r>
    </w:p>
    <w:p>
      <w:pPr>
        <w:shd w:fill="F2F2F2" w:color="auto" w:val="clear"/>
        <w:spacing w:after="40"/>
      </w:pPr>
      <w:r>
        <w:rPr>
          <w:rFonts w:ascii="Courier New" w:cs="Courier New" w:eastAsia="Courier New" w:hAnsi="Courier New"/>
          <w:sz w:val="19"/>
          <w:szCs w:val="19"/>
        </w:rPr>
        <w:t xml:space="preserve">docker compose up -d</w:t>
      </w:r>
    </w:p>
    <w:p>
      <w:pPr>
        <w:spacing w:after="80" w:before="120"/>
      </w:pPr>
      <w:r>
        <w:rPr>
          <w:rFonts w:ascii="Calibri" w:cs="Calibri" w:eastAsia="Calibri" w:hAnsi="Calibri"/>
          <w:sz w:val="21"/>
          <w:szCs w:val="21"/>
        </w:rPr>
        <w:t xml:space="preserve">Interfaz web: http://&lt;Server-IP&gt;:3400   ·   Primer acceso: admin / admin (cambiar de inmediato)</w:t>
      </w:r>
    </w:p>
    <w:p>
      <w:pPr>
        <w:spacing w:after="120" w:line="276"/>
        <w:rPr>
          <w:color w:val="595959"/>
        </w:rPr>
      </w:pPr>
      <w:r>
        <w:rPr>
          <w:rFonts w:ascii="Calibri" w:cs="Calibri" w:eastAsia="Calibri" w:hAnsi="Calibri"/>
          <w:color w:val="595959"/>
          <w:sz w:val="21"/>
          <w:szCs w:val="21"/>
        </w:rPr>
        <w:t xml:space="preserve">El paquete de inicio rápido está en el sitio web, en la sección de cada producto.</w:t>
      </w:r>
    </w:p>
    <w:sectPr>
      <w:footerReference w:type="default" r:id="rId6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7F7F7F"/>
        <w:sz w:val="18"/>
        <w:szCs w:val="18"/>
      </w:rPr>
      <w:t xml:space="preserve">AuraTicket · Gerber Backoffice Solutions · </w:t>
    </w:r>
    <w:r>
      <w:rPr>
        <w:rFonts w:ascii="Calibri" w:cs="Calibri" w:eastAsia="Calibri" w:hAnsi="Calibri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AuraTicket – Ficha de producto</dc:title>
  <dc:creator>Gerber Backoffice Solutions</dc:creator>
  <cp:lastModifiedBy>Un-named</cp:lastModifiedBy>
  <cp:revision>1</cp:revision>
  <dcterms:created xsi:type="dcterms:W3CDTF">2026-10-20T18:51:18.463Z</dcterms:created>
  <dcterms:modified xsi:type="dcterms:W3CDTF">2026-10-20T18:51:18.463Z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