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COMP4451 Project 3 Summary Report</w:t>
        <w:br/>
      </w:r>
      <w:r>
        <w:rPr>
          <w:rFonts w:ascii="Arial" w:hAnsi="Arial"/>
          <w:sz w:val="22"/>
        </w:rPr>
        <w:t>PEFT with LoRA and BANKING77 - ELECTRA Intent Classification</w:t>
        <w:br/>
        <w:t>Michael Ghattas</w:t>
      </w:r>
    </w:p>
    <w:p>
      <w:r>
        <w:t>This report summarizes two ELECTRA-base LoRA fine-tuning runs on BANKING77. The assignment requires a completed executable notebook, a W&amp;B report, and a 3-5 page Word report answering the reflection questions. The final model choice is the r=16 LoRA configuration because it achieved the strongest validation and test performance while updating only 1.382% of model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Metric</w:t>
            </w:r>
          </w:p>
        </w:tc>
        <w:tc>
          <w:tcPr>
            <w:tcW w:type="dxa" w:w="3408"/>
            <w:shd w:fill="D9EAF7"/>
          </w:tcPr>
          <w:p>
            <w:r>
              <w:rPr>
                <w:b/>
              </w:rPr>
              <w:t>Main run: r=16 alpha=32</w:t>
            </w:r>
          </w:p>
        </w:tc>
        <w:tc>
          <w:tcPr>
            <w:tcW w:type="dxa" w:w="3408"/>
            <w:shd w:fill="D9EAF7"/>
          </w:tcPr>
          <w:p>
            <w:r>
              <w:rPr>
                <w:b/>
              </w:rPr>
              <w:t>Comparison: r=8 alpha=32</w:t>
            </w:r>
          </w:p>
        </w:tc>
      </w:tr>
      <w:tr>
        <w:tc>
          <w:tcPr>
            <w:tcW w:type="dxa" w:w="3408"/>
            <w:vAlign w:val="top"/>
          </w:tcPr>
          <w:p>
            <w:r>
              <w:t>Run name</w:t>
            </w:r>
          </w:p>
        </w:tc>
        <w:tc>
          <w:tcPr>
            <w:tcW w:type="dxa" w:w="3408"/>
            <w:vAlign w:val="top"/>
          </w:tcPr>
          <w:p>
            <w:r>
              <w:t>electra-lora_r16_lr0.0001_ep6</w:t>
            </w:r>
          </w:p>
        </w:tc>
        <w:tc>
          <w:tcPr>
            <w:tcW w:type="dxa" w:w="3408"/>
            <w:vAlign w:val="top"/>
          </w:tcPr>
          <w:p>
            <w:r>
              <w:t>electra-lora_r8_alpha32_lr0.0001_ep6</w:t>
            </w:r>
          </w:p>
        </w:tc>
      </w:tr>
      <w:tr>
        <w:tc>
          <w:tcPr>
            <w:tcW w:type="dxa" w:w="3408"/>
            <w:vAlign w:val="top"/>
          </w:tcPr>
          <w:p>
            <w:r>
              <w:t>LoRA scaling alpha/r</w:t>
            </w:r>
          </w:p>
        </w:tc>
        <w:tc>
          <w:tcPr>
            <w:tcW w:type="dxa" w:w="3408"/>
            <w:vAlign w:val="top"/>
          </w:tcPr>
          <w:p>
            <w:r>
              <w:t>2.00</w:t>
            </w:r>
          </w:p>
        </w:tc>
        <w:tc>
          <w:tcPr>
            <w:tcW w:type="dxa" w:w="3408"/>
            <w:vAlign w:val="top"/>
          </w:tcPr>
          <w:p>
            <w:r>
              <w:t>4.00</w:t>
            </w:r>
          </w:p>
        </w:tc>
      </w:tr>
      <w:tr>
        <w:tc>
          <w:tcPr>
            <w:tcW w:type="dxa" w:w="3408"/>
            <w:vAlign w:val="top"/>
          </w:tcPr>
          <w:p>
            <w:r>
              <w:t>Trainable parameters</w:t>
            </w:r>
          </w:p>
        </w:tc>
        <w:tc>
          <w:tcPr>
            <w:tcW w:type="dxa" w:w="3408"/>
            <w:vAlign w:val="top"/>
          </w:tcPr>
          <w:p>
            <w:r>
              <w:t>1,534,541 (1.382%)</w:t>
            </w:r>
          </w:p>
        </w:tc>
        <w:tc>
          <w:tcPr>
            <w:tcW w:type="dxa" w:w="3408"/>
            <w:vAlign w:val="top"/>
          </w:tcPr>
          <w:p>
            <w:r>
              <w:t>1,092,173 (0.987%)</w:t>
            </w:r>
          </w:p>
        </w:tc>
      </w:tr>
      <w:tr>
        <w:tc>
          <w:tcPr>
            <w:tcW w:type="dxa" w:w="3408"/>
            <w:vAlign w:val="top"/>
          </w:tcPr>
          <w:p>
            <w:r>
              <w:t>Baseline accuracy / F1</w:t>
            </w:r>
          </w:p>
        </w:tc>
        <w:tc>
          <w:tcPr>
            <w:tcW w:type="dxa" w:w="3408"/>
            <w:vAlign w:val="top"/>
          </w:tcPr>
          <w:p>
            <w:r>
              <w:t>0.0180 / 0.0088</w:t>
            </w:r>
          </w:p>
        </w:tc>
        <w:tc>
          <w:tcPr>
            <w:tcW w:type="dxa" w:w="3408"/>
            <w:vAlign w:val="top"/>
          </w:tcPr>
          <w:p>
            <w:r>
              <w:t>0.0110 / 0.0006</w:t>
            </w:r>
          </w:p>
        </w:tc>
      </w:tr>
      <w:tr>
        <w:tc>
          <w:tcPr>
            <w:tcW w:type="dxa" w:w="3408"/>
            <w:vAlign w:val="top"/>
          </w:tcPr>
          <w:p>
            <w:r>
              <w:t>Validation accuracy / F1</w:t>
            </w:r>
          </w:p>
        </w:tc>
        <w:tc>
          <w:tcPr>
            <w:tcW w:type="dxa" w:w="3408"/>
            <w:vAlign w:val="top"/>
          </w:tcPr>
          <w:p>
            <w:r>
              <w:t>0.8050 / 0.7979</w:t>
            </w:r>
          </w:p>
        </w:tc>
        <w:tc>
          <w:tcPr>
            <w:tcW w:type="dxa" w:w="3408"/>
            <w:vAlign w:val="top"/>
          </w:tcPr>
          <w:p>
            <w:r>
              <w:t>0.7910 / 0.7831</w:t>
            </w:r>
          </w:p>
        </w:tc>
      </w:tr>
      <w:tr>
        <w:tc>
          <w:tcPr>
            <w:tcW w:type="dxa" w:w="3408"/>
            <w:vAlign w:val="top"/>
          </w:tcPr>
          <w:p>
            <w:r>
              <w:t>Test accuracy / F1</w:t>
            </w:r>
          </w:p>
        </w:tc>
        <w:tc>
          <w:tcPr>
            <w:tcW w:type="dxa" w:w="3408"/>
            <w:vAlign w:val="top"/>
          </w:tcPr>
          <w:p>
            <w:r>
              <w:t>0.7971 / 0.7934</w:t>
            </w:r>
          </w:p>
        </w:tc>
        <w:tc>
          <w:tcPr>
            <w:tcW w:type="dxa" w:w="3408"/>
            <w:vAlign w:val="top"/>
          </w:tcPr>
          <w:p>
            <w:r>
              <w:t>0.7731 / 0.7662</w:t>
            </w:r>
          </w:p>
        </w:tc>
      </w:tr>
      <w:tr>
        <w:tc>
          <w:tcPr>
            <w:tcW w:type="dxa" w:w="3408"/>
            <w:vAlign w:val="top"/>
          </w:tcPr>
          <w:p>
            <w:r>
              <w:t>Accuracy gain</w:t>
            </w:r>
          </w:p>
        </w:tc>
        <w:tc>
          <w:tcPr>
            <w:tcW w:type="dxa" w:w="3408"/>
            <w:vAlign w:val="top"/>
          </w:tcPr>
          <w:p>
            <w:r>
              <w:t>+0.7870</w:t>
            </w:r>
          </w:p>
        </w:tc>
        <w:tc>
          <w:tcPr>
            <w:tcW w:type="dxa" w:w="3408"/>
            <w:vAlign w:val="top"/>
          </w:tcPr>
          <w:p>
            <w:r>
              <w:t>+0.7800</w:t>
            </w:r>
          </w:p>
        </w:tc>
      </w:tr>
      <w:tr>
        <w:tc>
          <w:tcPr>
            <w:tcW w:type="dxa" w:w="3408"/>
            <w:vAlign w:val="top"/>
          </w:tcPr>
          <w:p>
            <w:r>
              <w:t>Validation-test gap</w:t>
            </w:r>
          </w:p>
        </w:tc>
        <w:tc>
          <w:tcPr>
            <w:tcW w:type="dxa" w:w="3408"/>
            <w:vAlign w:val="top"/>
          </w:tcPr>
          <w:p>
            <w:r>
              <w:t>+0.0079</w:t>
            </w:r>
          </w:p>
        </w:tc>
        <w:tc>
          <w:tcPr>
            <w:tcW w:type="dxa" w:w="3408"/>
            <w:vAlign w:val="top"/>
          </w:tcPr>
          <w:p>
            <w:r>
              <w:t>+0.0179</w:t>
            </w:r>
          </w:p>
        </w:tc>
      </w:tr>
    </w:tbl>
    <w:p>
      <w:pPr>
        <w:pStyle w:val="Heading1"/>
      </w:pPr>
      <w:r>
        <w:t>Q1. Hyperparameter Choices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Hyperparameter</w:t>
            </w:r>
          </w:p>
        </w:tc>
        <w:tc>
          <w:tcPr>
            <w:tcW w:type="dxa" w:w="3408"/>
            <w:shd w:fill="D9EAF7"/>
          </w:tcPr>
          <w:p>
            <w:r>
              <w:rPr>
                <w:b/>
              </w:rPr>
              <w:t>Value</w:t>
            </w:r>
          </w:p>
        </w:tc>
        <w:tc>
          <w:tcPr>
            <w:tcW w:type="dxa" w:w="3408"/>
            <w:shd w:fill="D9EAF7"/>
          </w:tcPr>
          <w:p>
            <w:r>
              <w:rPr>
                <w:b/>
              </w:rPr>
              <w:t>Reason</w:t>
            </w:r>
          </w:p>
        </w:tc>
      </w:tr>
      <w:tr>
        <w:tc>
          <w:tcPr>
            <w:tcW w:type="dxa" w:w="3408"/>
            <w:vAlign w:val="top"/>
          </w:tcPr>
          <w:p>
            <w:r>
              <w:t>batch_size</w:t>
            </w:r>
          </w:p>
        </w:tc>
        <w:tc>
          <w:tcPr>
            <w:tcW w:type="dxa" w:w="3408"/>
            <w:vAlign w:val="top"/>
          </w:tcPr>
          <w:p>
            <w:r>
              <w:t>16</w:t>
            </w:r>
          </w:p>
        </w:tc>
        <w:tc>
          <w:tcPr>
            <w:tcW w:type="dxa" w:w="3408"/>
            <w:vAlign w:val="top"/>
          </w:tcPr>
          <w:p>
            <w:r>
              <w:t>Balances stable gradient estimates with realistic local CPU/MPS memory limits for ELECTRA-base.</w:t>
            </w:r>
          </w:p>
        </w:tc>
      </w:tr>
      <w:tr>
        <w:tc>
          <w:tcPr>
            <w:tcW w:type="dxa" w:w="3408"/>
            <w:vAlign w:val="top"/>
          </w:tcPr>
          <w:p>
            <w:r>
              <w:t>learning_rate</w:t>
            </w:r>
          </w:p>
        </w:tc>
        <w:tc>
          <w:tcPr>
            <w:tcW w:type="dxa" w:w="3408"/>
            <w:vAlign w:val="top"/>
          </w:tcPr>
          <w:p>
            <w:r>
              <w:t>1e-4</w:t>
            </w:r>
          </w:p>
        </w:tc>
        <w:tc>
          <w:tcPr>
            <w:tcW w:type="dxa" w:w="3408"/>
            <w:vAlign w:val="top"/>
          </w:tcPr>
          <w:p>
            <w:r>
              <w:t>Appropriate for LoRA adapter tuning because only a small adapter subspace is updated while the base transformer remains mostly frozen.</w:t>
            </w:r>
          </w:p>
        </w:tc>
      </w:tr>
      <w:tr>
        <w:tc>
          <w:tcPr>
            <w:tcW w:type="dxa" w:w="3408"/>
            <w:vAlign w:val="top"/>
          </w:tcPr>
          <w:p>
            <w:r>
              <w:t>epochs</w:t>
            </w:r>
          </w:p>
        </w:tc>
        <w:tc>
          <w:tcPr>
            <w:tcW w:type="dxa" w:w="3408"/>
            <w:vAlign w:val="top"/>
          </w:tcPr>
          <w:p>
            <w:r>
              <w:t>6</w:t>
            </w:r>
          </w:p>
        </w:tc>
        <w:tc>
          <w:tcPr>
            <w:tcW w:type="dxa" w:w="3408"/>
            <w:vAlign w:val="top"/>
          </w:tcPr>
          <w:p>
            <w:r>
              <w:t>Long enough to move from baseline to strong validation performance while still allowing W&amp;B curves to show convergence.</w:t>
            </w:r>
          </w:p>
        </w:tc>
      </w:tr>
      <w:tr>
        <w:tc>
          <w:tcPr>
            <w:tcW w:type="dxa" w:w="3408"/>
            <w:vAlign w:val="top"/>
          </w:tcPr>
          <w:p>
            <w:r>
              <w:t>lora_r</w:t>
            </w:r>
          </w:p>
        </w:tc>
        <w:tc>
          <w:tcPr>
            <w:tcW w:type="dxa" w:w="3408"/>
            <w:vAlign w:val="top"/>
          </w:tcPr>
          <w:p>
            <w:r>
              <w:t>16</w:t>
            </w:r>
          </w:p>
        </w:tc>
        <w:tc>
          <w:tcPr>
            <w:tcW w:type="dxa" w:w="3408"/>
            <w:vAlign w:val="top"/>
          </w:tcPr>
          <w:p>
            <w:r>
              <w:t>Provides more adapter capacity for 77 fine-grained intents than r=8 while still updating only 1.382% of parameters.</w:t>
            </w:r>
          </w:p>
        </w:tc>
      </w:tr>
      <w:tr>
        <w:tc>
          <w:tcPr>
            <w:tcW w:type="dxa" w:w="3408"/>
            <w:vAlign w:val="top"/>
          </w:tcPr>
          <w:p>
            <w:r>
              <w:t>lora_alpha</w:t>
            </w:r>
          </w:p>
        </w:tc>
        <w:tc>
          <w:tcPr>
            <w:tcW w:type="dxa" w:w="3408"/>
            <w:vAlign w:val="top"/>
          </w:tcPr>
          <w:p>
            <w:r>
              <w:t>32</w:t>
            </w:r>
          </w:p>
        </w:tc>
        <w:tc>
          <w:tcPr>
            <w:tcW w:type="dxa" w:w="3408"/>
            <w:vAlign w:val="top"/>
          </w:tcPr>
          <w:p>
            <w:r>
              <w:t>With r=16, gives an effective scaling factor of 2.00, a moderate update scale.</w:t>
            </w:r>
          </w:p>
        </w:tc>
      </w:tr>
      <w:tr>
        <w:tc>
          <w:tcPr>
            <w:tcW w:type="dxa" w:w="3408"/>
            <w:vAlign w:val="top"/>
          </w:tcPr>
          <w:p>
            <w:r>
              <w:t>max_length</w:t>
            </w:r>
          </w:p>
        </w:tc>
        <w:tc>
          <w:tcPr>
            <w:tcW w:type="dxa" w:w="3408"/>
            <w:vAlign w:val="top"/>
          </w:tcPr>
          <w:p>
            <w:r>
              <w:t>128</w:t>
            </w:r>
          </w:p>
        </w:tc>
        <w:tc>
          <w:tcPr>
            <w:tcW w:type="dxa" w:w="3408"/>
            <w:vAlign w:val="top"/>
          </w:tcPr>
          <w:p>
            <w:r>
              <w:t>BANKING77 queries are short customer-service utterances, so 128 tokens captures the intent without excessive padding.</w:t>
            </w:r>
          </w:p>
        </w:tc>
      </w:tr>
    </w:tbl>
    <w:p>
      <w:r>
        <w:t>The main run scaling factor is lora_alpha / lora_r = 32 / 16 = 2.00. If lora_r were doubled to 32 while alpha stayed 32, the scaling would become 1.00; the adapter would have more rank capacity but each LoRA update would be scaled half as strongly.</w:t>
      </w:r>
    </w:p>
    <w:p>
      <w:pPr>
        <w:pStyle w:val="Heading1"/>
      </w:pPr>
      <w:r>
        <w:t>Q2. Baseline and the Value of Fine-Tuning</w:t>
      </w:r>
    </w:p>
    <w:p>
      <w:r>
        <w:t>For 77 classes, random guessing would be about 1/77 = 0.0130 accuracy. The main run baseline accuracy was 0.0180 and weighted F1 was 0.0088, close to random because the newly initialized classification head had not learned the BANKING77 label space.</w:t>
      </w:r>
    </w:p>
    <w:p>
      <w:r>
        <w:t>After LoRA fine-tuning, validation accuracy reached 0.8050 and weighted F1 reached 0.7979. The accuracy gain was +0.7870, showing that LoRA successfully adapted ELECTRA's pretrained language features to the 77-class online banking intent task.</w:t>
      </w:r>
    </w:p>
    <w:p>
      <w:r>
        <w:t>The validation-test gap was 0.0079, below the 0.02 threshold. This indicates that the model did not merely fit the validation split; it transferred well to the held-out test set.</w:t>
      </w:r>
    </w:p>
    <w:p>
      <w:pPr>
        <w:pStyle w:val="Heading1"/>
      </w:pPr>
      <w:r>
        <w:t>Q3. Training Dynamics</w:t>
      </w:r>
    </w:p>
    <w:p>
      <w:r>
        <w:t>The train/loss curve decreased consistently across all six epochs: 3.397, 1.926, 1.412, 1.116, 0.940, and 0.878. Validation loss also decreased monotonically from 3.068 to 0.732. The curve began flattening after approximately epoch 4, suggesting the model was still improving but with diminishing returns.</w:t>
      </w:r>
    </w:p>
    <w:p>
      <w:r>
        <w:t>The learning-rate schedule used warmup_ratio = 0.06, producing the expected triangle shape: the rate ramped from zero to the target learning rate during roughly the first 6% of training steps and then decayed smoothly. Warmup reduces the risk that the newly initialized classifier and LoRA adapters produce unstable updates at the beginning of fine-tuning.</w:t>
      </w:r>
    </w:p>
    <w:p>
      <w:r>
        <w:t>The available run outputs show stable training through all 3,378 steps, with smooth loss decrease and no collapse in validation metrics. The W&amp;B grad_norm chart should be checked directly, but the observed loss and F1 curves do not show symptoms of repeated gradient instability. If grad_norm repeatedly hit 1.0, I would reduce learning_rate or increase warmup, because max_grad_norm = 1.0 clips updates that are too large.</w:t>
      </w:r>
    </w:p>
    <w:p>
      <w:pPr>
        <w:pStyle w:val="Heading1"/>
      </w:pPr>
      <w:r>
        <w:t>Q4. PEFT Efficiency</w:t>
      </w:r>
    </w:p>
    <w:p>
      <w:r>
        <w:t>The main run printed 1,534,541 trainable parameters, equal to 1.382% of the total. This is consistent with LoRA's PEFT design: adapters add low-rank matrices to selected projection layers rather than updating the entire ELECTRA base model. The formula 2 x r x d per adapted projection is consistent in direction and scale: increasing rank increases trainable parameters linearly, as seen when r=16 used more trainable parameters than r=8.</w:t>
      </w:r>
    </w:p>
    <w:p>
      <w:r>
        <w:t>Two deployment advantages follow. First, the frozen ELECTRA base can be stored once, while separate LoRA adapters can be swapped for different tasks or clients. Second, adapter files are much smaller than fully fine-tuned model checkpoints, making storage, versioning, rollback, and deployment cheaper and faster.</w:t>
      </w:r>
    </w:p>
    <w:p>
      <w:pPr>
        <w:pStyle w:val="Heading1"/>
      </w:pPr>
      <w:r>
        <w:t>Q5. W&amp;B Experiment Comparison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rPr>
              <w:t>Run</w:t>
            </w:r>
          </w:p>
        </w:tc>
        <w:tc>
          <w:tcPr>
            <w:tcW w:type="dxa" w:w="1461"/>
            <w:shd w:fill="D9EAF7"/>
          </w:tcPr>
          <w:p>
            <w:r>
              <w:rPr>
                <w:b/>
              </w:rPr>
              <w:t>lora_r</w:t>
            </w:r>
          </w:p>
        </w:tc>
        <w:tc>
          <w:tcPr>
            <w:tcW w:type="dxa" w:w="1461"/>
            <w:shd w:fill="D9EAF7"/>
          </w:tcPr>
          <w:p>
            <w:r>
              <w:rPr>
                <w:b/>
              </w:rPr>
              <w:t>alpha/r</w:t>
            </w:r>
          </w:p>
        </w:tc>
        <w:tc>
          <w:tcPr>
            <w:tcW w:type="dxa" w:w="1461"/>
            <w:shd w:fill="D9EAF7"/>
          </w:tcPr>
          <w:p>
            <w:r>
              <w:rPr>
                <w:b/>
              </w:rPr>
              <w:t>Trainable %</w:t>
            </w:r>
          </w:p>
        </w:tc>
        <w:tc>
          <w:tcPr>
            <w:tcW w:type="dxa" w:w="1461"/>
            <w:shd w:fill="D9EAF7"/>
          </w:tcPr>
          <w:p>
            <w:r>
              <w:rPr>
                <w:b/>
              </w:rPr>
              <w:t>Val F1</w:t>
            </w:r>
          </w:p>
        </w:tc>
        <w:tc>
          <w:tcPr>
            <w:tcW w:type="dxa" w:w="1461"/>
            <w:shd w:fill="D9EAF7"/>
          </w:tcPr>
          <w:p>
            <w:r>
              <w:rPr>
                <w:b/>
              </w:rPr>
              <w:t>Test F1</w:t>
            </w:r>
          </w:p>
        </w:tc>
        <w:tc>
          <w:tcPr>
            <w:tcW w:type="dxa" w:w="1461"/>
            <w:shd w:fill="D9EAF7"/>
          </w:tcPr>
          <w:p>
            <w:r>
              <w:rPr>
                <w:b/>
              </w:rPr>
              <w:t>Val-test gap</w:t>
            </w:r>
          </w:p>
        </w:tc>
      </w:tr>
      <w:tr>
        <w:tc>
          <w:tcPr>
            <w:tcW w:type="dxa" w:w="1461"/>
            <w:vAlign w:val="top"/>
          </w:tcPr>
          <w:p>
            <w:r>
              <w:t>electra-lora_r16_lr0.0001_ep6</w:t>
            </w:r>
          </w:p>
        </w:tc>
        <w:tc>
          <w:tcPr>
            <w:tcW w:type="dxa" w:w="1461"/>
            <w:vAlign w:val="top"/>
          </w:tcPr>
          <w:p>
            <w:r>
              <w:t>16</w:t>
            </w:r>
          </w:p>
        </w:tc>
        <w:tc>
          <w:tcPr>
            <w:tcW w:type="dxa" w:w="1461"/>
            <w:vAlign w:val="top"/>
          </w:tcPr>
          <w:p>
            <w:r>
              <w:t>2.00</w:t>
            </w:r>
          </w:p>
        </w:tc>
        <w:tc>
          <w:tcPr>
            <w:tcW w:type="dxa" w:w="1461"/>
            <w:vAlign w:val="top"/>
          </w:tcPr>
          <w:p>
            <w:r>
              <w:t>1.382%</w:t>
            </w:r>
          </w:p>
        </w:tc>
        <w:tc>
          <w:tcPr>
            <w:tcW w:type="dxa" w:w="1461"/>
            <w:vAlign w:val="top"/>
          </w:tcPr>
          <w:p>
            <w:r>
              <w:t>0.7979</w:t>
            </w:r>
          </w:p>
        </w:tc>
        <w:tc>
          <w:tcPr>
            <w:tcW w:type="dxa" w:w="1461"/>
            <w:vAlign w:val="top"/>
          </w:tcPr>
          <w:p>
            <w:r>
              <w:t>0.7934</w:t>
            </w:r>
          </w:p>
        </w:tc>
        <w:tc>
          <w:tcPr>
            <w:tcW w:type="dxa" w:w="1461"/>
            <w:vAlign w:val="top"/>
          </w:tcPr>
          <w:p>
            <w:r>
              <w:t>0.0079</w:t>
            </w:r>
          </w:p>
        </w:tc>
      </w:tr>
      <w:tr>
        <w:tc>
          <w:tcPr>
            <w:tcW w:type="dxa" w:w="1461"/>
            <w:vAlign w:val="top"/>
          </w:tcPr>
          <w:p>
            <w:r>
              <w:t>electra-lora_r8_alpha32_lr0.0001_ep6</w:t>
            </w:r>
          </w:p>
        </w:tc>
        <w:tc>
          <w:tcPr>
            <w:tcW w:type="dxa" w:w="1461"/>
            <w:vAlign w:val="top"/>
          </w:tcPr>
          <w:p>
            <w:r>
              <w:t>8</w:t>
            </w:r>
          </w:p>
        </w:tc>
        <w:tc>
          <w:tcPr>
            <w:tcW w:type="dxa" w:w="1461"/>
            <w:vAlign w:val="top"/>
          </w:tcPr>
          <w:p>
            <w:r>
              <w:t>4.00</w:t>
            </w:r>
          </w:p>
        </w:tc>
        <w:tc>
          <w:tcPr>
            <w:tcW w:type="dxa" w:w="1461"/>
            <w:vAlign w:val="top"/>
          </w:tcPr>
          <w:p>
            <w:r>
              <w:t>0.987%</w:t>
            </w:r>
          </w:p>
        </w:tc>
        <w:tc>
          <w:tcPr>
            <w:tcW w:type="dxa" w:w="1461"/>
            <w:vAlign w:val="top"/>
          </w:tcPr>
          <w:p>
            <w:r>
              <w:t>0.7831</w:t>
            </w:r>
          </w:p>
        </w:tc>
        <w:tc>
          <w:tcPr>
            <w:tcW w:type="dxa" w:w="1461"/>
            <w:vAlign w:val="top"/>
          </w:tcPr>
          <w:p>
            <w:r>
              <w:t>0.7662</w:t>
            </w:r>
          </w:p>
        </w:tc>
        <w:tc>
          <w:tcPr>
            <w:tcW w:type="dxa" w:w="1461"/>
            <w:vAlign w:val="top"/>
          </w:tcPr>
          <w:p>
            <w:r>
              <w:t>0.0179</w:t>
            </w:r>
          </w:p>
        </w:tc>
      </w:tr>
    </w:tbl>
    <w:p>
      <w:r>
        <w:t>The r=16 run produced the better outcome. Its validation weighted F1 exceeded the r=8 run by 0.0148, and its test weighted F1 exceeded the r=8 run by 0.0272. The r=8 run used fewer trainable parameters, but the lower-rank adapter lost useful adaptation capacity for the fine-grained 77-intent classification task.</w:t>
      </w:r>
    </w:p>
    <w:p>
      <w:r>
        <w:t>Changing r from 16 to 8 reduced trainable parameters from 1.382% to 0.987% but doubled the effective scaling from 2.00 to 4.00 because alpha stayed fixed. The training curves remained smooth, so the change did not produce obvious gradient instability; however, the lower capacity produced slightly weaker final F1 and a larger, though still acceptable, validation-test gap.</w:t>
      </w:r>
    </w:p>
    <w:p>
      <w:pPr>
        <w:pStyle w:val="Heading1"/>
      </w:pPr>
      <w:r>
        <w:t>Q6. Error Analysis - Confusion Pairs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True intent</w:t>
            </w:r>
          </w:p>
        </w:tc>
        <w:tc>
          <w:tcPr>
            <w:tcW w:type="dxa" w:w="2556"/>
            <w:shd w:fill="D9EAF7"/>
          </w:tcPr>
          <w:p>
            <w:r>
              <w:rPr>
                <w:b/>
              </w:rPr>
              <w:t>Predicted intent</w:t>
            </w:r>
          </w:p>
        </w:tc>
        <w:tc>
          <w:tcPr>
            <w:tcW w:type="dxa" w:w="2556"/>
            <w:shd w:fill="D9EAF7"/>
          </w:tcPr>
          <w:p>
            <w:r>
              <w:rPr>
                <w:b/>
              </w:rPr>
              <w:t>Count</w:t>
            </w:r>
          </w:p>
        </w:tc>
        <w:tc>
          <w:tcPr>
            <w:tcW w:type="dxa" w:w="2556"/>
            <w:shd w:fill="D9EAF7"/>
          </w:tcPr>
          <w:p>
            <w:r>
              <w:rPr>
                <w:b/>
              </w:rPr>
              <w:t>Likely cause</w:t>
            </w:r>
          </w:p>
        </w:tc>
      </w:tr>
      <w:tr>
        <w:tc>
          <w:tcPr>
            <w:tcW w:type="dxa" w:w="2556"/>
            <w:vAlign w:val="top"/>
          </w:tcPr>
          <w:p>
            <w:r>
              <w:t>66 - transfer_not_received_by_recipient</w:t>
            </w:r>
          </w:p>
        </w:tc>
        <w:tc>
          <w:tcPr>
            <w:tcW w:type="dxa" w:w="2556"/>
            <w:vAlign w:val="top"/>
          </w:tcPr>
          <w:p>
            <w:r>
              <w:t>5 - balance_not_updated_after_bank_transfer</w:t>
            </w:r>
          </w:p>
        </w:tc>
        <w:tc>
          <w:tcPr>
            <w:tcW w:type="dxa" w:w="2556"/>
            <w:vAlign w:val="top"/>
          </w:tcPr>
          <w:p>
            <w:r>
              <w:t>6</w:t>
            </w:r>
          </w:p>
        </w:tc>
        <w:tc>
          <w:tcPr>
            <w:tcW w:type="dxa" w:w="2556"/>
            <w:vAlign w:val="top"/>
          </w:tcPr>
          <w:p>
            <w:r>
              <w:t>Both involve a bank transfer not producing the expected result; wording about money not arriving can resemble balance not updating after transfer.</w:t>
            </w:r>
          </w:p>
        </w:tc>
      </w:tr>
      <w:tr>
        <w:tc>
          <w:tcPr>
            <w:tcW w:type="dxa" w:w="2556"/>
            <w:vAlign w:val="top"/>
          </w:tcPr>
          <w:p>
            <w:r>
              <w:t>76 - wrong_exchange_rate_for_cash_withdrawal</w:t>
            </w:r>
          </w:p>
        </w:tc>
        <w:tc>
          <w:tcPr>
            <w:tcW w:type="dxa" w:w="2556"/>
            <w:vAlign w:val="top"/>
          </w:tcPr>
          <w:p>
            <w:r>
              <w:t>17 - card_payment_wrong_exchange_rate</w:t>
            </w:r>
          </w:p>
        </w:tc>
        <w:tc>
          <w:tcPr>
            <w:tcW w:type="dxa" w:w="2556"/>
            <w:vAlign w:val="top"/>
          </w:tcPr>
          <w:p>
            <w:r>
              <w:t>6</w:t>
            </w:r>
          </w:p>
        </w:tc>
        <w:tc>
          <w:tcPr>
            <w:tcW w:type="dxa" w:w="2556"/>
            <w:vAlign w:val="top"/>
          </w:tcPr>
          <w:p>
            <w:r>
              <w:t>Both are wrong-exchange-rate complaints; the model confused cash-withdrawal exchange-rate issues with card-payment exchange-rate issues.</w:t>
            </w:r>
          </w:p>
        </w:tc>
      </w:tr>
      <w:tr>
        <w:tc>
          <w:tcPr>
            <w:tcW w:type="dxa" w:w="2556"/>
            <w:vAlign w:val="top"/>
          </w:tcPr>
          <w:p>
            <w:r>
              <w:t>7 - beneficiary_not_allowed</w:t>
            </w:r>
          </w:p>
        </w:tc>
        <w:tc>
          <w:tcPr>
            <w:tcW w:type="dxa" w:w="2556"/>
            <w:vAlign w:val="top"/>
          </w:tcPr>
          <w:p>
            <w:r>
              <w:t>35 - failed_transfer</w:t>
            </w:r>
          </w:p>
        </w:tc>
        <w:tc>
          <w:tcPr>
            <w:tcW w:type="dxa" w:w="2556"/>
            <w:vAlign w:val="top"/>
          </w:tcPr>
          <w:p>
            <w:r>
              <w:t>5</w:t>
            </w:r>
          </w:p>
        </w:tc>
        <w:tc>
          <w:tcPr>
            <w:tcW w:type="dxa" w:w="2556"/>
            <w:vAlign w:val="top"/>
          </w:tcPr>
          <w:p>
            <w:r>
              <w:t>Both describe a transfer that cannot complete; beneficiary restriction can look similar to a generic failed-transfer request.</w:t>
            </w:r>
          </w:p>
        </w:tc>
      </w:tr>
    </w:tbl>
    <w:p>
      <w:r>
        <w:t>A concrete data intervention would be to add targeted contrastive examples for transfer_not_received_by_recipient vs. balance_not_updated_after_bank_transfer. The extra examples should explicitly contrast recipient-side nonreceipt with sender-side account balance status. This would teach the classifier that the customer goal is different even when both messages mention transfers and missing money.</w:t>
      </w:r>
    </w:p>
    <w:p>
      <w:pPr>
        <w:pStyle w:val="Heading1"/>
      </w:pPr>
      <w:r>
        <w:t>Q7. Error Analysis - Precision and Recall</w:t>
      </w:r>
    </w:p>
    <w:p>
      <w:r>
        <w:t>The weakest main-run intent was 66 - transfer_not_received_by_recipient. Its precision was 1.000, recall was 0.235, F1 was 0.381, and validation support was 17 examples. The weakness is driven almost entirely by low recall, not low precision: when the model predicts this intent it is correct, but it misses most true examples and sends them to other intents.</w:t>
      </w:r>
    </w:p>
    <w:p>
      <w:r>
        <w:t>Operationally, a customer whose transfer was not received by the recipient may be routed to the wrong support path, such as a balance-update issue or a general transfer-timing issue. That delays the correct investigation because the team may inspect the sender balance or expected processing window instead of checking recipient-side transfer delivery status.</w:t>
      </w:r>
    </w:p>
    <w:p>
      <w:r>
        <w:t>The precision/recall table exposes class-level failure modes that may not appear in the top-10 pair table. For example, an intent with low recall can have its missed examples spread across many different predicted classes; no single pair may be frequent enough to appear in the top-10 confusion list, but the intent still performs poorly overall.</w:t>
      </w:r>
    </w:p>
    <w:p>
      <w:pPr>
        <w:pStyle w:val="Heading1"/>
      </w:pPr>
      <w:r>
        <w:t>Q8. Business Summary</w:t>
      </w:r>
    </w:p>
    <w:p>
      <w:r>
        <w:t>The model classifies online banking support messages into one of 77 intent categories in the BANKING77 dataset. In practical terms, it reads a customer message such as a card problem, transfer issue, refund request, or exchange-rate complaint and predicts the support category that should handle it.</w:t>
      </w:r>
    </w:p>
    <w:p>
      <w:r>
        <w:t>The untrained baseline was essentially guessing, with only 1.8% validation accuracy. After LoRA fine-tuning, the model reached 80.5% validation accuracy and 79.7% test accuracy, a gain of about 78.7 percentage points. That is the difference between a classifier that is barely useful and one that correctly routes about four out of five customer messages.</w:t>
      </w:r>
    </w:p>
    <w:p>
      <w:r>
        <w:t>The validation-to-test gap was only 0.79 percentage points, which is small. In plain language, the model performed almost as well on unseen test messages as it did on validation messages, so the result looks reliable rather than tailored to one split of the data. The weakest intent was transfer_not_received_by_recipient, where the model often missed real cases. For the service team, this means customers whose transfer recipient did not receive the money may be misrouted to another transfer-related queue, causing delays and requiring manual correction.</w:t>
      </w:r>
    </w:p>
    <w:p>
      <w:pPr>
        <w:jc w:val="center"/>
      </w:pPr>
      <w:r>
        <w:rPr>
          <w:i/>
        </w:rP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