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0" w:line="276" w:lineRule="auto"/>
        <w:rPr>
          <w:rFonts w:ascii="Cambria" w:cs="Cambria" w:hAnsi="Cambria" w:eastAsia="Cambria"/>
          <w:sz w:val="22"/>
          <w:szCs w:val="22"/>
        </w:rPr>
      </w:pPr>
      <w:r>
        <w:rPr>
          <w:rFonts w:ascii="Cambria" w:hAnsi="Cambria"/>
          <w:sz w:val="22"/>
          <w:szCs w:val="22"/>
          <w:rtl w:val="0"/>
          <w:lang w:val="fr-FR"/>
        </w:rPr>
        <w:t xml:space="preserve">COMP 4451 </w:t>
      </w:r>
      <w:r>
        <w:rPr>
          <w:rFonts w:ascii="Cambria" w:hAnsi="Cambria" w:hint="default"/>
          <w:sz w:val="22"/>
          <w:szCs w:val="22"/>
          <w:rtl w:val="0"/>
          <w:lang w:val="en-US"/>
        </w:rPr>
        <w:t xml:space="preserve">— </w:t>
      </w:r>
      <w:r>
        <w:rPr>
          <w:rFonts w:ascii="Cambria" w:hAnsi="Cambria"/>
          <w:sz w:val="22"/>
          <w:szCs w:val="22"/>
          <w:rtl w:val="0"/>
          <w:lang w:val="en-US"/>
        </w:rPr>
        <w:t>Assignment 1</w:t>
      </w:r>
    </w:p>
    <w:p>
      <w:pPr>
        <w:pStyle w:val="Body"/>
        <w:spacing w:after="200" w:line="276" w:lineRule="auto"/>
        <w:rPr>
          <w:rFonts w:ascii="Cambria" w:cs="Cambria" w:hAnsi="Cambria" w:eastAsia="Cambria"/>
          <w:sz w:val="22"/>
          <w:szCs w:val="22"/>
        </w:rPr>
      </w:pPr>
      <w:r>
        <w:rPr>
          <w:rFonts w:ascii="Cambria" w:hAnsi="Cambria"/>
          <w:sz w:val="22"/>
          <w:szCs w:val="22"/>
          <w:rtl w:val="0"/>
          <w:lang w:val="it-IT"/>
        </w:rPr>
        <w:t>Michael Ghattas</w:t>
      </w:r>
      <w:r>
        <w:rPr>
          <w:rFonts w:ascii="Cambria" w:cs="Cambria" w:hAnsi="Cambria" w:eastAsia="Cambria"/>
          <w:sz w:val="22"/>
          <w:szCs w:val="22"/>
        </w:rPr>
        <w:br w:type="textWrapping"/>
      </w:r>
    </w:p>
    <w:p>
      <w:pPr>
        <w:pStyle w:val="Body"/>
        <w:spacing w:after="200" w:line="276" w:lineRule="auto"/>
        <w:rPr>
          <w:rFonts w:ascii="Cambria" w:cs="Cambria" w:hAnsi="Cambria" w:eastAsia="Cambria"/>
          <w:sz w:val="22"/>
          <w:szCs w:val="22"/>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1. Data Quality Audit and LLM Gap Analysis</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(a) The dataset contains all major categories of data quality issues as shown in STEP 1 of output.log, including 17 missing values, 2 outliers, 5 invalid values, 8 type inconsistencies, 2 formatting inconsistencies, 2 duplicate IDs, 2 cross-field contradictions, 3 date/age violations, and 2 MNAR patterns. Examples include age='NA', weight_kg='NULL', systolic_bp='missing', diastolic_bp=300, bmi=999.9, cholesterol=-50, and duplicate IDs P003 and P007. Cross-field inconsistencies occur in P008 and P022 where BMI does not match height/weight, and date/age violations occur in P005, P011, and P019.</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(b) As shown in STEP 2 and STEP 3 of output.log, the LLM underperformed in outlier detection (1 remaining) and date/age validation (3 remaining), while the programmatic pipeline reduced both to zero. This occurs because LLMs process CSVs as token sequences rather than structured tables. Outlier detection requires distribution-based reasoning (IQR), and date validation requires arithmetic across columns, both of which must be inferred rather than executed, making failures likely.</w:t>
      </w:r>
    </w:p>
    <w:p>
      <w:pPr>
        <w:pStyle w:val="Body"/>
        <w:spacing w:after="200" w:line="276" w:lineRule="auto"/>
        <w:rPr>
          <w:rFonts w:ascii="Cambria" w:cs="Cambria" w:hAnsi="Cambria" w:eastAsia="Cambria"/>
          <w:sz w:val="22"/>
          <w:szCs w:val="22"/>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2. Missing Value Detection</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(a) The programmatic pipeline detected 17 missing values across multiple representations, including NaN, 'NA', 'NULL', 'missing', and empty strings (STEP 1 output). For example, 'NULL' appears in weight_kg, 'missing' appears in systolic_bp, and 'NA' appears in age. The LLM does not explicitly enumerate these representations; instead, it interprets missingness semantically. As a result, it may inconsistently detect or normalize different string encodings of missing data.</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(b) After cleaning, the programmatic dataset retains 5 missing values, while the LLM-cleaned dataset retains 2 (STEP 2 output). The programmatic pipeline preserves MNAR-related missing cholesterol values rather than imputing them, whereas the LLM resolves more missing values without preserving structure. This indicates that LLM-based cleaning lacks auditability and reproducibility, which are critical in production pipelines.</w:t>
      </w:r>
    </w:p>
    <w:p>
      <w:pPr>
        <w:pStyle w:val="Body"/>
        <w:spacing w:after="200" w:line="276" w:lineRule="auto"/>
        <w:rPr>
          <w:rFonts w:ascii="Cambria" w:cs="Cambria" w:hAnsi="Cambria" w:eastAsia="Cambria"/>
          <w:sz w:val="22"/>
          <w:szCs w:val="22"/>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3. Scalability</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(a) Functions such as detect_missing_value_variants() and detect_duplicate_ids() will scale effectively to 100,000 rows because they rely on vectorized operations. However, detect_outliers() may produce different results at scale because quartile thresholds shift as dataset size and distribution change.</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(b) Given the 16,385 token limit and estimated usage, approximately 160</w:t>
      </w:r>
      <w:r>
        <w:rPr>
          <w:rFonts w:ascii="Cambria" w:hAnsi="Cambria" w:hint="default"/>
          <w:sz w:val="22"/>
          <w:szCs w:val="22"/>
          <w:rtl w:val="0"/>
        </w:rPr>
        <w:t>–</w:t>
      </w:r>
      <w:r>
        <w:rPr>
          <w:rFonts w:ascii="Cambria" w:hAnsi="Cambria"/>
          <w:sz w:val="22"/>
          <w:szCs w:val="22"/>
          <w:rtl w:val="0"/>
          <w:lang w:val="en-US"/>
        </w:rPr>
        <w:t>170 rows can be processed per API call. When this limit is exceeded, the request fails or must be truncated. Splitting into batches introduces issues such as inconsistent duplicate detection across batches and loss of global statistical context.</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(c) A hybrid architecture is optimal: programmatic methods should handle deterministic tasks such as outlier detection, invalid value filtering, duplicate removal, cross-field validation, and date/age checks (as these were fully resolved in STEP 2), while LLMs should handle semantic tasks such as formatting standardization and type normalization.</w:t>
      </w:r>
    </w:p>
    <w:p>
      <w:pPr>
        <w:pStyle w:val="Body"/>
        <w:spacing w:after="200" w:line="276" w:lineRule="auto"/>
        <w:rPr>
          <w:rFonts w:ascii="Cambria" w:cs="Cambria" w:hAnsi="Cambria" w:eastAsia="Cambria"/>
          <w:sz w:val="22"/>
          <w:szCs w:val="22"/>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4. Few-Shot vs Zero-Shot</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(a) To evaluate few-shot effectiveness, remove the examples from the prompt (zero-shot) while keeping all other parameters constant. Run both configurations at least five times and compare metrics from STEP 2, including residual issue counts, rows removed, and consistency across runs.</w:t>
      </w:r>
    </w:p>
    <w:p>
      <w:pPr>
        <w:pStyle w:val="Body"/>
        <w:spacing w:after="200" w:line="276" w:lineRule="auto"/>
        <w:rPr>
          <w:rFonts w:ascii="Cambria" w:cs="Cambria" w:hAnsi="Cambria" w:eastAsia="Cambria"/>
          <w:sz w:val="22"/>
          <w:szCs w:val="22"/>
        </w:rPr>
      </w:pPr>
      <w:r>
        <w:rPr>
          <w:rFonts w:ascii="Cambria" w:hAnsi="Cambria"/>
          <w:sz w:val="22"/>
          <w:szCs w:val="22"/>
          <w:rtl w:val="0"/>
          <w:lang w:val="en-US"/>
        </w:rPr>
        <w:t>(b) Few-shot prompting is preferred because it improves output format determinism, which is critical for downstream parsing, and provides behavioral stability across runs by anchoring the model to examples. Zero-shot prompting may be preferred when minimizing token cost and latency is critical in high-throughput systems.</w:t>
      </w:r>
    </w:p>
    <w:p>
      <w:pPr>
        <w:pStyle w:val="Body"/>
        <w:spacing w:after="200" w:line="276" w:lineRule="auto"/>
        <w:rPr>
          <w:rFonts w:ascii="Cambria" w:cs="Cambria" w:hAnsi="Cambria" w:eastAsia="Cambria"/>
          <w:sz w:val="22"/>
          <w:szCs w:val="22"/>
        </w:rPr>
      </w:pPr>
    </w:p>
    <w:p>
      <w:pPr>
        <w:pStyle w:val="Body"/>
        <w:spacing w:after="200" w:line="276" w:lineRule="auto"/>
        <w:rPr>
          <w:rFonts w:ascii="Cambria" w:cs="Cambria" w:hAnsi="Cambria" w:eastAsia="Cambria"/>
          <w:sz w:val="22"/>
          <w:szCs w:val="22"/>
        </w:rPr>
      </w:pPr>
      <w:r>
        <w:rPr>
          <w:rFonts w:ascii="Cambria" w:hAnsi="Cambria"/>
          <w:sz w:val="22"/>
          <w:szCs w:val="22"/>
          <w:rtl w:val="0"/>
          <w:lang w:val="it-IT"/>
        </w:rPr>
        <w:t>Conclusion</w:t>
      </w:r>
    </w:p>
    <w:p>
      <w:pPr>
        <w:pStyle w:val="Body"/>
        <w:spacing w:after="200" w:line="276" w:lineRule="auto"/>
      </w:pPr>
      <w:r>
        <w:rPr>
          <w:rFonts w:ascii="Cambria" w:hAnsi="Cambria"/>
          <w:sz w:val="22"/>
          <w:szCs w:val="22"/>
          <w:rtl w:val="0"/>
          <w:lang w:val="en-US"/>
        </w:rPr>
        <w:t>The results demonstrate that LLMs are effective for semantic normalization but unreliable for deterministic validation tasks. As evidenced by unresolved outliers and date inconsistencies in STEP 2, programmatic methods remain essential for correctness and reproducibility. A hybrid approach provides the most robust solution.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