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Grading Rubric</w:t>
      </w:r>
    </w:p>
    <w:p>
      <w:pPr>
        <w:spacing w:after="300"/>
        <w:jc w:val="center"/>
      </w:pPr>
      <w:r>
        <w:rPr>
          <w:i/>
          <w:iCs/>
          <w:color w:val="444444"/>
          <w:sz w:val="24"/>
          <w:szCs w:val="24"/>
        </w:rPr>
        <w:t xml:space="preserve">Financial Sentiment: Classical ML vs. Generative SLM (Phi-3-mini)</w:t>
      </w:r>
    </w:p>
    <w:p>
      <w:pPr>
        <w:spacing w:after="120"/>
      </w:pPr>
      <w:r>
        <w:rPr>
          <w:i/>
          <w:iCs/>
          <w:color w:val="666666"/>
        </w:rPr>
        <w:t xml:space="preserve">Total: 100 points across five components. The scoring bands below provide narrative descriptors; point allocations come from the per-component criteria tables. The Appendix reproduces strong and weak examples from the assignment itself, ordered by section.</w:t>
      </w:r>
    </w:p>
    <w:p>
      <w:pPr>
        <w:pStyle w:val="Heading1"/>
      </w:pPr>
      <w:r>
        <w:t xml:space="preserve">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60"/>
      </w:tblGrid>
      <w:tr>
        <w:tc>
          <w:tcPr>
            <w:tcW w:type="dxa" w:w="52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w:t>
            </w:r>
          </w:p>
        </w:tc>
        <w:tc>
          <w:tcPr>
            <w:tcW w:type="dxa" w:w="14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Points</w:t>
            </w:r>
          </w:p>
        </w:tc>
        <w:tc>
          <w:tcPr>
            <w:tcW w:type="dxa" w:w="27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Location</w:t>
            </w:r>
          </w:p>
        </w:tc>
      </w:tr>
      <w:tr>
        <w:tc>
          <w:tcPr>
            <w:tcW w:type="dxa" w:w="5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Task 3A — Prompt design + iteration log</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20</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iCs/>
                <w:color w:val="555555"/>
              </w:rPr>
              <w:t xml:space="preserve">Part 3, Task 3A</w:t>
            </w:r>
          </w:p>
        </w:tc>
      </w:tr>
      <w:tr>
        <w:tc>
          <w:tcPr>
            <w:tcW w:type="dxa" w:w="5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Task 3B — Output parser</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10</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iCs/>
                <w:color w:val="555555"/>
              </w:rPr>
              <w:t xml:space="preserve">Part 3, Task 3B</w:t>
            </w:r>
          </w:p>
        </w:tc>
      </w:tr>
      <w:tr>
        <w:tc>
          <w:tcPr>
            <w:tcW w:type="dxa" w:w="5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Task 4.4 — Original annotation dimension</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20</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iCs/>
                <w:color w:val="555555"/>
              </w:rPr>
              <w:t xml:space="preserve">Part 4, Task 4.4</w:t>
            </w:r>
          </w:p>
        </w:tc>
      </w:tr>
      <w:tr>
        <w:tc>
          <w:tcPr>
            <w:tcW w:type="dxa" w:w="5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Tasks 4.5 + 4.7 — Annotation prose</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20</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iCs/>
                <w:color w:val="555555"/>
              </w:rPr>
              <w:t xml:space="preserve">Part 4, Tasks 4.5 &amp; 4.7</w:t>
            </w:r>
          </w:p>
        </w:tc>
      </w:tr>
      <w:tr>
        <w:tc>
          <w:tcPr>
            <w:tcW w:type="dxa" w:w="52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Written report (Word doc)</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30</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iCs/>
                <w:color w:val="555555"/>
              </w:rPr>
              <w:t xml:space="preserve">Report template</w:t>
            </w:r>
          </w:p>
        </w:tc>
      </w:tr>
      <w:tr>
        <w:tc>
          <w:tcPr>
            <w:tcW w:type="dxa" w:w="52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TOTAL</w:t>
            </w:r>
          </w:p>
        </w:tc>
        <w:tc>
          <w:tcPr>
            <w:tcW w:type="dxa" w:w="14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100</w:t>
            </w:r>
          </w:p>
        </w:tc>
        <w:tc>
          <w:tcPr>
            <w:tcW w:type="dxa" w:w="2760"/>
            <w:tcBorders>
              <w:top w:val="single" w:color="BBBBBB" w:sz="1"/>
              <w:left w:val="single" w:color="BBBBBB" w:sz="1"/>
              <w:bottom w:val="single" w:color="BBBBBB" w:sz="1"/>
              <w:right w:val="single" w:color="BBBBBB" w:sz="1"/>
            </w:tcBorders>
            <w:shd w:fill="F5F5DC" w:val="clear"/>
            <w:tcMar>
              <w:top w:type="dxa" w:w="100"/>
              <w:left w:type="dxa" w:w="140"/>
              <w:bottom w:type="dxa" w:w="100"/>
              <w:right w:type="dxa" w:w="140"/>
            </w:tcMar>
          </w:tcPr>
          <w:p>
            <w:r>
              <w:rPr>
                <w:b w:val="false"/>
                <w:bCs w:val="false"/>
                <w:i w:val="false"/>
                <w:iCs w:val="false"/>
                <w:color w:val="000000"/>
              </w:rPr>
              <w:t xml:space="preserve"/>
            </w:r>
          </w:p>
        </w:tc>
      </w:tr>
    </w:tbl>
    <w:p>
      <w:pPr>
        <w:spacing w:after="120"/>
      </w:pPr>
      <w:r>
        <w:t xml:space="preserve"/>
      </w:r>
    </w:p>
    <w:p>
      <w:pPr>
        <w:pStyle w:val="Heading1"/>
      </w:pPr>
      <w:r>
        <w:t xml:space="preserve">Scoring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Band</w:t>
            </w:r>
          </w:p>
        </w:tc>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Meaning</w:t>
            </w:r>
          </w:p>
        </w:tc>
      </w:tr>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Exemplary</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Meets every listed criterion with clear evidence. Reasoning is mechanism-linked and specific; work shows independent thought beyond the minimum.</w:t>
            </w:r>
          </w:p>
        </w:tc>
      </w:tr>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Proficient</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Meets most criteria. Minor gaps — e.g., one thin iteration, one weak note, or a hypothesis that's directional but light on mechanism.</w:t>
            </w:r>
          </w:p>
        </w:tc>
      </w:tr>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Developing</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Meets about half the criteria. The work is present but shallow: descriptive rather than analytical, or mechanism-free.</w:t>
            </w:r>
          </w:p>
        </w:tc>
      </w:tr>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Minimal</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Token effort. A stub filled in with generic language, default prompt unchanged, or notes that only restate the dimension flag.</w:t>
            </w:r>
          </w:p>
        </w:tc>
      </w:tr>
      <w:tr>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Not submitted</w:t>
            </w:r>
          </w:p>
        </w:tc>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Missing, unreadable, or copy-pasted from the starter without modification.</w:t>
            </w:r>
          </w:p>
        </w:tc>
      </w:tr>
    </w:tbl>
    <w:p>
      <w:pPr>
        <w:spacing w:after="120"/>
      </w:pPr>
      <w:r>
        <w:t xml:space="preserve"/>
      </w:r>
    </w:p>
    <w:p>
      <w:pPr>
        <w:pStyle w:val="Heading1"/>
      </w:pPr>
      <w:r>
        <w:t xml:space="preserve">1. Task 3A — Prompt design + iteration log (20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Criterion</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Max pts</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Final prompt achieves ≥65% accuracy on the 20-example Stage A dev set.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6</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Iteration log records ≥3 distinct prompt versions.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5</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Each iteration connects its change to a specific observed failure mode.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5</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Log identifies whether each fix was made in the prompt or the parser.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Final prompt is cleanly formatted and contains the `{sentence}` placeholder.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 subtotal — Task 3A</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20</w:t>
            </w:r>
          </w:p>
        </w:tc>
      </w:tr>
    </w:tbl>
    <w:p>
      <w:pPr>
        <w:spacing w:after="120"/>
      </w:pPr>
      <w:r>
        <w:t xml:space="preserve"/>
      </w:r>
    </w:p>
    <w:p>
      <w:pPr>
        <w:pStyle w:val="Heading1"/>
      </w:pPr>
      <w:r>
        <w:t xml:space="preserve">2. Task 3B — Output parser (10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Criterion</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Max pts</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Parser correctly labels every output in the final Stage A dev run.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5</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Parser handles at least one failure mode seen in Stage A output.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Parser is no longer than needed given the prompt's output constraints.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 subtotal — Task 3B</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10</w:t>
            </w:r>
          </w:p>
        </w:tc>
      </w:tr>
    </w:tbl>
    <w:p>
      <w:pPr>
        <w:spacing w:after="120"/>
      </w:pPr>
      <w:r>
        <w:t xml:space="preserve"/>
      </w:r>
    </w:p>
    <w:p>
      <w:pPr>
        <w:pStyle w:val="Heading1"/>
      </w:pPr>
      <w:r>
        <w:t xml:space="preserve">3. Task 4.4 — Original annotation dimension (20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Criterion</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Max pts</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Dimension is distinct from negation, hedging, and domain specificity.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4</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Hypothesis names which model is expected to be affected.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Hypothesis names a direction (helped, hurt, or same).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Hypothesis cites a model mechanism (architecture, features, or training data).</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5</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Term list contains ≥8 terms and is implemented as a working coder.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Term-list justification explains what was included vs. deliberately left out.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 subtotal — Task 4.4</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20</w:t>
            </w:r>
          </w:p>
        </w:tc>
      </w:tr>
    </w:tbl>
    <w:p>
      <w:pPr>
        <w:spacing w:after="120"/>
      </w:pPr>
      <w:r>
        <w:t xml:space="preserve"/>
      </w:r>
    </w:p>
    <w:p>
      <w:pPr>
        <w:pStyle w:val="Heading1"/>
      </w:pPr>
      <w:r>
        <w:t xml:space="preserve">4. Tasks 4.5 + 4.7 — Annotation prose (20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Criterion</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Max pts</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Notes include a mechanism-level explanation (15/20 = 6 pts, 18/20 = 7 pts, 20/20 = 8 pts).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8</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Notes reference the specific words or phrases in the sentence that drove the divergence.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4</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Notes are consistent with dimension flags, or the note explains any discrepancy.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Every Table 5 row has a non-trivial 1–2 sentence note.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At least one substantive note for each of the four dimensions.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 subtotal — Tasks 4.5 + 4.7</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20</w:t>
            </w:r>
          </w:p>
        </w:tc>
      </w:tr>
    </w:tbl>
    <w:p>
      <w:pPr>
        <w:spacing w:after="120"/>
      </w:pPr>
      <w:r>
        <w:t xml:space="preserve"/>
      </w:r>
    </w:p>
    <w:p>
      <w:pPr>
        <w:pStyle w:val="Heading1"/>
      </w:pPr>
      <w:r>
        <w:t xml:space="preserve">5. Written report (30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Criterion</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Max pts</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§1 describes both models with enough specificity to predict where each would struggle.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5</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 includes the final prompt verbatim and names ≥2 failure modes in the iteration summary.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6</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 states whether each fix was made in the prompt or the parser.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 restates the dimension name, hypothesis, and justification from the notebook.</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4</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 includes Tables 2–5 and the dimensional summary (−1 pt per missing table).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4</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 identifies the strongest-predictor dimension and notes the n=20 sample-size caveat.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 reports whether the hypothesis held and what the data showed.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§3 connects at least one observed pattern to a specific model mechanism.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2</w:t>
            </w:r>
          </w:p>
        </w:tc>
      </w:tr>
      <w:tr>
        <w:tc>
          <w:tcPr>
            <w:tcW w:type="dxa" w:w="756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Report length is 2–3 pages, tables inclusive.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r>
              <w:rPr>
                <w:b w:val="false"/>
                <w:bCs w:val="false"/>
                <w:i w:val="false"/>
                <w:iCs w:val="false"/>
                <w:color w:val="000000"/>
              </w:rPr>
              <w:t xml:space="preserve">1</w:t>
            </w:r>
          </w:p>
        </w:tc>
      </w:tr>
      <w:tr>
        <w:tc>
          <w:tcPr>
            <w:tcW w:type="dxa" w:w="756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Component subtotal — Report</w:t>
            </w:r>
          </w:p>
        </w:tc>
        <w:tc>
          <w:tcPr>
            <w:tcW w:type="dxa" w:w="1800"/>
            <w:tcBorders>
              <w:top w:val="single" w:color="BBBBBB" w:sz="1"/>
              <w:left w:val="single" w:color="BBBBBB" w:sz="1"/>
              <w:bottom w:val="single" w:color="BBBBBB" w:sz="1"/>
              <w:right w:val="single" w:color="BBBBBB" w:sz="1"/>
            </w:tcBorders>
            <w:shd w:fill="E8EEF4" w:val="clear"/>
            <w:tcMar>
              <w:top w:type="dxa" w:w="100"/>
              <w:left w:type="dxa" w:w="140"/>
              <w:bottom w:type="dxa" w:w="100"/>
              <w:right w:type="dxa" w:w="140"/>
            </w:tcMar>
          </w:tcPr>
          <w:p>
            <w:r>
              <w:rPr>
                <w:b/>
                <w:bCs/>
                <w:i w:val="false"/>
                <w:iCs w:val="false"/>
                <w:color w:val="000000"/>
              </w:rPr>
              <w:t xml:space="preserve">30</w:t>
            </w:r>
          </w:p>
        </w:tc>
      </w:tr>
    </w:tbl>
    <w:p>
      <w:pPr>
        <w:spacing w:after="120"/>
      </w:pPr>
      <w:r>
        <w:t xml:space="preserve"/>
      </w:r>
    </w:p>
    <w:p>
      <w:r>
        <w:br w:type="page"/>
      </w:r>
    </w:p>
    <w:p>
      <w:pPr>
        <w:pStyle w:val="Heading1"/>
      </w:pPr>
      <w:r>
        <w:t xml:space="preserve">Appendix — Strong / weak examples by assignment section</w:t>
      </w:r>
    </w:p>
    <w:p>
      <w:pPr>
        <w:spacing w:after="120"/>
      </w:pPr>
      <w:r>
        <w:rPr>
          <w:i/>
          <w:iCs/>
          <w:color w:val="666666"/>
        </w:rPr>
        <w:t xml:space="preserve">All example text below is reproduced verbatim from the assignment notebook so that students and graders are looking at the exact same standard. Examples are ordered by the assignment section in which they appear.</w:t>
      </w:r>
    </w:p>
    <w:p>
      <w:pPr>
        <w:pStyle w:val="Heading2"/>
      </w:pPr>
      <w:r>
        <w:t xml:space="preserve">Task 3A — Prompt design</w:t>
      </w:r>
    </w:p>
    <w:p>
      <w:pPr>
        <w:spacing w:after="120"/>
      </w:pPr>
      <w:r>
        <w:rPr>
          <w:i/>
          <w:iCs/>
          <w:color w:val="666666"/>
        </w:rPr>
        <w:t xml:space="preserve">From the assignment: "Tips (not a checklist — pick what's relevant to what you observe)". The assignment itself does not provide strong/weak example prompts; the guidance comes from the tips list. A prompt is judged strong or weak by whether the iteration log ties each change to a named failure mode.</w:t>
      </w:r>
    </w:p>
    <w:p>
      <w:pPr>
        <w:spacing w:after="120"/>
      </w:pPr>
      <w:r>
        <w:t xml:space="preserve">Tips that the assignment offers as prompt-improvement moves:</w:t>
      </w:r>
    </w:p>
    <w:p>
      <w:pPr>
        <w:spacing w:after="120"/>
      </w:pPr>
      <w:r>
        <w:rPr>
          <w:color w:val="333333"/>
        </w:rPr>
        <w:t xml:space="preserve">•  Constrain the output format (e.g., "Respond with exactly one word: positive, neutral, or negative.")</w:t>
      </w:r>
    </w:p>
    <w:p>
      <w:pPr>
        <w:spacing w:after="120"/>
      </w:pPr>
      <w:r>
        <w:rPr>
          <w:color w:val="333333"/>
        </w:rPr>
        <w:t xml:space="preserve">•  Add 1–3 few-shot examples with diverse labels.</w:t>
      </w:r>
    </w:p>
    <w:p>
      <w:pPr>
        <w:spacing w:after="120"/>
      </w:pPr>
      <w:r>
        <w:rPr>
          <w:color w:val="333333"/>
        </w:rPr>
        <w:t xml:space="preserve">•  Add a role or domain frame (e.g., "You are a financial analyst...").</w:t>
      </w:r>
    </w:p>
    <w:p>
      <w:pPr>
        <w:spacing w:after="120"/>
      </w:pPr>
      <w:r>
        <w:rPr>
          <w:color w:val="333333"/>
        </w:rPr>
        <w:t xml:space="preserve">•  Specify how to handle ambiguity explicitly.</w:t>
      </w:r>
    </w:p>
    <w:p>
      <w:pPr>
        <w:spacing w:after="120"/>
      </w:pPr>
      <w:r>
        <w:rPr>
          <w:color w:val="333333"/>
        </w:rPr>
        <w:t xml:space="preserve">•  Tell the model what NOT to do (don't explain, don't hedge).</w:t>
      </w:r>
    </w:p>
    <w:p>
      <w:pPr>
        <w:pStyle w:val="Heading2"/>
      </w:pPr>
      <w:r>
        <w:t xml:space="preserve">Task 3B — Output parser</w:t>
      </w:r>
    </w:p>
    <w:p>
      <w:pPr>
        <w:spacing w:after="120"/>
      </w:pPr>
      <w:r>
        <w:rPr>
          <w:i/>
          <w:iCs/>
          <w:color w:val="666666"/>
        </w:rPr>
        <w:t xml:space="preserve">The assignment highlights one specific failure mode of the v0 parser and tells students to address it either in the parser or upstream in the prompt.</w:t>
      </w:r>
    </w:p>
    <w:p>
      <w:pPr>
        <w:spacing w:after="120"/>
      </w:pPr>
      <w:r>
        <w:rPr>
          <w:color w:val="333333"/>
        </w:rPr>
        <w:t xml:space="preserve">The known v0 failure: "if the model says 'not positive' it matches 'positive'."</w:t>
      </w:r>
    </w:p>
    <w:p>
      <w:pPr>
        <w:spacing w:after="120"/>
      </w:pPr>
      <w:r>
        <w:t xml:space="preserve">A strong response fixes this with a minimal change (prompt constraint, or a small rule-out check) and explains the choice. A weak response rewrites the parser into a large regex tower that is harder to reason about than the prompt was.</w:t>
      </w:r>
    </w:p>
    <w:p>
      <w:pPr>
        <w:pStyle w:val="Heading2"/>
      </w:pPr>
      <w:r>
        <w:t xml:space="preserve">Task 4.4 — Original annotation dimension</w:t>
      </w:r>
    </w:p>
    <w:p>
      <w:pPr>
        <w:spacing w:after="120"/>
      </w:pPr>
      <w:r>
        <w:rPr>
          <w:i/>
          <w:iCs/>
          <w:color w:val="666666"/>
        </w:rPr>
        <w:t xml:space="preserve">Four examples are given verbatim in the assignment: one strong and three weak.</w:t>
      </w:r>
    </w:p>
    <w:p>
      <w:pPr>
        <w:shd w:fill="E8F5E9" w:val="clear"/>
        <w:spacing w:after="0" w:before="80"/>
      </w:pPr>
      <w:r>
        <w:rPr>
          <w:b/>
          <w:bCs/>
          <w:color w:val="1B5E20"/>
        </w:rPr>
        <w:t xml:space="preserve">STRONG example — Forward-looking / guidance language</w:t>
      </w:r>
    </w:p>
    <w:p>
      <w:pPr>
        <w:shd w:fill="E8F5E9" w:val="clear"/>
        <w:spacing w:after="0"/>
      </w:pPr>
      <w:r>
        <w:rPr>
          <w:color w:val="333333"/>
        </w:rPr>
        <w:t xml:space="preserve">Forward-looking / guidance language (`will`, `forecast`, `projected`, `guidance`, `outlook`). Hypothesis: Phi-3 will handle these better because its pretraining corpus includes large volumes of forward-looking financial text where sentiment is inferred from the direction of the projection, while LR treats forward-looking words as sparse, high-dimensional features with little signal.</w:t>
      </w:r>
    </w:p>
    <w:p>
      <w:pPr>
        <w:shd w:fill="E8F5E9" w:val="clear"/>
        <w:spacing w:after="160"/>
      </w:pPr>
      <w:r>
        <w:rPr>
          <w:i/>
          <w:iCs/>
          <w:color w:val="1B5E20"/>
        </w:rPr>
        <w:t xml:space="preserve">→ Named, testable, mechanism-linked, operationalizable.</w:t>
      </w:r>
    </w:p>
    <w:p>
      <w:pPr>
        <w:shd w:fill="FFEBEE" w:val="clear"/>
        <w:spacing w:after="0" w:before="80"/>
      </w:pPr>
      <w:r>
        <w:rPr>
          <w:b/>
          <w:bCs/>
          <w:color w:val="B71C1C"/>
        </w:rPr>
        <w:t xml:space="preserve">WEAK example 1 — Complex sentences</w:t>
      </w:r>
    </w:p>
    <w:p>
      <w:pPr>
        <w:shd w:fill="FFEBEE" w:val="clear"/>
        <w:spacing w:after="0"/>
      </w:pPr>
      <w:r>
        <w:rPr>
          <w:color w:val="333333"/>
        </w:rPr>
        <w:t xml:space="preserve">Complex sentences. Hypothesis: complex sentences are harder.</w:t>
      </w:r>
    </w:p>
    <w:p>
      <w:pPr>
        <w:shd w:fill="FFEBEE" w:val="clear"/>
        <w:spacing w:after="160"/>
      </w:pPr>
      <w:r>
        <w:rPr>
          <w:i/>
          <w:iCs/>
          <w:color w:val="B71C1C"/>
        </w:rPr>
        <w:t xml:space="preserve">→ Not operationalizable, not mechanism-linked, tautological.</w:t>
      </w:r>
    </w:p>
    <w:p>
      <w:pPr>
        <w:shd w:fill="FFEBEE" w:val="clear"/>
        <w:spacing w:after="0" w:before="80"/>
      </w:pPr>
      <w:r>
        <w:rPr>
          <w:b/>
          <w:bCs/>
          <w:color w:val="B71C1C"/>
        </w:rPr>
        <w:t xml:space="preserve">WEAK example 2 — Negation combined with hedging</w:t>
      </w:r>
    </w:p>
    <w:p>
      <w:pPr>
        <w:shd w:fill="FFEBEE" w:val="clear"/>
        <w:spacing w:after="0"/>
      </w:pPr>
      <w:r>
        <w:rPr>
          <w:color w:val="333333"/>
        </w:rPr>
        <w:t xml:space="preserve">Negation combined with hedging. Hypothesis: this combination is especially hard.</w:t>
      </w:r>
    </w:p>
    <w:p>
      <w:pPr>
        <w:shd w:fill="FFEBEE" w:val="clear"/>
        <w:spacing w:after="160"/>
      </w:pPr>
      <w:r>
        <w:rPr>
          <w:i/>
          <w:iCs/>
          <w:color w:val="B71C1C"/>
        </w:rPr>
        <w:t xml:space="preserve">→ Not distinct from the required dimensions.</w:t>
      </w:r>
    </w:p>
    <w:p>
      <w:pPr>
        <w:shd w:fill="FFEBEE" w:val="clear"/>
        <w:spacing w:after="0" w:before="80"/>
      </w:pPr>
      <w:r>
        <w:rPr>
          <w:b/>
          <w:bCs/>
          <w:color w:val="B71C1C"/>
        </w:rPr>
        <w:t xml:space="preserve">WEAK example 3 — Use of numbers</w:t>
      </w:r>
    </w:p>
    <w:p>
      <w:pPr>
        <w:shd w:fill="FFEBEE" w:val="clear"/>
        <w:spacing w:after="0"/>
      </w:pPr>
      <w:r>
        <w:rPr>
          <w:color w:val="333333"/>
        </w:rPr>
        <w:t xml:space="preserve">Use of numbers. Hypothesis: numbers confuse both models.</w:t>
      </w:r>
    </w:p>
    <w:p>
      <w:pPr>
        <w:shd w:fill="FFEBEE" w:val="clear"/>
        <w:spacing w:after="160"/>
      </w:pPr>
      <w:r>
        <w:rPr>
          <w:i/>
          <w:iCs/>
          <w:color w:val="B71C1C"/>
        </w:rPr>
        <w:t xml:space="preserve">→ Operationalizable but not mechanism-linked, and "confuse both models" isn't a directional prediction.</w:t>
      </w:r>
    </w:p>
    <w:p>
      <w:pPr>
        <w:pStyle w:val="Heading2"/>
      </w:pPr>
      <w:r>
        <w:t xml:space="preserve">Task 4.5 — Hand-annotation notes</w:t>
      </w:r>
    </w:p>
    <w:p>
      <w:pPr>
        <w:spacing w:after="120"/>
      </w:pPr>
      <w:r>
        <w:rPr>
          <w:i/>
          <w:iCs/>
          <w:color w:val="666666"/>
        </w:rPr>
        <w:t xml:space="preserve">The assignment provides one good and one weak note as anchors for what mechanism-linked prose looks like.</w:t>
      </w:r>
    </w:p>
    <w:p>
      <w:pPr>
        <w:shd w:fill="E8F5E9" w:val="clear"/>
        <w:spacing w:after="0" w:before="80"/>
      </w:pPr>
      <w:r>
        <w:rPr>
          <w:b/>
          <w:bCs/>
          <w:color w:val="1B5E20"/>
        </w:rPr>
        <w:t xml:space="preserve">GOOD note — mechanism-linked</w:t>
      </w:r>
    </w:p>
    <w:p>
      <w:pPr>
        <w:shd w:fill="E8F5E9" w:val="clear"/>
        <w:spacing w:after="0"/>
      </w:pPr>
      <w:r>
        <w:rPr>
          <w:color w:val="333333"/>
        </w:rPr>
        <w:t xml:space="preserve">The word 'not' flips the sentiment of 'profitable' but TF-IDF treats the two as independent features. LR would need to have learned the specific bigram 'not profitable' during training to get this; it apparently hasn't, so it defaults to positive cues elsewhere in the sentence. Phi-3 attends from 'not' to 'profitable' in the same layer and correctly produces 'negative'.</w:t>
      </w:r>
    </w:p>
    <w:p>
      <w:pPr>
        <w:shd w:fill="E8F5E9" w:val="clear"/>
        <w:spacing w:after="160"/>
      </w:pPr>
      <w:r>
        <w:rPr>
          <w:i/>
          <w:iCs/>
          <w:color w:val="1B5E20"/>
        </w:rPr>
        <w:t xml:space="preserve">→ References specific words ("not", "profitable"), names two model mechanisms (feature independence, attention), predicts each model's behavior.</w:t>
      </w:r>
    </w:p>
    <w:p>
      <w:pPr>
        <w:shd w:fill="FFEBEE" w:val="clear"/>
        <w:spacing w:after="0" w:before="80"/>
      </w:pPr>
      <w:r>
        <w:rPr>
          <w:b/>
          <w:bCs/>
          <w:color w:val="B71C1C"/>
        </w:rPr>
        <w:t xml:space="preserve">WEAK note — descriptive only</w:t>
      </w:r>
    </w:p>
    <w:p>
      <w:pPr>
        <w:shd w:fill="FFEBEE" w:val="clear"/>
        <w:spacing w:after="0"/>
      </w:pPr>
      <w:r>
        <w:rPr>
          <w:color w:val="333333"/>
        </w:rPr>
        <w:t xml:space="preserve">The sentence has negation. LR got it wrong.</w:t>
      </w:r>
    </w:p>
    <w:p>
      <w:pPr>
        <w:shd w:fill="FFEBEE" w:val="clear"/>
        <w:spacing w:after="160"/>
      </w:pPr>
      <w:r>
        <w:rPr>
          <w:i/>
          <w:iCs/>
          <w:color w:val="B71C1C"/>
        </w:rPr>
        <w:t xml:space="preserve">→ Restates the dimension flag and the outcome. No mechanism. No specific words.</w:t>
      </w:r>
    </w:p>
    <w:p>
      <w:pPr>
        <w:pStyle w:val="Heading2"/>
      </w:pPr>
      <w:r>
        <w:t xml:space="preserve">Task 4.7 — Table 5 prose</w:t>
      </w:r>
    </w:p>
    <w:p>
      <w:pPr>
        <w:spacing w:after="120"/>
      </w:pPr>
      <w:r>
        <w:rPr>
          <w:i/>
          <w:iCs/>
          <w:color w:val="666666"/>
        </w:rPr>
        <w:t xml:space="preserve">Task 4.7 uses the same mechanism-linked standard as Task 4.5; no separate examples are in the assignment. Three rules to apply when grading Table 5 notes:</w:t>
      </w:r>
    </w:p>
    <w:p>
      <w:pPr>
        <w:spacing w:after="120"/>
      </w:pPr>
      <w:r>
        <w:t xml:space="preserve">1. Every row has a note that is 1–2 sentences and non-trivial.</w:t>
      </w:r>
    </w:p>
    <w:p>
      <w:pPr>
        <w:spacing w:after="120"/>
      </w:pPr>
      <w:r>
        <w:t xml:space="preserve">2. Each note references its row's Pattern label (Negation / Hedging / Domain Specificity / [student's original dimension]).</w:t>
      </w:r>
    </w:p>
    <w:p>
      <w:pPr>
        <w:spacing w:after="120"/>
      </w:pPr>
      <w:r>
        <w:t xml:space="preserve">3. Each note is consistent with the student's Task 4.5 notes — if a sentence appears in both, the prose should not contradict itself.</w:t>
      </w:r>
    </w:p>
    <w:p>
      <w:pPr>
        <w:spacing w:after="120"/>
      </w:pPr>
      <w:r>
        <w:t xml:space="preserve"/>
      </w:r>
    </w:p>
    <w:p>
      <w:pPr>
        <w:spacing w:after="120"/>
      </w:pPr>
      <w:r>
        <w:rPr>
          <w:i/>
          <w:iCs/>
          <w:color w:val="666666"/>
        </w:rPr>
        <w:t xml:space="preserve">End of rubric. Total: 100 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Phi-3 Sentiment Analysis — Grading Rubric</dc:title>
  <dc:creator>Grading Rubric</dc:creator>
  <cp:lastModifiedBy>Un-named</cp:lastModifiedBy>
  <cp:revision>1</cp:revision>
  <dcterms:created xsi:type="dcterms:W3CDTF">2026-04-18T13:50:45.252Z</dcterms:created>
  <dcterms:modified xsi:type="dcterms:W3CDTF">2026-04-18T13:50:45.253Z</dcterms:modified>
</cp:coreProperties>
</file>

<file path=docProps/custom.xml><?xml version="1.0" encoding="utf-8"?>
<Properties xmlns="http://schemas.openxmlformats.org/officeDocument/2006/custom-properties" xmlns:vt="http://schemas.openxmlformats.org/officeDocument/2006/docPropsVTypes"/>
</file>