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before="1400"/>
      </w:pPr>
      <w:r>
        <w:t xml:space="preserve">Power Platform governance and engineering example</w:t>
      </w:r>
    </w:p>
    <w:p>
      <w:pPr>
        <w:spacing w:after="120"/>
      </w:pPr>
      <w:r>
        <w:t xml:space="preserve">Example Council digital services</w:t>
      </w:r>
    </w:p>
    <w:p>
      <w:pPr>
        <w:spacing w:after="120"/>
      </w:pPr>
      <w:r>
        <w:t xml:space="preserve">An editable example framework. This is not a certified assessment or a reproduction of a proprietary maturity model.</w:t>
      </w:r>
    </w:p>
    <w:p>
      <w:pPr>
        <w:spacing w:after="120"/>
      </w:pPr>
      <w:r>
        <w:t xml:space="preserve">Assessment date: 2026-10-20</w:t>
      </w:r>
      <w:r>
        <w:br/>
        <w:t xml:space="preserve">Owner: Platform architecture team</w:t>
      </w:r>
      <w:r>
        <w:br/>
        <w:t xml:space="preserve">Version: 1.0</w:t>
      </w:r>
      <w:r>
        <w:br/>
        <w:t xml:space="preserve">Framework: Power Platform maturity · illustrative example framework</w:t>
      </w:r>
      <w:r>
        <w:br/>
        <w:t xml:space="preserve">Review date: 2027-01-20</w:t>
      </w:r>
    </w:p>
    <w:p>
      <w:pPr>
        <w:spacing w:after="120"/>
      </w:pPr>
      <w:r>
        <w:t xml:space="preserve">Mightora Maturity Assessment</w:t>
      </w:r>
    </w:p>
    <w:p>
      <w:r>
        <w:br w:type="page"/>
      </w:r>
    </w:p>
    <w:p>
      <w:pPr>
        <w:pStyle w:val="Heading1"/>
        <w:keepNext/>
        <w:spacing w:after="140" w:before="260"/>
      </w:pPr>
      <w:r>
        <w:t xml:space="preserve">Contents</w:t>
      </w:r>
    </w:p>
    <w:sdt>
      <w:sdtPr>
        <w:alias w:val="Contents"/>
      </w:sdtPr>
      <w:sdtContent>
        <w:p>
          <w:r>
            <w:fldChar w:fldCharType="begin" w:dirty="true"/>
            <w:instrText xml:space="preserve">TOC \h \o "1-2"</w:instrText>
            <w:fldChar w:fldCharType="separate"/>
          </w:r>
        </w:p>
        <w:p>
          <w:pPr>
            <w:pStyle w:val="TOC1"/>
            <w:spacing w:after="140"/>
          </w:pPr>
          <w:r>
            <w:t>Executive summary</w:t>
          </w:r>
        </w:p>
        <w:p>
          <w:pPr>
            <w:pStyle w:val="TOC1"/>
            <w:spacing w:after="140"/>
          </w:pPr>
          <w:r>
            <w:t>Assessment methodology</w:t>
          </w:r>
        </w:p>
        <w:p>
          <w:pPr>
            <w:pStyle w:val="TOC1"/>
            <w:spacing w:after="140"/>
          </w:pPr>
          <w:r>
            <w:t>Domain overview</w:t>
          </w:r>
        </w:p>
        <w:p>
          <w:pPr>
            <w:pStyle w:val="TOC1"/>
            <w:spacing w:after="140"/>
          </w:pPr>
          <w:r>
            <w:t>Editable maturity comparison</w:t>
          </w:r>
        </w:p>
        <w:p>
          <w:pPr>
            <w:pStyle w:val="TOC1"/>
            <w:spacing w:after="140"/>
          </w:pPr>
          <w:r>
            <w:t>Improvement roadmap</w:t>
          </w:r>
        </w:p>
        <w:p>
          <w:pPr>
            <w:pStyle w:val="TOC1"/>
            <w:spacing w:after="140"/>
          </w:pPr>
          <w:r>
            <w:t>Historical comparison</w:t>
          </w:r>
        </w:p>
        <w:p>
          <w:pPr>
            <w:pStyle w:val="TOC1"/>
            <w:spacing w:after="140"/>
          </w:pPr>
          <w:r>
            <w:t>Capability evidence and recommendations</w:t>
          </w:r>
        </w:p>
        <w:p>
          <w:pPr>
            <w:pStyle w:val="TOC1"/>
            <w:spacing w:after="140"/>
          </w:pPr>
          <w:r>
            <w:t>Appendix framework guidance</w:t>
          </w:r>
        </w:p>
        <w:p>
          <w:pPr>
            <w:pStyle w:val="TOC1"/>
            <w:spacing w:after="140"/>
          </w:pPr>
          <w:r>
            <w:t>Appendix stable capability identifiers</w:t>
          </w:r>
        </w:p>
        <w:p>
          <w:r>
            <w:fldChar w:fldCharType="end"/>
          </w:r>
        </w:p>
      </w:sdtContent>
    </w:sdt>
    <w:p>
      <w:pPr>
        <w:spacing w:after="120"/>
      </w:pPr>
      <w:r>
        <w:t xml:space="preserve">In Word, right-click the contents field and choose Update Field to refresh page numbers.</w:t>
      </w:r>
    </w:p>
    <w:p>
      <w:r>
        <w:br w:type="page"/>
      </w:r>
    </w:p>
    <w:p>
      <w:pPr>
        <w:pStyle w:val="Heading1"/>
        <w:keepNext/>
        <w:spacing w:after="140" w:before="260"/>
      </w:pPr>
      <w:r>
        <w:t xml:space="preserve">Executive summary</w:t>
      </w:r>
    </w:p>
    <w:p>
      <w:pPr>
        <w:spacing w:after="120"/>
      </w:pPr>
      <w:r>
        <w:t xml:space="preserve">12 of 12 capabilities have numeric current scores. Overall current maturity is 2.58 out of 5, with target maturity 4.67. 10 capabilities require attention based on recorded risks, high priority gaps or a gap of at least two levels. 0 capabilities are not applicable and 0 are not assessed.</w:t>
      </w:r>
    </w:p>
    <w:p>
      <w:pPr>
        <w:pStyle w:val="Heading1"/>
        <w:keepNext/>
        <w:spacing w:after="140" w:before="260"/>
      </w:pPr>
      <w:r>
        <w:t xml:space="preserve">Assessment methodology</w:t>
      </w:r>
    </w:p>
    <w:p>
      <w:pPr>
        <w:spacing w:after="120"/>
      </w:pPr>
      <w:r>
        <w:t xml:space="preserve">Arithmetic mean: sum(scored capability values) / number of scored capabilities. Current and target use their own scored populations. Not assessed and Not applicable are excluded, never zero. Gap = target − current for paired numeric scores only, and may be negative. Maturity levels are ordinal; averages are descriptive, not certification. Business priority, risk and context determine action order. Historical scores retain their original scales; compare changed scales with care.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6400"/>
      </w:tblGrid>
      <w:tr>
        <w:trPr>
          <w:cantSplit/>
          <w:tblHeader/>
        </w:trPr>
        <w:tc>
          <w:tcPr>
            <w:tcW w:type="dxa" w:w="900"/>
            <w:shd w:fill="E8EEF3" w:val="clear"/>
            <w:tcMar>
              <w:top w:type="dxa" w:w="100"/>
              <w:left w:type="dxa" w:w="100"/>
              <w:bottom w:type="dxa" w:w="100"/>
              <w:right w:type="dxa" w:w="100"/>
            </w:tcMar>
          </w:tcPr>
          <w:p>
            <w:pPr>
              <w:spacing w:after="40"/>
            </w:pPr>
            <w:r>
              <w:rPr>
                <w:b/>
                <w:bCs/>
                <w:color w:val="000000"/>
                <w:sz w:val="20"/>
                <w:szCs w:val="20"/>
              </w:rPr>
              <w:t xml:space="preserve">Level</w:t>
            </w:r>
          </w:p>
        </w:tc>
        <w:tc>
          <w:tcPr>
            <w:tcW w:type="dxa" w:w="1900"/>
            <w:shd w:fill="E8EEF3" w:val="clear"/>
            <w:tcMar>
              <w:top w:type="dxa" w:w="100"/>
              <w:left w:type="dxa" w:w="100"/>
              <w:bottom w:type="dxa" w:w="100"/>
              <w:right w:type="dxa" w:w="100"/>
            </w:tcMar>
          </w:tcPr>
          <w:p>
            <w:pPr>
              <w:spacing w:after="40"/>
            </w:pPr>
            <w:r>
              <w:rPr>
                <w:b/>
                <w:bCs/>
                <w:color w:val="000000"/>
                <w:sz w:val="20"/>
                <w:szCs w:val="20"/>
              </w:rPr>
              <w:t xml:space="preserve">Name</w:t>
            </w:r>
          </w:p>
        </w:tc>
        <w:tc>
          <w:tcPr>
            <w:tcW w:type="dxa" w:w="6400"/>
            <w:shd w:fill="E8EEF3" w:val="clear"/>
            <w:tcMar>
              <w:top w:type="dxa" w:w="100"/>
              <w:left w:type="dxa" w:w="100"/>
              <w:bottom w:type="dxa" w:w="100"/>
              <w:right w:type="dxa" w:w="100"/>
            </w:tcMar>
          </w:tcPr>
          <w:p>
            <w:pPr>
              <w:spacing w:after="40"/>
            </w:pPr>
            <w:r>
              <w:rPr>
                <w:b/>
                <w:bCs/>
                <w:color w:val="000000"/>
                <w:sz w:val="20"/>
                <w:szCs w:val="20"/>
              </w:rPr>
              <w:t xml:space="preserve">Definition</w:t>
            </w:r>
          </w:p>
        </w:tc>
      </w:tr>
      <w:tr>
        <w:trPr>
          <w:cantSplit/>
          <w:tblHeader w:val="false"/>
        </w:trPr>
        <w:tc>
          <w:tcPr>
            <w:tcW w:type="dxa" w:w="900"/>
            <w:tcMar>
              <w:top w:type="dxa" w:w="100"/>
              <w:left w:type="dxa" w:w="100"/>
              <w:bottom w:type="dxa" w:w="100"/>
              <w:right w:type="dxa" w:w="100"/>
            </w:tcMar>
          </w:tcPr>
          <w:p>
            <w:pPr>
              <w:spacing w:after="40"/>
            </w:pPr>
            <w:r>
              <w:rPr>
                <w:b w:val="false"/>
                <w:bCs w:val="false"/>
                <w:color w:val="000000"/>
                <w:sz w:val="20"/>
                <w:szCs w:val="20"/>
              </w:rPr>
              <w:t xml:space="preserve">1</w:t>
            </w:r>
          </w:p>
        </w:tc>
        <w:tc>
          <w:tcPr>
            <w:tcW w:type="dxa" w:w="1900"/>
            <w:tcMar>
              <w:top w:type="dxa" w:w="100"/>
              <w:left w:type="dxa" w:w="100"/>
              <w:bottom w:type="dxa" w:w="100"/>
              <w:right w:type="dxa" w:w="100"/>
            </w:tcMar>
          </w:tcPr>
          <w:p>
            <w:pPr>
              <w:spacing w:after="40"/>
            </w:pPr>
            <w:r>
              <w:rPr>
                <w:b w:val="false"/>
                <w:bCs w:val="false"/>
                <w:color w:val="000000"/>
                <w:sz w:val="20"/>
                <w:szCs w:val="20"/>
              </w:rPr>
              <w:t xml:space="preserve">Initial</w:t>
            </w:r>
          </w:p>
        </w:tc>
        <w:tc>
          <w:tcPr>
            <w:tcW w:type="dxa" w:w="6400"/>
            <w:tcMar>
              <w:top w:type="dxa" w:w="100"/>
              <w:left w:type="dxa" w:w="100"/>
              <w:bottom w:type="dxa" w:w="100"/>
              <w:right w:type="dxa" w:w="100"/>
            </w:tcMar>
          </w:tcPr>
          <w:p>
            <w:pPr>
              <w:spacing w:after="40"/>
            </w:pPr>
            <w:r>
              <w:rPr>
                <w:b w:val="false"/>
                <w:bCs w:val="false"/>
                <w:color w:val="000000"/>
                <w:sz w:val="20"/>
                <w:szCs w:val="20"/>
              </w:rPr>
              <w:t xml:space="preserve">Activities are informal, inconsistent or reactive.</w:t>
            </w:r>
          </w:p>
        </w:tc>
      </w:tr>
      <w:tr>
        <w:trPr>
          <w:cantSplit/>
          <w:tblHeader w:val="false"/>
        </w:trPr>
        <w:tc>
          <w:tcPr>
            <w:tcW w:type="dxa" w:w="900"/>
            <w:tcMar>
              <w:top w:type="dxa" w:w="100"/>
              <w:left w:type="dxa" w:w="100"/>
              <w:bottom w:type="dxa" w:w="100"/>
              <w:right w:type="dxa" w:w="100"/>
            </w:tcMar>
          </w:tcPr>
          <w:p>
            <w:pPr>
              <w:spacing w:after="40"/>
            </w:pPr>
            <w:r>
              <w:rPr>
                <w:b w:val="false"/>
                <w:bCs w:val="false"/>
                <w:color w:val="000000"/>
                <w:sz w:val="20"/>
                <w:szCs w:val="20"/>
              </w:rPr>
              <w:t xml:space="preserve">2</w:t>
            </w:r>
          </w:p>
        </w:tc>
        <w:tc>
          <w:tcPr>
            <w:tcW w:type="dxa" w:w="1900"/>
            <w:tcMar>
              <w:top w:type="dxa" w:w="100"/>
              <w:left w:type="dxa" w:w="100"/>
              <w:bottom w:type="dxa" w:w="100"/>
              <w:right w:type="dxa" w:w="100"/>
            </w:tcMar>
          </w:tcPr>
          <w:p>
            <w:pPr>
              <w:spacing w:after="40"/>
            </w:pPr>
            <w:r>
              <w:rPr>
                <w:b w:val="false"/>
                <w:bCs w:val="false"/>
                <w:color w:val="000000"/>
                <w:sz w:val="20"/>
                <w:szCs w:val="20"/>
              </w:rPr>
              <w:t xml:space="preserve">Developing</w:t>
            </w:r>
          </w:p>
        </w:tc>
        <w:tc>
          <w:tcPr>
            <w:tcW w:type="dxa" w:w="6400"/>
            <w:tcMar>
              <w:top w:type="dxa" w:w="100"/>
              <w:left w:type="dxa" w:w="100"/>
              <w:bottom w:type="dxa" w:w="100"/>
              <w:right w:type="dxa" w:w="100"/>
            </w:tcMar>
          </w:tcPr>
          <w:p>
            <w:pPr>
              <w:spacing w:after="40"/>
            </w:pPr>
            <w:r>
              <w:rPr>
                <w:b w:val="false"/>
                <w:bCs w:val="false"/>
                <w:color w:val="000000"/>
                <w:sz w:val="20"/>
                <w:szCs w:val="20"/>
              </w:rPr>
              <w:t xml:space="preserve">Some repeatable practices exist but are not consistently applied.</w:t>
            </w:r>
          </w:p>
        </w:tc>
      </w:tr>
      <w:tr>
        <w:trPr>
          <w:cantSplit/>
          <w:tblHeader w:val="false"/>
        </w:trPr>
        <w:tc>
          <w:tcPr>
            <w:tcW w:type="dxa" w:w="900"/>
            <w:tcMar>
              <w:top w:type="dxa" w:w="100"/>
              <w:left w:type="dxa" w:w="100"/>
              <w:bottom w:type="dxa" w:w="100"/>
              <w:right w:type="dxa" w:w="100"/>
            </w:tcMar>
          </w:tcPr>
          <w:p>
            <w:pPr>
              <w:spacing w:after="40"/>
            </w:pPr>
            <w:r>
              <w:rPr>
                <w:b w:val="false"/>
                <w:bCs w:val="false"/>
                <w:color w:val="000000"/>
                <w:sz w:val="20"/>
                <w:szCs w:val="20"/>
              </w:rPr>
              <w:t xml:space="preserve">3</w:t>
            </w:r>
          </w:p>
        </w:tc>
        <w:tc>
          <w:tcPr>
            <w:tcW w:type="dxa" w:w="1900"/>
            <w:tcMar>
              <w:top w:type="dxa" w:w="100"/>
              <w:left w:type="dxa" w:w="100"/>
              <w:bottom w:type="dxa" w:w="100"/>
              <w:right w:type="dxa" w:w="100"/>
            </w:tcMar>
          </w:tcPr>
          <w:p>
            <w:pPr>
              <w:spacing w:after="40"/>
            </w:pPr>
            <w:r>
              <w:rPr>
                <w:b w:val="false"/>
                <w:bCs w:val="false"/>
                <w:color w:val="000000"/>
                <w:sz w:val="20"/>
                <w:szCs w:val="20"/>
              </w:rPr>
              <w:t xml:space="preserve">Defined</w:t>
            </w:r>
          </w:p>
        </w:tc>
        <w:tc>
          <w:tcPr>
            <w:tcW w:type="dxa" w:w="6400"/>
            <w:tcMar>
              <w:top w:type="dxa" w:w="100"/>
              <w:left w:type="dxa" w:w="100"/>
              <w:bottom w:type="dxa" w:w="100"/>
              <w:right w:type="dxa" w:w="100"/>
            </w:tcMar>
          </w:tcPr>
          <w:p>
            <w:pPr>
              <w:spacing w:after="40"/>
            </w:pPr>
            <w:r>
              <w:rPr>
                <w:b w:val="false"/>
                <w:bCs w:val="false"/>
                <w:color w:val="000000"/>
                <w:sz w:val="20"/>
                <w:szCs w:val="20"/>
              </w:rPr>
              <w:t xml:space="preserve">Standardised processes, policies and responsibilities are established.</w:t>
            </w:r>
          </w:p>
        </w:tc>
      </w:tr>
      <w:tr>
        <w:trPr>
          <w:cantSplit/>
          <w:tblHeader w:val="false"/>
        </w:trPr>
        <w:tc>
          <w:tcPr>
            <w:tcW w:type="dxa" w:w="900"/>
            <w:tcMar>
              <w:top w:type="dxa" w:w="100"/>
              <w:left w:type="dxa" w:w="100"/>
              <w:bottom w:type="dxa" w:w="100"/>
              <w:right w:type="dxa" w:w="100"/>
            </w:tcMar>
          </w:tcPr>
          <w:p>
            <w:pPr>
              <w:spacing w:after="40"/>
            </w:pPr>
            <w:r>
              <w:rPr>
                <w:b w:val="false"/>
                <w:bCs w:val="false"/>
                <w:color w:val="000000"/>
                <w:sz w:val="20"/>
                <w:szCs w:val="20"/>
              </w:rPr>
              <w:t xml:space="preserve">4</w:t>
            </w:r>
          </w:p>
        </w:tc>
        <w:tc>
          <w:tcPr>
            <w:tcW w:type="dxa" w:w="1900"/>
            <w:tcMar>
              <w:top w:type="dxa" w:w="100"/>
              <w:left w:type="dxa" w:w="100"/>
              <w:bottom w:type="dxa" w:w="100"/>
              <w:right w:type="dxa" w:w="100"/>
            </w:tcMar>
          </w:tcPr>
          <w:p>
            <w:pPr>
              <w:spacing w:after="40"/>
            </w:pPr>
            <w:r>
              <w:rPr>
                <w:b w:val="false"/>
                <w:bCs w:val="false"/>
                <w:color w:val="000000"/>
                <w:sz w:val="20"/>
                <w:szCs w:val="20"/>
              </w:rPr>
              <w:t xml:space="preserve">Managed</w:t>
            </w:r>
          </w:p>
        </w:tc>
        <w:tc>
          <w:tcPr>
            <w:tcW w:type="dxa" w:w="6400"/>
            <w:tcMar>
              <w:top w:type="dxa" w:w="100"/>
              <w:left w:type="dxa" w:w="100"/>
              <w:bottom w:type="dxa" w:w="100"/>
              <w:right w:type="dxa" w:w="100"/>
            </w:tcMar>
          </w:tcPr>
          <w:p>
            <w:pPr>
              <w:spacing w:after="40"/>
            </w:pPr>
            <w:r>
              <w:rPr>
                <w:b w:val="false"/>
                <w:bCs w:val="false"/>
                <w:color w:val="000000"/>
                <w:sz w:val="20"/>
                <w:szCs w:val="20"/>
              </w:rPr>
              <w:t xml:space="preserve">Practices are measured, governed and continuously monitored.</w:t>
            </w:r>
          </w:p>
        </w:tc>
      </w:tr>
      <w:tr>
        <w:trPr>
          <w:cantSplit/>
          <w:tblHeader w:val="false"/>
        </w:trPr>
        <w:tc>
          <w:tcPr>
            <w:tcW w:type="dxa" w:w="900"/>
            <w:tcMar>
              <w:top w:type="dxa" w:w="100"/>
              <w:left w:type="dxa" w:w="100"/>
              <w:bottom w:type="dxa" w:w="100"/>
              <w:right w:type="dxa" w:w="100"/>
            </w:tcMar>
          </w:tcPr>
          <w:p>
            <w:pPr>
              <w:spacing w:after="40"/>
            </w:pPr>
            <w:r>
              <w:rPr>
                <w:b w:val="false"/>
                <w:bCs w:val="false"/>
                <w:color w:val="000000"/>
                <w:sz w:val="20"/>
                <w:szCs w:val="20"/>
              </w:rPr>
              <w:t xml:space="preserve">5</w:t>
            </w:r>
          </w:p>
        </w:tc>
        <w:tc>
          <w:tcPr>
            <w:tcW w:type="dxa" w:w="1900"/>
            <w:tcMar>
              <w:top w:type="dxa" w:w="100"/>
              <w:left w:type="dxa" w:w="100"/>
              <w:bottom w:type="dxa" w:w="100"/>
              <w:right w:type="dxa" w:w="100"/>
            </w:tcMar>
          </w:tcPr>
          <w:p>
            <w:pPr>
              <w:spacing w:after="40"/>
            </w:pPr>
            <w:r>
              <w:rPr>
                <w:b w:val="false"/>
                <w:bCs w:val="false"/>
                <w:color w:val="000000"/>
                <w:sz w:val="20"/>
                <w:szCs w:val="20"/>
              </w:rPr>
              <w:t xml:space="preserve">Optimised</w:t>
            </w:r>
          </w:p>
        </w:tc>
        <w:tc>
          <w:tcPr>
            <w:tcW w:type="dxa" w:w="6400"/>
            <w:tcMar>
              <w:top w:type="dxa" w:w="100"/>
              <w:left w:type="dxa" w:w="100"/>
              <w:bottom w:type="dxa" w:w="100"/>
              <w:right w:type="dxa" w:w="100"/>
            </w:tcMar>
          </w:tcPr>
          <w:p>
            <w:pPr>
              <w:spacing w:after="40"/>
            </w:pPr>
            <w:r>
              <w:rPr>
                <w:b w:val="false"/>
                <w:bCs w:val="false"/>
                <w:color w:val="000000"/>
                <w:sz w:val="20"/>
                <w:szCs w:val="20"/>
              </w:rPr>
              <w:t xml:space="preserve">Practices are continuously improved using evidence, automation and feedback.</w:t>
            </w:r>
          </w:p>
        </w:tc>
      </w:tr>
    </w:tbl>
    <w:p>
      <w:pPr>
        <w:pStyle w:val="Heading1"/>
        <w:keepNext/>
        <w:spacing w:after="140" w:before="260"/>
      </w:pPr>
      <w:r>
        <w:t xml:space="preserve">Domain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1600"/>
        <w:gridCol w:w="1800"/>
        <w:gridCol w:w="1800"/>
      </w:tblGrid>
      <w:tr>
        <w:trPr>
          <w:cantSplit/>
          <w:tblHeader/>
        </w:trPr>
        <w:tc>
          <w:tcPr>
            <w:tcW w:type="dxa" w:w="4000"/>
            <w:shd w:fill="E8EEF3" w:val="clear"/>
            <w:tcMar>
              <w:top w:type="dxa" w:w="100"/>
              <w:left w:type="dxa" w:w="100"/>
              <w:bottom w:type="dxa" w:w="100"/>
              <w:right w:type="dxa" w:w="100"/>
            </w:tcMar>
          </w:tcPr>
          <w:p>
            <w:pPr>
              <w:spacing w:after="40"/>
            </w:pPr>
            <w:r>
              <w:rPr>
                <w:b/>
                <w:bCs/>
                <w:color w:val="000000"/>
                <w:sz w:val="20"/>
                <w:szCs w:val="20"/>
              </w:rPr>
              <w:t xml:space="preserve">Domain</w:t>
            </w:r>
          </w:p>
        </w:tc>
        <w:tc>
          <w:tcPr>
            <w:tcW w:type="dxa" w:w="1600"/>
            <w:shd w:fill="E8EEF3" w:val="clear"/>
            <w:tcMar>
              <w:top w:type="dxa" w:w="100"/>
              <w:left w:type="dxa" w:w="100"/>
              <w:bottom w:type="dxa" w:w="100"/>
              <w:right w:type="dxa" w:w="100"/>
            </w:tcMar>
          </w:tcPr>
          <w:p>
            <w:pPr>
              <w:spacing w:after="40"/>
            </w:pPr>
            <w:r>
              <w:rPr>
                <w:b/>
                <w:bCs/>
                <w:color w:val="000000"/>
                <w:sz w:val="20"/>
                <w:szCs w:val="20"/>
              </w:rPr>
              <w:t xml:space="preserve">Assessed</w:t>
            </w:r>
          </w:p>
        </w:tc>
        <w:tc>
          <w:tcPr>
            <w:tcW w:type="dxa" w:w="1800"/>
            <w:shd w:fill="E8EEF3" w:val="clear"/>
            <w:tcMar>
              <w:top w:type="dxa" w:w="100"/>
              <w:left w:type="dxa" w:w="100"/>
              <w:bottom w:type="dxa" w:w="100"/>
              <w:right w:type="dxa" w:w="100"/>
            </w:tcMar>
          </w:tcPr>
          <w:p>
            <w:pPr>
              <w:spacing w:after="40"/>
            </w:pPr>
            <w:r>
              <w:rPr>
                <w:b/>
                <w:bCs/>
                <w:color w:val="000000"/>
                <w:sz w:val="20"/>
                <w:szCs w:val="20"/>
              </w:rPr>
              <w:t xml:space="preserve">Current</w:t>
            </w:r>
          </w:p>
        </w:tc>
        <w:tc>
          <w:tcPr>
            <w:tcW w:type="dxa" w:w="1800"/>
            <w:shd w:fill="E8EEF3" w:val="clear"/>
            <w:tcMar>
              <w:top w:type="dxa" w:w="100"/>
              <w:left w:type="dxa" w:w="100"/>
              <w:bottom w:type="dxa" w:w="100"/>
              <w:right w:type="dxa" w:w="100"/>
            </w:tcMar>
          </w:tcPr>
          <w:p>
            <w:pPr>
              <w:spacing w:after="40"/>
            </w:pPr>
            <w:r>
              <w:rPr>
                <w:b/>
                <w:bCs/>
                <w:color w:val="000000"/>
                <w:sz w:val="20"/>
                <w:szCs w:val="20"/>
              </w:rPr>
              <w:t xml:space="preserve">Target</w:t>
            </w:r>
          </w:p>
        </w:tc>
      </w:tr>
      <w:tr>
        <w:trPr>
          <w:cantSplit/>
          <w:tblHeader w:val="false"/>
        </w:trPr>
        <w:tc>
          <w:tcPr>
            <w:tcW w:type="dxa" w:w="4000"/>
            <w:tcMar>
              <w:top w:type="dxa" w:w="100"/>
              <w:left w:type="dxa" w:w="100"/>
              <w:bottom w:type="dxa" w:w="100"/>
              <w:right w:type="dxa" w:w="100"/>
            </w:tcMar>
          </w:tcPr>
          <w:p>
            <w:pPr>
              <w:spacing w:after="40"/>
            </w:pPr>
            <w:r>
              <w:rPr>
                <w:b w:val="false"/>
                <w:bCs w:val="false"/>
                <w:color w:val="000000"/>
                <w:sz w:val="20"/>
                <w:szCs w:val="20"/>
              </w:rPr>
              <w:t xml:space="preserve">Governance and enablement</w:t>
            </w:r>
          </w:p>
        </w:tc>
        <w:tc>
          <w:tcPr>
            <w:tcW w:type="dxa" w:w="1600"/>
            <w:tcMar>
              <w:top w:type="dxa" w:w="100"/>
              <w:left w:type="dxa" w:w="100"/>
              <w:bottom w:type="dxa" w:w="100"/>
              <w:right w:type="dxa" w:w="100"/>
            </w:tcMar>
          </w:tcPr>
          <w:p>
            <w:pPr>
              <w:spacing w:after="40"/>
            </w:pPr>
            <w:r>
              <w:rPr>
                <w:b w:val="false"/>
                <w:bCs w:val="false"/>
                <w:color w:val="000000"/>
                <w:sz w:val="20"/>
                <w:szCs w:val="20"/>
              </w:rPr>
              <w:t xml:space="preserve">3/3</w:t>
            </w:r>
          </w:p>
        </w:tc>
        <w:tc>
          <w:tcPr>
            <w:tcW w:type="dxa" w:w="1800"/>
            <w:tcMar>
              <w:top w:type="dxa" w:w="100"/>
              <w:left w:type="dxa" w:w="100"/>
              <w:bottom w:type="dxa" w:w="100"/>
              <w:right w:type="dxa" w:w="100"/>
            </w:tcMar>
          </w:tcPr>
          <w:p>
            <w:pPr>
              <w:spacing w:after="40"/>
            </w:pPr>
            <w:r>
              <w:rPr>
                <w:b w:val="false"/>
                <w:bCs w:val="false"/>
                <w:color w:val="000000"/>
                <w:sz w:val="20"/>
                <w:szCs w:val="20"/>
              </w:rPr>
              <w:t xml:space="preserve">2.33</w:t>
            </w:r>
          </w:p>
        </w:tc>
        <w:tc>
          <w:tcPr>
            <w:tcW w:type="dxa" w:w="1800"/>
            <w:tcMar>
              <w:top w:type="dxa" w:w="100"/>
              <w:left w:type="dxa" w:w="100"/>
              <w:bottom w:type="dxa" w:w="100"/>
              <w:right w:type="dxa" w:w="100"/>
            </w:tcMar>
          </w:tcPr>
          <w:p>
            <w:pPr>
              <w:spacing w:after="40"/>
            </w:pPr>
            <w:r>
              <w:rPr>
                <w:b w:val="false"/>
                <w:bCs w:val="false"/>
                <w:color w:val="000000"/>
                <w:sz w:val="20"/>
                <w:szCs w:val="20"/>
              </w:rPr>
              <w:t xml:space="preserve">4.67</w:t>
            </w:r>
          </w:p>
        </w:tc>
      </w:tr>
      <w:tr>
        <w:trPr>
          <w:cantSplit/>
          <w:tblHeader w:val="false"/>
        </w:trPr>
        <w:tc>
          <w:tcPr>
            <w:tcW w:type="dxa" w:w="4000"/>
            <w:tcMar>
              <w:top w:type="dxa" w:w="100"/>
              <w:left w:type="dxa" w:w="100"/>
              <w:bottom w:type="dxa" w:w="100"/>
              <w:right w:type="dxa" w:w="100"/>
            </w:tcMar>
          </w:tcPr>
          <w:p>
            <w:pPr>
              <w:spacing w:after="40"/>
            </w:pPr>
            <w:r>
              <w:rPr>
                <w:b w:val="false"/>
                <w:bCs w:val="false"/>
                <w:color w:val="000000"/>
                <w:sz w:val="20"/>
                <w:szCs w:val="20"/>
              </w:rPr>
              <w:t xml:space="preserve">Architecture and security</w:t>
            </w:r>
          </w:p>
        </w:tc>
        <w:tc>
          <w:tcPr>
            <w:tcW w:type="dxa" w:w="1600"/>
            <w:tcMar>
              <w:top w:type="dxa" w:w="100"/>
              <w:left w:type="dxa" w:w="100"/>
              <w:bottom w:type="dxa" w:w="100"/>
              <w:right w:type="dxa" w:w="100"/>
            </w:tcMar>
          </w:tcPr>
          <w:p>
            <w:pPr>
              <w:spacing w:after="40"/>
            </w:pPr>
            <w:r>
              <w:rPr>
                <w:b w:val="false"/>
                <w:bCs w:val="false"/>
                <w:color w:val="000000"/>
                <w:sz w:val="20"/>
                <w:szCs w:val="20"/>
              </w:rPr>
              <w:t xml:space="preserve">3/3</w:t>
            </w:r>
          </w:p>
        </w:tc>
        <w:tc>
          <w:tcPr>
            <w:tcW w:type="dxa" w:w="1800"/>
            <w:tcMar>
              <w:top w:type="dxa" w:w="100"/>
              <w:left w:type="dxa" w:w="100"/>
              <w:bottom w:type="dxa" w:w="100"/>
              <w:right w:type="dxa" w:w="100"/>
            </w:tcMar>
          </w:tcPr>
          <w:p>
            <w:pPr>
              <w:spacing w:after="40"/>
            </w:pPr>
            <w:r>
              <w:rPr>
                <w:b w:val="false"/>
                <w:bCs w:val="false"/>
                <w:color w:val="000000"/>
                <w:sz w:val="20"/>
                <w:szCs w:val="20"/>
              </w:rPr>
              <w:t xml:space="preserve">3.00</w:t>
            </w:r>
          </w:p>
        </w:tc>
        <w:tc>
          <w:tcPr>
            <w:tcW w:type="dxa" w:w="1800"/>
            <w:tcMar>
              <w:top w:type="dxa" w:w="100"/>
              <w:left w:type="dxa" w:w="100"/>
              <w:bottom w:type="dxa" w:w="100"/>
              <w:right w:type="dxa" w:w="100"/>
            </w:tcMar>
          </w:tcPr>
          <w:p>
            <w:pPr>
              <w:spacing w:after="40"/>
            </w:pPr>
            <w:r>
              <w:rPr>
                <w:b w:val="false"/>
                <w:bCs w:val="false"/>
                <w:color w:val="000000"/>
                <w:sz w:val="20"/>
                <w:szCs w:val="20"/>
              </w:rPr>
              <w:t xml:space="preserve">4.67</w:t>
            </w:r>
          </w:p>
        </w:tc>
      </w:tr>
      <w:tr>
        <w:trPr>
          <w:cantSplit/>
          <w:tblHeader w:val="false"/>
        </w:trPr>
        <w:tc>
          <w:tcPr>
            <w:tcW w:type="dxa" w:w="4000"/>
            <w:tcMar>
              <w:top w:type="dxa" w:w="100"/>
              <w:left w:type="dxa" w:w="100"/>
              <w:bottom w:type="dxa" w:w="100"/>
              <w:right w:type="dxa" w:w="100"/>
            </w:tcMar>
          </w:tcPr>
          <w:p>
            <w:pPr>
              <w:spacing w:after="40"/>
            </w:pPr>
            <w:r>
              <w:rPr>
                <w:b w:val="false"/>
                <w:bCs w:val="false"/>
                <w:color w:val="000000"/>
                <w:sz w:val="20"/>
                <w:szCs w:val="20"/>
              </w:rPr>
              <w:t xml:space="preserve">Engineering and delivery</w:t>
            </w:r>
          </w:p>
        </w:tc>
        <w:tc>
          <w:tcPr>
            <w:tcW w:type="dxa" w:w="1600"/>
            <w:tcMar>
              <w:top w:type="dxa" w:w="100"/>
              <w:left w:type="dxa" w:w="100"/>
              <w:bottom w:type="dxa" w:w="100"/>
              <w:right w:type="dxa" w:w="100"/>
            </w:tcMar>
          </w:tcPr>
          <w:p>
            <w:pPr>
              <w:spacing w:after="40"/>
            </w:pPr>
            <w:r>
              <w:rPr>
                <w:b w:val="false"/>
                <w:bCs w:val="false"/>
                <w:color w:val="000000"/>
                <w:sz w:val="20"/>
                <w:szCs w:val="20"/>
              </w:rPr>
              <w:t xml:space="preserve">3/3</w:t>
            </w:r>
          </w:p>
        </w:tc>
        <w:tc>
          <w:tcPr>
            <w:tcW w:type="dxa" w:w="1800"/>
            <w:tcMar>
              <w:top w:type="dxa" w:w="100"/>
              <w:left w:type="dxa" w:w="100"/>
              <w:bottom w:type="dxa" w:w="100"/>
              <w:right w:type="dxa" w:w="100"/>
            </w:tcMar>
          </w:tcPr>
          <w:p>
            <w:pPr>
              <w:spacing w:after="40"/>
            </w:pPr>
            <w:r>
              <w:rPr>
                <w:b w:val="false"/>
                <w:bCs w:val="false"/>
                <w:color w:val="000000"/>
                <w:sz w:val="20"/>
                <w:szCs w:val="20"/>
              </w:rPr>
              <w:t xml:space="preserve">2.33</w:t>
            </w:r>
          </w:p>
        </w:tc>
        <w:tc>
          <w:tcPr>
            <w:tcW w:type="dxa" w:w="1800"/>
            <w:tcMar>
              <w:top w:type="dxa" w:w="100"/>
              <w:left w:type="dxa" w:w="100"/>
              <w:bottom w:type="dxa" w:w="100"/>
              <w:right w:type="dxa" w:w="100"/>
            </w:tcMar>
          </w:tcPr>
          <w:p>
            <w:pPr>
              <w:spacing w:after="40"/>
            </w:pPr>
            <w:r>
              <w:rPr>
                <w:b w:val="false"/>
                <w:bCs w:val="false"/>
                <w:color w:val="000000"/>
                <w:sz w:val="20"/>
                <w:szCs w:val="20"/>
              </w:rPr>
              <w:t xml:space="preserve">4.67</w:t>
            </w:r>
          </w:p>
        </w:tc>
      </w:tr>
      <w:tr>
        <w:trPr>
          <w:cantSplit/>
          <w:tblHeader w:val="false"/>
        </w:trPr>
        <w:tc>
          <w:tcPr>
            <w:tcW w:type="dxa" w:w="4000"/>
            <w:tcMar>
              <w:top w:type="dxa" w:w="100"/>
              <w:left w:type="dxa" w:w="100"/>
              <w:bottom w:type="dxa" w:w="100"/>
              <w:right w:type="dxa" w:w="100"/>
            </w:tcMar>
          </w:tcPr>
          <w:p>
            <w:pPr>
              <w:spacing w:after="40"/>
            </w:pPr>
            <w:r>
              <w:rPr>
                <w:b w:val="false"/>
                <w:bCs w:val="false"/>
                <w:color w:val="000000"/>
                <w:sz w:val="20"/>
                <w:szCs w:val="20"/>
              </w:rPr>
              <w:t xml:space="preserve">Operations and resilience</w:t>
            </w:r>
          </w:p>
        </w:tc>
        <w:tc>
          <w:tcPr>
            <w:tcW w:type="dxa" w:w="1600"/>
            <w:tcMar>
              <w:top w:type="dxa" w:w="100"/>
              <w:left w:type="dxa" w:w="100"/>
              <w:bottom w:type="dxa" w:w="100"/>
              <w:right w:type="dxa" w:w="100"/>
            </w:tcMar>
          </w:tcPr>
          <w:p>
            <w:pPr>
              <w:spacing w:after="40"/>
            </w:pPr>
            <w:r>
              <w:rPr>
                <w:b w:val="false"/>
                <w:bCs w:val="false"/>
                <w:color w:val="000000"/>
                <w:sz w:val="20"/>
                <w:szCs w:val="20"/>
              </w:rPr>
              <w:t xml:space="preserve">3/3</w:t>
            </w:r>
          </w:p>
        </w:tc>
        <w:tc>
          <w:tcPr>
            <w:tcW w:type="dxa" w:w="1800"/>
            <w:tcMar>
              <w:top w:type="dxa" w:w="100"/>
              <w:left w:type="dxa" w:w="100"/>
              <w:bottom w:type="dxa" w:w="100"/>
              <w:right w:type="dxa" w:w="100"/>
            </w:tcMar>
          </w:tcPr>
          <w:p>
            <w:pPr>
              <w:spacing w:after="40"/>
            </w:pPr>
            <w:r>
              <w:rPr>
                <w:b w:val="false"/>
                <w:bCs w:val="false"/>
                <w:color w:val="000000"/>
                <w:sz w:val="20"/>
                <w:szCs w:val="20"/>
              </w:rPr>
              <w:t xml:space="preserve">2.67</w:t>
            </w:r>
          </w:p>
        </w:tc>
        <w:tc>
          <w:tcPr>
            <w:tcW w:type="dxa" w:w="1800"/>
            <w:tcMar>
              <w:top w:type="dxa" w:w="100"/>
              <w:left w:type="dxa" w:w="100"/>
              <w:bottom w:type="dxa" w:w="100"/>
              <w:right w:type="dxa" w:w="100"/>
            </w:tcMar>
          </w:tcPr>
          <w:p>
            <w:pPr>
              <w:spacing w:after="40"/>
            </w:pPr>
            <w:r>
              <w:rPr>
                <w:b w:val="false"/>
                <w:bCs w:val="false"/>
                <w:color w:val="000000"/>
                <w:sz w:val="20"/>
                <w:szCs w:val="20"/>
              </w:rPr>
              <w:t xml:space="preserve">4.67</w:t>
            </w:r>
          </w:p>
        </w:tc>
      </w:tr>
    </w:tbl>
    <w:p>
      <w:pPr>
        <w:pStyle w:val="Heading1"/>
        <w:keepNext/>
        <w:spacing w:after="140" w:before="260"/>
      </w:pPr>
      <w:r>
        <w:t xml:space="preserve">Editable maturity comparison</w:t>
      </w:r>
    </w:p>
    <w:p>
      <w:pPr>
        <w:spacing w:after="120"/>
      </w:pPr>
      <w:r>
        <w:t xml:space="preserve">The following native Word tables are the editable alternative to a radar chart. Individual scores, labels and explanations can be edited directly. This report does not contain an editable radar chart. Native editable radar charts with embedded data are available in the PowerPoint export.</w:t>
      </w:r>
    </w:p>
    <w:p>
      <w:pPr>
        <w:pStyle w:val="Heading2"/>
        <w:keepNext/>
        <w:spacing w:after="140" w:before="260"/>
      </w:pPr>
      <w:r>
        <w:t xml:space="preserve">Governance and enablement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00"/>
        <w:gridCol w:w="1850"/>
        <w:gridCol w:w="1850"/>
        <w:gridCol w:w="1300"/>
      </w:tblGrid>
      <w:tr>
        <w:trPr>
          <w:cantSplit/>
          <w:tblHeader/>
        </w:trPr>
        <w:tc>
          <w:tcPr>
            <w:tcW w:type="dxa" w:w="4200"/>
            <w:shd w:fill="E8EEF3" w:val="clear"/>
            <w:tcMar>
              <w:top w:type="dxa" w:w="100"/>
              <w:left w:type="dxa" w:w="100"/>
              <w:bottom w:type="dxa" w:w="100"/>
              <w:right w:type="dxa" w:w="100"/>
            </w:tcMar>
          </w:tcPr>
          <w:p>
            <w:pPr>
              <w:spacing w:after="40"/>
            </w:pPr>
            <w:r>
              <w:rPr>
                <w:b/>
                <w:bCs/>
                <w:color w:val="000000"/>
                <w:sz w:val="20"/>
                <w:szCs w:val="20"/>
              </w:rPr>
              <w:t xml:space="preserve">Capability</w:t>
            </w:r>
          </w:p>
        </w:tc>
        <w:tc>
          <w:tcPr>
            <w:tcW w:type="dxa" w:w="1850"/>
            <w:shd w:fill="E8EEF3" w:val="clear"/>
            <w:tcMar>
              <w:top w:type="dxa" w:w="100"/>
              <w:left w:type="dxa" w:w="100"/>
              <w:bottom w:type="dxa" w:w="100"/>
              <w:right w:type="dxa" w:w="100"/>
            </w:tcMar>
          </w:tcPr>
          <w:p>
            <w:pPr>
              <w:spacing w:after="40"/>
            </w:pPr>
            <w:r>
              <w:rPr>
                <w:b/>
                <w:bCs/>
                <w:color w:val="000000"/>
                <w:sz w:val="20"/>
                <w:szCs w:val="20"/>
              </w:rPr>
              <w:t xml:space="preserve">Current</w:t>
            </w:r>
          </w:p>
        </w:tc>
        <w:tc>
          <w:tcPr>
            <w:tcW w:type="dxa" w:w="1850"/>
            <w:shd w:fill="E8EEF3" w:val="clear"/>
            <w:tcMar>
              <w:top w:type="dxa" w:w="100"/>
              <w:left w:type="dxa" w:w="100"/>
              <w:bottom w:type="dxa" w:w="100"/>
              <w:right w:type="dxa" w:w="100"/>
            </w:tcMar>
          </w:tcPr>
          <w:p>
            <w:pPr>
              <w:spacing w:after="40"/>
            </w:pPr>
            <w:r>
              <w:rPr>
                <w:b/>
                <w:bCs/>
                <w:color w:val="000000"/>
                <w:sz w:val="20"/>
                <w:szCs w:val="20"/>
              </w:rPr>
              <w:t xml:space="preserve">Target</w:t>
            </w:r>
          </w:p>
        </w:tc>
        <w:tc>
          <w:tcPr>
            <w:tcW w:type="dxa" w:w="1300"/>
            <w:shd w:fill="E8EEF3" w:val="clear"/>
            <w:tcMar>
              <w:top w:type="dxa" w:w="100"/>
              <w:left w:type="dxa" w:w="100"/>
              <w:bottom w:type="dxa" w:w="100"/>
              <w:right w:type="dxa" w:w="100"/>
            </w:tcMar>
          </w:tcPr>
          <w:p>
            <w:pPr>
              <w:spacing w:after="40"/>
            </w:pPr>
            <w:r>
              <w:rPr>
                <w:b/>
                <w:bCs/>
                <w:color w:val="000000"/>
                <w:sz w:val="20"/>
                <w:szCs w:val="20"/>
              </w:rPr>
              <w:t xml:space="preserve">Gap</w:t>
            </w:r>
          </w:p>
        </w:tc>
      </w:tr>
      <w:tr>
        <w:trPr>
          <w:cantSplit/>
          <w:tblHeader w:val="false"/>
        </w:trPr>
        <w:tc>
          <w:tcPr>
            <w:tcW w:type="dxa" w:w="4200"/>
            <w:tcMar>
              <w:top w:type="dxa" w:w="100"/>
              <w:left w:type="dxa" w:w="100"/>
              <w:bottom w:type="dxa" w:w="100"/>
              <w:right w:type="dxa" w:w="100"/>
            </w:tcMar>
          </w:tcPr>
          <w:p>
            <w:pPr>
              <w:spacing w:after="40"/>
            </w:pPr>
            <w:r>
              <w:rPr>
                <w:b w:val="false"/>
                <w:bCs w:val="false"/>
                <w:color w:val="000000"/>
                <w:sz w:val="20"/>
                <w:szCs w:val="20"/>
              </w:rPr>
              <w:t xml:space="preserve">Governance and environment strategy</w:t>
            </w:r>
          </w:p>
        </w:tc>
        <w:tc>
          <w:tcPr>
            <w:tcW w:type="dxa" w:w="1850"/>
            <w:tcMar>
              <w:top w:type="dxa" w:w="100"/>
              <w:left w:type="dxa" w:w="100"/>
              <w:bottom w:type="dxa" w:w="100"/>
              <w:right w:type="dxa" w:w="100"/>
            </w:tcMar>
          </w:tcPr>
          <w:p>
            <w:pPr>
              <w:spacing w:after="40"/>
            </w:pPr>
            <w:r>
              <w:rPr>
                <w:b w:val="false"/>
                <w:bCs w:val="false"/>
                <w:color w:val="000000"/>
                <w:sz w:val="20"/>
                <w:szCs w:val="20"/>
              </w:rPr>
              <w:t xml:space="preserve">2</w:t>
            </w:r>
          </w:p>
        </w:tc>
        <w:tc>
          <w:tcPr>
            <w:tcW w:type="dxa" w:w="1850"/>
            <w:tcMar>
              <w:top w:type="dxa" w:w="100"/>
              <w:left w:type="dxa" w:w="100"/>
              <w:bottom w:type="dxa" w:w="100"/>
              <w:right w:type="dxa" w:w="100"/>
            </w:tcMar>
          </w:tcPr>
          <w:p>
            <w:pPr>
              <w:spacing w:after="40"/>
            </w:pPr>
            <w:r>
              <w:rPr>
                <w:b w:val="false"/>
                <w:bCs w:val="false"/>
                <w:color w:val="000000"/>
                <w:sz w:val="20"/>
                <w:szCs w:val="20"/>
              </w:rPr>
              <w:t xml:space="preserve">5</w:t>
            </w:r>
          </w:p>
        </w:tc>
        <w:tc>
          <w:tcPr>
            <w:tcW w:type="dxa" w:w="1300"/>
            <w:tcMar>
              <w:top w:type="dxa" w:w="100"/>
              <w:left w:type="dxa" w:w="100"/>
              <w:bottom w:type="dxa" w:w="100"/>
              <w:right w:type="dxa" w:w="100"/>
            </w:tcMar>
          </w:tcPr>
          <w:p>
            <w:pPr>
              <w:spacing w:after="40"/>
            </w:pPr>
            <w:r>
              <w:rPr>
                <w:b w:val="false"/>
                <w:bCs w:val="false"/>
                <w:color w:val="000000"/>
                <w:sz w:val="20"/>
                <w:szCs w:val="20"/>
              </w:rPr>
              <w:t xml:space="preserve">3</w:t>
            </w:r>
          </w:p>
        </w:tc>
      </w:tr>
      <w:tr>
        <w:trPr>
          <w:cantSplit/>
          <w:tblHeader w:val="false"/>
        </w:trPr>
        <w:tc>
          <w:tcPr>
            <w:tcW w:type="dxa" w:w="4200"/>
            <w:tcMar>
              <w:top w:type="dxa" w:w="100"/>
              <w:left w:type="dxa" w:w="100"/>
              <w:bottom w:type="dxa" w:w="100"/>
              <w:right w:type="dxa" w:w="100"/>
            </w:tcMar>
          </w:tcPr>
          <w:p>
            <w:pPr>
              <w:spacing w:after="40"/>
            </w:pPr>
            <w:r>
              <w:rPr>
                <w:b w:val="false"/>
                <w:bCs w:val="false"/>
                <w:color w:val="000000"/>
                <w:sz w:val="20"/>
                <w:szCs w:val="20"/>
              </w:rPr>
              <w:t xml:space="preserve">Citizen developer enablement</w:t>
            </w:r>
          </w:p>
        </w:tc>
        <w:tc>
          <w:tcPr>
            <w:tcW w:type="dxa" w:w="1850"/>
            <w:tcMar>
              <w:top w:type="dxa" w:w="100"/>
              <w:left w:type="dxa" w:w="100"/>
              <w:bottom w:type="dxa" w:w="100"/>
              <w:right w:type="dxa" w:w="100"/>
            </w:tcMar>
          </w:tcPr>
          <w:p>
            <w:pPr>
              <w:spacing w:after="40"/>
            </w:pPr>
            <w:r>
              <w:rPr>
                <w:b w:val="false"/>
                <w:bCs w:val="false"/>
                <w:color w:val="000000"/>
                <w:sz w:val="20"/>
                <w:szCs w:val="20"/>
              </w:rPr>
              <w:t xml:space="preserve">3</w:t>
            </w:r>
          </w:p>
        </w:tc>
        <w:tc>
          <w:tcPr>
            <w:tcW w:type="dxa" w:w="1850"/>
            <w:tcMar>
              <w:top w:type="dxa" w:w="100"/>
              <w:left w:type="dxa" w:w="100"/>
              <w:bottom w:type="dxa" w:w="100"/>
              <w:right w:type="dxa" w:w="100"/>
            </w:tcMar>
          </w:tcPr>
          <w:p>
            <w:pPr>
              <w:spacing w:after="40"/>
            </w:pPr>
            <w:r>
              <w:rPr>
                <w:b w:val="false"/>
                <w:bCs w:val="false"/>
                <w:color w:val="000000"/>
                <w:sz w:val="20"/>
                <w:szCs w:val="20"/>
              </w:rPr>
              <w:t xml:space="preserve">4</w:t>
            </w:r>
          </w:p>
        </w:tc>
        <w:tc>
          <w:tcPr>
            <w:tcW w:type="dxa" w:w="1300"/>
            <w:tcMar>
              <w:top w:type="dxa" w:w="100"/>
              <w:left w:type="dxa" w:w="100"/>
              <w:bottom w:type="dxa" w:w="100"/>
              <w:right w:type="dxa" w:w="100"/>
            </w:tcMar>
          </w:tcPr>
          <w:p>
            <w:pPr>
              <w:spacing w:after="40"/>
            </w:pPr>
            <w:r>
              <w:rPr>
                <w:b w:val="false"/>
                <w:bCs w:val="false"/>
                <w:color w:val="000000"/>
                <w:sz w:val="20"/>
                <w:szCs w:val="20"/>
              </w:rPr>
              <w:t xml:space="preserve">1</w:t>
            </w:r>
          </w:p>
        </w:tc>
      </w:tr>
      <w:tr>
        <w:trPr>
          <w:cantSplit/>
          <w:tblHeader w:val="false"/>
        </w:trPr>
        <w:tc>
          <w:tcPr>
            <w:tcW w:type="dxa" w:w="4200"/>
            <w:tcMar>
              <w:top w:type="dxa" w:w="100"/>
              <w:left w:type="dxa" w:w="100"/>
              <w:bottom w:type="dxa" w:w="100"/>
              <w:right w:type="dxa" w:w="100"/>
            </w:tcMar>
          </w:tcPr>
          <w:p>
            <w:pPr>
              <w:spacing w:after="40"/>
            </w:pPr>
            <w:r>
              <w:rPr>
                <w:b w:val="false"/>
                <w:bCs w:val="false"/>
                <w:color w:val="000000"/>
                <w:sz w:val="20"/>
                <w:szCs w:val="20"/>
              </w:rPr>
              <w:t xml:space="preserve">Data governance</w:t>
            </w:r>
          </w:p>
        </w:tc>
        <w:tc>
          <w:tcPr>
            <w:tcW w:type="dxa" w:w="1850"/>
            <w:tcMar>
              <w:top w:type="dxa" w:w="100"/>
              <w:left w:type="dxa" w:w="100"/>
              <w:bottom w:type="dxa" w:w="100"/>
              <w:right w:type="dxa" w:w="100"/>
            </w:tcMar>
          </w:tcPr>
          <w:p>
            <w:pPr>
              <w:spacing w:after="40"/>
            </w:pPr>
            <w:r>
              <w:rPr>
                <w:b w:val="false"/>
                <w:bCs w:val="false"/>
                <w:color w:val="000000"/>
                <w:sz w:val="20"/>
                <w:szCs w:val="20"/>
              </w:rPr>
              <w:t xml:space="preserve">2</w:t>
            </w:r>
          </w:p>
        </w:tc>
        <w:tc>
          <w:tcPr>
            <w:tcW w:type="dxa" w:w="1850"/>
            <w:tcMar>
              <w:top w:type="dxa" w:w="100"/>
              <w:left w:type="dxa" w:w="100"/>
              <w:bottom w:type="dxa" w:w="100"/>
              <w:right w:type="dxa" w:w="100"/>
            </w:tcMar>
          </w:tcPr>
          <w:p>
            <w:pPr>
              <w:spacing w:after="40"/>
            </w:pPr>
            <w:r>
              <w:rPr>
                <w:b w:val="false"/>
                <w:bCs w:val="false"/>
                <w:color w:val="000000"/>
                <w:sz w:val="20"/>
                <w:szCs w:val="20"/>
              </w:rPr>
              <w:t xml:space="preserve">5</w:t>
            </w:r>
          </w:p>
        </w:tc>
        <w:tc>
          <w:tcPr>
            <w:tcW w:type="dxa" w:w="1300"/>
            <w:tcMar>
              <w:top w:type="dxa" w:w="100"/>
              <w:left w:type="dxa" w:w="100"/>
              <w:bottom w:type="dxa" w:w="100"/>
              <w:right w:type="dxa" w:w="100"/>
            </w:tcMar>
          </w:tcPr>
          <w:p>
            <w:pPr>
              <w:spacing w:after="40"/>
            </w:pPr>
            <w:r>
              <w:rPr>
                <w:b w:val="false"/>
                <w:bCs w:val="false"/>
                <w:color w:val="000000"/>
                <w:sz w:val="20"/>
                <w:szCs w:val="20"/>
              </w:rPr>
              <w:t xml:space="preserve">3</w:t>
            </w:r>
          </w:p>
        </w:tc>
      </w:tr>
    </w:tbl>
    <w:p>
      <w:pPr>
        <w:pStyle w:val="Heading2"/>
        <w:keepNext/>
        <w:spacing w:after="140" w:before="260"/>
      </w:pPr>
      <w:r>
        <w:t xml:space="preserve">Architecture and security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00"/>
        <w:gridCol w:w="1850"/>
        <w:gridCol w:w="1850"/>
        <w:gridCol w:w="1300"/>
      </w:tblGrid>
      <w:tr>
        <w:trPr>
          <w:cantSplit/>
          <w:tblHeader/>
        </w:trPr>
        <w:tc>
          <w:tcPr>
            <w:tcW w:type="dxa" w:w="4200"/>
            <w:shd w:fill="E8EEF3" w:val="clear"/>
            <w:tcMar>
              <w:top w:type="dxa" w:w="100"/>
              <w:left w:type="dxa" w:w="100"/>
              <w:bottom w:type="dxa" w:w="100"/>
              <w:right w:type="dxa" w:w="100"/>
            </w:tcMar>
          </w:tcPr>
          <w:p>
            <w:pPr>
              <w:spacing w:after="40"/>
            </w:pPr>
            <w:r>
              <w:rPr>
                <w:b/>
                <w:bCs/>
                <w:color w:val="000000"/>
                <w:sz w:val="20"/>
                <w:szCs w:val="20"/>
              </w:rPr>
              <w:t xml:space="preserve">Capability</w:t>
            </w:r>
          </w:p>
        </w:tc>
        <w:tc>
          <w:tcPr>
            <w:tcW w:type="dxa" w:w="1850"/>
            <w:shd w:fill="E8EEF3" w:val="clear"/>
            <w:tcMar>
              <w:top w:type="dxa" w:w="100"/>
              <w:left w:type="dxa" w:w="100"/>
              <w:bottom w:type="dxa" w:w="100"/>
              <w:right w:type="dxa" w:w="100"/>
            </w:tcMar>
          </w:tcPr>
          <w:p>
            <w:pPr>
              <w:spacing w:after="40"/>
            </w:pPr>
            <w:r>
              <w:rPr>
                <w:b/>
                <w:bCs/>
                <w:color w:val="000000"/>
                <w:sz w:val="20"/>
                <w:szCs w:val="20"/>
              </w:rPr>
              <w:t xml:space="preserve">Current</w:t>
            </w:r>
          </w:p>
        </w:tc>
        <w:tc>
          <w:tcPr>
            <w:tcW w:type="dxa" w:w="1850"/>
            <w:shd w:fill="E8EEF3" w:val="clear"/>
            <w:tcMar>
              <w:top w:type="dxa" w:w="100"/>
              <w:left w:type="dxa" w:w="100"/>
              <w:bottom w:type="dxa" w:w="100"/>
              <w:right w:type="dxa" w:w="100"/>
            </w:tcMar>
          </w:tcPr>
          <w:p>
            <w:pPr>
              <w:spacing w:after="40"/>
            </w:pPr>
            <w:r>
              <w:rPr>
                <w:b/>
                <w:bCs/>
                <w:color w:val="000000"/>
                <w:sz w:val="20"/>
                <w:szCs w:val="20"/>
              </w:rPr>
              <w:t xml:space="preserve">Target</w:t>
            </w:r>
          </w:p>
        </w:tc>
        <w:tc>
          <w:tcPr>
            <w:tcW w:type="dxa" w:w="1300"/>
            <w:shd w:fill="E8EEF3" w:val="clear"/>
            <w:tcMar>
              <w:top w:type="dxa" w:w="100"/>
              <w:left w:type="dxa" w:w="100"/>
              <w:bottom w:type="dxa" w:w="100"/>
              <w:right w:type="dxa" w:w="100"/>
            </w:tcMar>
          </w:tcPr>
          <w:p>
            <w:pPr>
              <w:spacing w:after="40"/>
            </w:pPr>
            <w:r>
              <w:rPr>
                <w:b/>
                <w:bCs/>
                <w:color w:val="000000"/>
                <w:sz w:val="20"/>
                <w:szCs w:val="20"/>
              </w:rPr>
              <w:t xml:space="preserve">Gap</w:t>
            </w:r>
          </w:p>
        </w:tc>
      </w:tr>
      <w:tr>
        <w:trPr>
          <w:cantSplit/>
          <w:tblHeader w:val="false"/>
        </w:trPr>
        <w:tc>
          <w:tcPr>
            <w:tcW w:type="dxa" w:w="4200"/>
            <w:tcMar>
              <w:top w:type="dxa" w:w="100"/>
              <w:left w:type="dxa" w:w="100"/>
              <w:bottom w:type="dxa" w:w="100"/>
              <w:right w:type="dxa" w:w="100"/>
            </w:tcMar>
          </w:tcPr>
          <w:p>
            <w:pPr>
              <w:spacing w:after="40"/>
            </w:pPr>
            <w:r>
              <w:rPr>
                <w:b w:val="false"/>
                <w:bCs w:val="false"/>
                <w:color w:val="000000"/>
                <w:sz w:val="20"/>
                <w:szCs w:val="20"/>
              </w:rPr>
              <w:t xml:space="preserve">Dataverse architecture</w:t>
            </w:r>
          </w:p>
        </w:tc>
        <w:tc>
          <w:tcPr>
            <w:tcW w:type="dxa" w:w="1850"/>
            <w:tcMar>
              <w:top w:type="dxa" w:w="100"/>
              <w:left w:type="dxa" w:w="100"/>
              <w:bottom w:type="dxa" w:w="100"/>
              <w:right w:type="dxa" w:w="100"/>
            </w:tcMar>
          </w:tcPr>
          <w:p>
            <w:pPr>
              <w:spacing w:after="40"/>
            </w:pPr>
            <w:r>
              <w:rPr>
                <w:b w:val="false"/>
                <w:bCs w:val="false"/>
                <w:color w:val="000000"/>
                <w:sz w:val="20"/>
                <w:szCs w:val="20"/>
              </w:rPr>
              <w:t xml:space="preserve">3</w:t>
            </w:r>
          </w:p>
        </w:tc>
        <w:tc>
          <w:tcPr>
            <w:tcW w:type="dxa" w:w="1850"/>
            <w:tcMar>
              <w:top w:type="dxa" w:w="100"/>
              <w:left w:type="dxa" w:w="100"/>
              <w:bottom w:type="dxa" w:w="100"/>
              <w:right w:type="dxa" w:w="100"/>
            </w:tcMar>
          </w:tcPr>
          <w:p>
            <w:pPr>
              <w:spacing w:after="40"/>
            </w:pPr>
            <w:r>
              <w:rPr>
                <w:b w:val="false"/>
                <w:bCs w:val="false"/>
                <w:color w:val="000000"/>
                <w:sz w:val="20"/>
                <w:szCs w:val="20"/>
              </w:rPr>
              <w:t xml:space="preserve">5</w:t>
            </w:r>
          </w:p>
        </w:tc>
        <w:tc>
          <w:tcPr>
            <w:tcW w:type="dxa" w:w="1300"/>
            <w:tcMar>
              <w:top w:type="dxa" w:w="100"/>
              <w:left w:type="dxa" w:w="100"/>
              <w:bottom w:type="dxa" w:w="100"/>
              <w:right w:type="dxa" w:w="100"/>
            </w:tcMar>
          </w:tcPr>
          <w:p>
            <w:pPr>
              <w:spacing w:after="40"/>
            </w:pPr>
            <w:r>
              <w:rPr>
                <w:b w:val="false"/>
                <w:bCs w:val="false"/>
                <w:color w:val="000000"/>
                <w:sz w:val="20"/>
                <w:szCs w:val="20"/>
              </w:rPr>
              <w:t xml:space="preserve">2</w:t>
            </w:r>
          </w:p>
        </w:tc>
      </w:tr>
      <w:tr>
        <w:trPr>
          <w:cantSplit/>
          <w:tblHeader w:val="false"/>
        </w:trPr>
        <w:tc>
          <w:tcPr>
            <w:tcW w:type="dxa" w:w="4200"/>
            <w:tcMar>
              <w:top w:type="dxa" w:w="100"/>
              <w:left w:type="dxa" w:w="100"/>
              <w:bottom w:type="dxa" w:w="100"/>
              <w:right w:type="dxa" w:w="100"/>
            </w:tcMar>
          </w:tcPr>
          <w:p>
            <w:pPr>
              <w:spacing w:after="40"/>
            </w:pPr>
            <w:r>
              <w:rPr>
                <w:b w:val="false"/>
                <w:bCs w:val="false"/>
                <w:color w:val="000000"/>
                <w:sz w:val="20"/>
                <w:szCs w:val="20"/>
              </w:rPr>
              <w:t xml:space="preserve">Security and identity</w:t>
            </w:r>
          </w:p>
        </w:tc>
        <w:tc>
          <w:tcPr>
            <w:tcW w:type="dxa" w:w="1850"/>
            <w:tcMar>
              <w:top w:type="dxa" w:w="100"/>
              <w:left w:type="dxa" w:w="100"/>
              <w:bottom w:type="dxa" w:w="100"/>
              <w:right w:type="dxa" w:w="100"/>
            </w:tcMar>
          </w:tcPr>
          <w:p>
            <w:pPr>
              <w:spacing w:after="40"/>
            </w:pPr>
            <w:r>
              <w:rPr>
                <w:b w:val="false"/>
                <w:bCs w:val="false"/>
                <w:color w:val="000000"/>
                <w:sz w:val="20"/>
                <w:szCs w:val="20"/>
              </w:rPr>
              <w:t xml:space="preserve">4</w:t>
            </w:r>
          </w:p>
        </w:tc>
        <w:tc>
          <w:tcPr>
            <w:tcW w:type="dxa" w:w="1850"/>
            <w:tcMar>
              <w:top w:type="dxa" w:w="100"/>
              <w:left w:type="dxa" w:w="100"/>
              <w:bottom w:type="dxa" w:w="100"/>
              <w:right w:type="dxa" w:w="100"/>
            </w:tcMar>
          </w:tcPr>
          <w:p>
            <w:pPr>
              <w:spacing w:after="40"/>
            </w:pPr>
            <w:r>
              <w:rPr>
                <w:b w:val="false"/>
                <w:bCs w:val="false"/>
                <w:color w:val="000000"/>
                <w:sz w:val="20"/>
                <w:szCs w:val="20"/>
              </w:rPr>
              <w:t xml:space="preserve">4</w:t>
            </w:r>
          </w:p>
        </w:tc>
        <w:tc>
          <w:tcPr>
            <w:tcW w:type="dxa" w:w="1300"/>
            <w:tcMar>
              <w:top w:type="dxa" w:w="100"/>
              <w:left w:type="dxa" w:w="100"/>
              <w:bottom w:type="dxa" w:w="100"/>
              <w:right w:type="dxa" w:w="100"/>
            </w:tcMar>
          </w:tcPr>
          <w:p>
            <w:pPr>
              <w:spacing w:after="40"/>
            </w:pPr>
            <w:r>
              <w:rPr>
                <w:b w:val="false"/>
                <w:bCs w:val="false"/>
                <w:color w:val="000000"/>
                <w:sz w:val="20"/>
                <w:szCs w:val="20"/>
              </w:rPr>
              <w:t xml:space="preserve">0</w:t>
            </w:r>
          </w:p>
        </w:tc>
      </w:tr>
      <w:tr>
        <w:trPr>
          <w:cantSplit/>
          <w:tblHeader w:val="false"/>
        </w:trPr>
        <w:tc>
          <w:tcPr>
            <w:tcW w:type="dxa" w:w="4200"/>
            <w:tcMar>
              <w:top w:type="dxa" w:w="100"/>
              <w:left w:type="dxa" w:w="100"/>
              <w:bottom w:type="dxa" w:w="100"/>
              <w:right w:type="dxa" w:w="100"/>
            </w:tcMar>
          </w:tcPr>
          <w:p>
            <w:pPr>
              <w:spacing w:after="40"/>
            </w:pPr>
            <w:r>
              <w:rPr>
                <w:b w:val="false"/>
                <w:bCs w:val="false"/>
                <w:color w:val="000000"/>
                <w:sz w:val="20"/>
                <w:szCs w:val="20"/>
              </w:rPr>
              <w:t xml:space="preserve">Integration architecture</w:t>
            </w:r>
          </w:p>
        </w:tc>
        <w:tc>
          <w:tcPr>
            <w:tcW w:type="dxa" w:w="1850"/>
            <w:tcMar>
              <w:top w:type="dxa" w:w="100"/>
              <w:left w:type="dxa" w:w="100"/>
              <w:bottom w:type="dxa" w:w="100"/>
              <w:right w:type="dxa" w:w="100"/>
            </w:tcMar>
          </w:tcPr>
          <w:p>
            <w:pPr>
              <w:spacing w:after="40"/>
            </w:pPr>
            <w:r>
              <w:rPr>
                <w:b w:val="false"/>
                <w:bCs w:val="false"/>
                <w:color w:val="000000"/>
                <w:sz w:val="20"/>
                <w:szCs w:val="20"/>
              </w:rPr>
              <w:t xml:space="preserve">2</w:t>
            </w:r>
          </w:p>
        </w:tc>
        <w:tc>
          <w:tcPr>
            <w:tcW w:type="dxa" w:w="1850"/>
            <w:tcMar>
              <w:top w:type="dxa" w:w="100"/>
              <w:left w:type="dxa" w:w="100"/>
              <w:bottom w:type="dxa" w:w="100"/>
              <w:right w:type="dxa" w:w="100"/>
            </w:tcMar>
          </w:tcPr>
          <w:p>
            <w:pPr>
              <w:spacing w:after="40"/>
            </w:pPr>
            <w:r>
              <w:rPr>
                <w:b w:val="false"/>
                <w:bCs w:val="false"/>
                <w:color w:val="000000"/>
                <w:sz w:val="20"/>
                <w:szCs w:val="20"/>
              </w:rPr>
              <w:t xml:space="preserve">5</w:t>
            </w:r>
          </w:p>
        </w:tc>
        <w:tc>
          <w:tcPr>
            <w:tcW w:type="dxa" w:w="1300"/>
            <w:tcMar>
              <w:top w:type="dxa" w:w="100"/>
              <w:left w:type="dxa" w:w="100"/>
              <w:bottom w:type="dxa" w:w="100"/>
              <w:right w:type="dxa" w:w="100"/>
            </w:tcMar>
          </w:tcPr>
          <w:p>
            <w:pPr>
              <w:spacing w:after="40"/>
            </w:pPr>
            <w:r>
              <w:rPr>
                <w:b w:val="false"/>
                <w:bCs w:val="false"/>
                <w:color w:val="000000"/>
                <w:sz w:val="20"/>
                <w:szCs w:val="20"/>
              </w:rPr>
              <w:t xml:space="preserve">3</w:t>
            </w:r>
          </w:p>
        </w:tc>
      </w:tr>
    </w:tbl>
    <w:p>
      <w:pPr>
        <w:pStyle w:val="Heading2"/>
        <w:keepNext/>
        <w:spacing w:after="140" w:before="260"/>
      </w:pPr>
      <w:r>
        <w:t xml:space="preserve">Engineering and delivery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00"/>
        <w:gridCol w:w="1850"/>
        <w:gridCol w:w="1850"/>
        <w:gridCol w:w="1300"/>
      </w:tblGrid>
      <w:tr>
        <w:trPr>
          <w:cantSplit/>
          <w:tblHeader/>
        </w:trPr>
        <w:tc>
          <w:tcPr>
            <w:tcW w:type="dxa" w:w="4200"/>
            <w:shd w:fill="E8EEF3" w:val="clear"/>
            <w:tcMar>
              <w:top w:type="dxa" w:w="100"/>
              <w:left w:type="dxa" w:w="100"/>
              <w:bottom w:type="dxa" w:w="100"/>
              <w:right w:type="dxa" w:w="100"/>
            </w:tcMar>
          </w:tcPr>
          <w:p>
            <w:pPr>
              <w:spacing w:after="40"/>
            </w:pPr>
            <w:r>
              <w:rPr>
                <w:b/>
                <w:bCs/>
                <w:color w:val="000000"/>
                <w:sz w:val="20"/>
                <w:szCs w:val="20"/>
              </w:rPr>
              <w:t xml:space="preserve">Capability</w:t>
            </w:r>
          </w:p>
        </w:tc>
        <w:tc>
          <w:tcPr>
            <w:tcW w:type="dxa" w:w="1850"/>
            <w:shd w:fill="E8EEF3" w:val="clear"/>
            <w:tcMar>
              <w:top w:type="dxa" w:w="100"/>
              <w:left w:type="dxa" w:w="100"/>
              <w:bottom w:type="dxa" w:w="100"/>
              <w:right w:type="dxa" w:w="100"/>
            </w:tcMar>
          </w:tcPr>
          <w:p>
            <w:pPr>
              <w:spacing w:after="40"/>
            </w:pPr>
            <w:r>
              <w:rPr>
                <w:b/>
                <w:bCs/>
                <w:color w:val="000000"/>
                <w:sz w:val="20"/>
                <w:szCs w:val="20"/>
              </w:rPr>
              <w:t xml:space="preserve">Current</w:t>
            </w:r>
          </w:p>
        </w:tc>
        <w:tc>
          <w:tcPr>
            <w:tcW w:type="dxa" w:w="1850"/>
            <w:shd w:fill="E8EEF3" w:val="clear"/>
            <w:tcMar>
              <w:top w:type="dxa" w:w="100"/>
              <w:left w:type="dxa" w:w="100"/>
              <w:bottom w:type="dxa" w:w="100"/>
              <w:right w:type="dxa" w:w="100"/>
            </w:tcMar>
          </w:tcPr>
          <w:p>
            <w:pPr>
              <w:spacing w:after="40"/>
            </w:pPr>
            <w:r>
              <w:rPr>
                <w:b/>
                <w:bCs/>
                <w:color w:val="000000"/>
                <w:sz w:val="20"/>
                <w:szCs w:val="20"/>
              </w:rPr>
              <w:t xml:space="preserve">Target</w:t>
            </w:r>
          </w:p>
        </w:tc>
        <w:tc>
          <w:tcPr>
            <w:tcW w:type="dxa" w:w="1300"/>
            <w:shd w:fill="E8EEF3" w:val="clear"/>
            <w:tcMar>
              <w:top w:type="dxa" w:w="100"/>
              <w:left w:type="dxa" w:w="100"/>
              <w:bottom w:type="dxa" w:w="100"/>
              <w:right w:type="dxa" w:w="100"/>
            </w:tcMar>
          </w:tcPr>
          <w:p>
            <w:pPr>
              <w:spacing w:after="40"/>
            </w:pPr>
            <w:r>
              <w:rPr>
                <w:b/>
                <w:bCs/>
                <w:color w:val="000000"/>
                <w:sz w:val="20"/>
                <w:szCs w:val="20"/>
              </w:rPr>
              <w:t xml:space="preserve">Gap</w:t>
            </w:r>
          </w:p>
        </w:tc>
      </w:tr>
      <w:tr>
        <w:trPr>
          <w:cantSplit/>
          <w:tblHeader w:val="false"/>
        </w:trPr>
        <w:tc>
          <w:tcPr>
            <w:tcW w:type="dxa" w:w="4200"/>
            <w:tcMar>
              <w:top w:type="dxa" w:w="100"/>
              <w:left w:type="dxa" w:w="100"/>
              <w:bottom w:type="dxa" w:w="100"/>
              <w:right w:type="dxa" w:w="100"/>
            </w:tcMar>
          </w:tcPr>
          <w:p>
            <w:pPr>
              <w:spacing w:after="40"/>
            </w:pPr>
            <w:r>
              <w:rPr>
                <w:b w:val="false"/>
                <w:bCs w:val="false"/>
                <w:color w:val="000000"/>
                <w:sz w:val="20"/>
                <w:szCs w:val="20"/>
              </w:rPr>
              <w:t xml:space="preserve">Application lifecycle management</w:t>
            </w:r>
          </w:p>
        </w:tc>
        <w:tc>
          <w:tcPr>
            <w:tcW w:type="dxa" w:w="1850"/>
            <w:tcMar>
              <w:top w:type="dxa" w:w="100"/>
              <w:left w:type="dxa" w:w="100"/>
              <w:bottom w:type="dxa" w:w="100"/>
              <w:right w:type="dxa" w:w="100"/>
            </w:tcMar>
          </w:tcPr>
          <w:p>
            <w:pPr>
              <w:spacing w:after="40"/>
            </w:pPr>
            <w:r>
              <w:rPr>
                <w:b w:val="false"/>
                <w:bCs w:val="false"/>
                <w:color w:val="000000"/>
                <w:sz w:val="20"/>
                <w:szCs w:val="20"/>
              </w:rPr>
              <w:t xml:space="preserve">3</w:t>
            </w:r>
          </w:p>
        </w:tc>
        <w:tc>
          <w:tcPr>
            <w:tcW w:type="dxa" w:w="1850"/>
            <w:tcMar>
              <w:top w:type="dxa" w:w="100"/>
              <w:left w:type="dxa" w:w="100"/>
              <w:bottom w:type="dxa" w:w="100"/>
              <w:right w:type="dxa" w:w="100"/>
            </w:tcMar>
          </w:tcPr>
          <w:p>
            <w:pPr>
              <w:spacing w:after="40"/>
            </w:pPr>
            <w:r>
              <w:rPr>
                <w:b w:val="false"/>
                <w:bCs w:val="false"/>
                <w:color w:val="000000"/>
                <w:sz w:val="20"/>
                <w:szCs w:val="20"/>
              </w:rPr>
              <w:t xml:space="preserve">5</w:t>
            </w:r>
          </w:p>
        </w:tc>
        <w:tc>
          <w:tcPr>
            <w:tcW w:type="dxa" w:w="1300"/>
            <w:tcMar>
              <w:top w:type="dxa" w:w="100"/>
              <w:left w:type="dxa" w:w="100"/>
              <w:bottom w:type="dxa" w:w="100"/>
              <w:right w:type="dxa" w:w="100"/>
            </w:tcMar>
          </w:tcPr>
          <w:p>
            <w:pPr>
              <w:spacing w:after="40"/>
            </w:pPr>
            <w:r>
              <w:rPr>
                <w:b w:val="false"/>
                <w:bCs w:val="false"/>
                <w:color w:val="000000"/>
                <w:sz w:val="20"/>
                <w:szCs w:val="20"/>
              </w:rPr>
              <w:t xml:space="preserve">2</w:t>
            </w:r>
          </w:p>
        </w:tc>
      </w:tr>
      <w:tr>
        <w:trPr>
          <w:cantSplit/>
          <w:tblHeader w:val="false"/>
        </w:trPr>
        <w:tc>
          <w:tcPr>
            <w:tcW w:type="dxa" w:w="4200"/>
            <w:tcMar>
              <w:top w:type="dxa" w:w="100"/>
              <w:left w:type="dxa" w:w="100"/>
              <w:bottom w:type="dxa" w:w="100"/>
              <w:right w:type="dxa" w:w="100"/>
            </w:tcMar>
          </w:tcPr>
          <w:p>
            <w:pPr>
              <w:spacing w:after="40"/>
            </w:pPr>
            <w:r>
              <w:rPr>
                <w:b w:val="false"/>
                <w:bCs w:val="false"/>
                <w:color w:val="000000"/>
                <w:sz w:val="20"/>
                <w:szCs w:val="20"/>
              </w:rPr>
              <w:t xml:space="preserve">Deployment automation</w:t>
            </w:r>
          </w:p>
        </w:tc>
        <w:tc>
          <w:tcPr>
            <w:tcW w:type="dxa" w:w="1850"/>
            <w:tcMar>
              <w:top w:type="dxa" w:w="100"/>
              <w:left w:type="dxa" w:w="100"/>
              <w:bottom w:type="dxa" w:w="100"/>
              <w:right w:type="dxa" w:w="100"/>
            </w:tcMar>
          </w:tcPr>
          <w:p>
            <w:pPr>
              <w:spacing w:after="40"/>
            </w:pPr>
            <w:r>
              <w:rPr>
                <w:b w:val="false"/>
                <w:bCs w:val="false"/>
                <w:color w:val="000000"/>
                <w:sz w:val="20"/>
                <w:szCs w:val="20"/>
              </w:rPr>
              <w:t xml:space="preserve">2</w:t>
            </w:r>
          </w:p>
        </w:tc>
        <w:tc>
          <w:tcPr>
            <w:tcW w:type="dxa" w:w="1850"/>
            <w:tcMar>
              <w:top w:type="dxa" w:w="100"/>
              <w:left w:type="dxa" w:w="100"/>
              <w:bottom w:type="dxa" w:w="100"/>
              <w:right w:type="dxa" w:w="100"/>
            </w:tcMar>
          </w:tcPr>
          <w:p>
            <w:pPr>
              <w:spacing w:after="40"/>
            </w:pPr>
            <w:r>
              <w:rPr>
                <w:b w:val="false"/>
                <w:bCs w:val="false"/>
                <w:color w:val="000000"/>
                <w:sz w:val="20"/>
                <w:szCs w:val="20"/>
              </w:rPr>
              <w:t xml:space="preserve">4</w:t>
            </w:r>
          </w:p>
        </w:tc>
        <w:tc>
          <w:tcPr>
            <w:tcW w:type="dxa" w:w="1300"/>
            <w:tcMar>
              <w:top w:type="dxa" w:w="100"/>
              <w:left w:type="dxa" w:w="100"/>
              <w:bottom w:type="dxa" w:w="100"/>
              <w:right w:type="dxa" w:w="100"/>
            </w:tcMar>
          </w:tcPr>
          <w:p>
            <w:pPr>
              <w:spacing w:after="40"/>
            </w:pPr>
            <w:r>
              <w:rPr>
                <w:b w:val="false"/>
                <w:bCs w:val="false"/>
                <w:color w:val="000000"/>
                <w:sz w:val="20"/>
                <w:szCs w:val="20"/>
              </w:rPr>
              <w:t xml:space="preserve">2</w:t>
            </w:r>
          </w:p>
        </w:tc>
      </w:tr>
      <w:tr>
        <w:trPr>
          <w:cantSplit/>
          <w:tblHeader w:val="false"/>
        </w:trPr>
        <w:tc>
          <w:tcPr>
            <w:tcW w:type="dxa" w:w="4200"/>
            <w:tcMar>
              <w:top w:type="dxa" w:w="100"/>
              <w:left w:type="dxa" w:w="100"/>
              <w:bottom w:type="dxa" w:w="100"/>
              <w:right w:type="dxa" w:w="100"/>
            </w:tcMar>
          </w:tcPr>
          <w:p>
            <w:pPr>
              <w:spacing w:after="40"/>
            </w:pPr>
            <w:r>
              <w:rPr>
                <w:b w:val="false"/>
                <w:bCs w:val="false"/>
                <w:color w:val="000000"/>
                <w:sz w:val="20"/>
                <w:szCs w:val="20"/>
              </w:rPr>
              <w:t xml:space="preserve">Automated testing</w:t>
            </w:r>
          </w:p>
        </w:tc>
        <w:tc>
          <w:tcPr>
            <w:tcW w:type="dxa" w:w="1850"/>
            <w:tcMar>
              <w:top w:type="dxa" w:w="100"/>
              <w:left w:type="dxa" w:w="100"/>
              <w:bottom w:type="dxa" w:w="100"/>
              <w:right w:type="dxa" w:w="100"/>
            </w:tcMar>
          </w:tcPr>
          <w:p>
            <w:pPr>
              <w:spacing w:after="40"/>
            </w:pPr>
            <w:r>
              <w:rPr>
                <w:b w:val="false"/>
                <w:bCs w:val="false"/>
                <w:color w:val="000000"/>
                <w:sz w:val="20"/>
                <w:szCs w:val="20"/>
              </w:rPr>
              <w:t xml:space="preserve">2</w:t>
            </w:r>
          </w:p>
        </w:tc>
        <w:tc>
          <w:tcPr>
            <w:tcW w:type="dxa" w:w="1850"/>
            <w:tcMar>
              <w:top w:type="dxa" w:w="100"/>
              <w:left w:type="dxa" w:w="100"/>
              <w:bottom w:type="dxa" w:w="100"/>
              <w:right w:type="dxa" w:w="100"/>
            </w:tcMar>
          </w:tcPr>
          <w:p>
            <w:pPr>
              <w:spacing w:after="40"/>
            </w:pPr>
            <w:r>
              <w:rPr>
                <w:b w:val="false"/>
                <w:bCs w:val="false"/>
                <w:color w:val="000000"/>
                <w:sz w:val="20"/>
                <w:szCs w:val="20"/>
              </w:rPr>
              <w:t xml:space="preserve">5</w:t>
            </w:r>
          </w:p>
        </w:tc>
        <w:tc>
          <w:tcPr>
            <w:tcW w:type="dxa" w:w="1300"/>
            <w:tcMar>
              <w:top w:type="dxa" w:w="100"/>
              <w:left w:type="dxa" w:w="100"/>
              <w:bottom w:type="dxa" w:w="100"/>
              <w:right w:type="dxa" w:w="100"/>
            </w:tcMar>
          </w:tcPr>
          <w:p>
            <w:pPr>
              <w:spacing w:after="40"/>
            </w:pPr>
            <w:r>
              <w:rPr>
                <w:b w:val="false"/>
                <w:bCs w:val="false"/>
                <w:color w:val="000000"/>
                <w:sz w:val="20"/>
                <w:szCs w:val="20"/>
              </w:rPr>
              <w:t xml:space="preserve">3</w:t>
            </w:r>
          </w:p>
        </w:tc>
      </w:tr>
    </w:tbl>
    <w:p>
      <w:pPr>
        <w:pStyle w:val="Heading2"/>
        <w:keepNext/>
        <w:spacing w:after="140" w:before="260"/>
      </w:pPr>
      <w:r>
        <w:t xml:space="preserve">Operations and resilience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00"/>
        <w:gridCol w:w="1850"/>
        <w:gridCol w:w="1850"/>
        <w:gridCol w:w="1300"/>
      </w:tblGrid>
      <w:tr>
        <w:trPr>
          <w:cantSplit/>
          <w:tblHeader/>
        </w:trPr>
        <w:tc>
          <w:tcPr>
            <w:tcW w:type="dxa" w:w="4200"/>
            <w:shd w:fill="E8EEF3" w:val="clear"/>
            <w:tcMar>
              <w:top w:type="dxa" w:w="100"/>
              <w:left w:type="dxa" w:w="100"/>
              <w:bottom w:type="dxa" w:w="100"/>
              <w:right w:type="dxa" w:w="100"/>
            </w:tcMar>
          </w:tcPr>
          <w:p>
            <w:pPr>
              <w:spacing w:after="40"/>
            </w:pPr>
            <w:r>
              <w:rPr>
                <w:b/>
                <w:bCs/>
                <w:color w:val="000000"/>
                <w:sz w:val="20"/>
                <w:szCs w:val="20"/>
              </w:rPr>
              <w:t xml:space="preserve">Capability</w:t>
            </w:r>
          </w:p>
        </w:tc>
        <w:tc>
          <w:tcPr>
            <w:tcW w:type="dxa" w:w="1850"/>
            <w:shd w:fill="E8EEF3" w:val="clear"/>
            <w:tcMar>
              <w:top w:type="dxa" w:w="100"/>
              <w:left w:type="dxa" w:w="100"/>
              <w:bottom w:type="dxa" w:w="100"/>
              <w:right w:type="dxa" w:w="100"/>
            </w:tcMar>
          </w:tcPr>
          <w:p>
            <w:pPr>
              <w:spacing w:after="40"/>
            </w:pPr>
            <w:r>
              <w:rPr>
                <w:b/>
                <w:bCs/>
                <w:color w:val="000000"/>
                <w:sz w:val="20"/>
                <w:szCs w:val="20"/>
              </w:rPr>
              <w:t xml:space="preserve">Current</w:t>
            </w:r>
          </w:p>
        </w:tc>
        <w:tc>
          <w:tcPr>
            <w:tcW w:type="dxa" w:w="1850"/>
            <w:shd w:fill="E8EEF3" w:val="clear"/>
            <w:tcMar>
              <w:top w:type="dxa" w:w="100"/>
              <w:left w:type="dxa" w:w="100"/>
              <w:bottom w:type="dxa" w:w="100"/>
              <w:right w:type="dxa" w:w="100"/>
            </w:tcMar>
          </w:tcPr>
          <w:p>
            <w:pPr>
              <w:spacing w:after="40"/>
            </w:pPr>
            <w:r>
              <w:rPr>
                <w:b/>
                <w:bCs/>
                <w:color w:val="000000"/>
                <w:sz w:val="20"/>
                <w:szCs w:val="20"/>
              </w:rPr>
              <w:t xml:space="preserve">Target</w:t>
            </w:r>
          </w:p>
        </w:tc>
        <w:tc>
          <w:tcPr>
            <w:tcW w:type="dxa" w:w="1300"/>
            <w:shd w:fill="E8EEF3" w:val="clear"/>
            <w:tcMar>
              <w:top w:type="dxa" w:w="100"/>
              <w:left w:type="dxa" w:w="100"/>
              <w:bottom w:type="dxa" w:w="100"/>
              <w:right w:type="dxa" w:w="100"/>
            </w:tcMar>
          </w:tcPr>
          <w:p>
            <w:pPr>
              <w:spacing w:after="40"/>
            </w:pPr>
            <w:r>
              <w:rPr>
                <w:b/>
                <w:bCs/>
                <w:color w:val="000000"/>
                <w:sz w:val="20"/>
                <w:szCs w:val="20"/>
              </w:rPr>
              <w:t xml:space="preserve">Gap</w:t>
            </w:r>
          </w:p>
        </w:tc>
      </w:tr>
      <w:tr>
        <w:trPr>
          <w:cantSplit/>
          <w:tblHeader w:val="false"/>
        </w:trPr>
        <w:tc>
          <w:tcPr>
            <w:tcW w:type="dxa" w:w="4200"/>
            <w:tcMar>
              <w:top w:type="dxa" w:w="100"/>
              <w:left w:type="dxa" w:w="100"/>
              <w:bottom w:type="dxa" w:w="100"/>
              <w:right w:type="dxa" w:w="100"/>
            </w:tcMar>
          </w:tcPr>
          <w:p>
            <w:pPr>
              <w:spacing w:after="40"/>
            </w:pPr>
            <w:r>
              <w:rPr>
                <w:b w:val="false"/>
                <w:bCs w:val="false"/>
                <w:color w:val="000000"/>
                <w:sz w:val="20"/>
                <w:szCs w:val="20"/>
              </w:rPr>
              <w:t xml:space="preserve">Monitoring and observability</w:t>
            </w:r>
          </w:p>
        </w:tc>
        <w:tc>
          <w:tcPr>
            <w:tcW w:type="dxa" w:w="1850"/>
            <w:tcMar>
              <w:top w:type="dxa" w:w="100"/>
              <w:left w:type="dxa" w:w="100"/>
              <w:bottom w:type="dxa" w:w="100"/>
              <w:right w:type="dxa" w:w="100"/>
            </w:tcMar>
          </w:tcPr>
          <w:p>
            <w:pPr>
              <w:spacing w:after="40"/>
            </w:pPr>
            <w:r>
              <w:rPr>
                <w:b w:val="false"/>
                <w:bCs w:val="false"/>
                <w:color w:val="000000"/>
                <w:sz w:val="20"/>
                <w:szCs w:val="20"/>
              </w:rPr>
              <w:t xml:space="preserve">3</w:t>
            </w:r>
          </w:p>
        </w:tc>
        <w:tc>
          <w:tcPr>
            <w:tcW w:type="dxa" w:w="1850"/>
            <w:tcMar>
              <w:top w:type="dxa" w:w="100"/>
              <w:left w:type="dxa" w:w="100"/>
              <w:bottom w:type="dxa" w:w="100"/>
              <w:right w:type="dxa" w:w="100"/>
            </w:tcMar>
          </w:tcPr>
          <w:p>
            <w:pPr>
              <w:spacing w:after="40"/>
            </w:pPr>
            <w:r>
              <w:rPr>
                <w:b w:val="false"/>
                <w:bCs w:val="false"/>
                <w:color w:val="000000"/>
                <w:sz w:val="20"/>
                <w:szCs w:val="20"/>
              </w:rPr>
              <w:t xml:space="preserve">5</w:t>
            </w:r>
          </w:p>
        </w:tc>
        <w:tc>
          <w:tcPr>
            <w:tcW w:type="dxa" w:w="1300"/>
            <w:tcMar>
              <w:top w:type="dxa" w:w="100"/>
              <w:left w:type="dxa" w:w="100"/>
              <w:bottom w:type="dxa" w:w="100"/>
              <w:right w:type="dxa" w:w="100"/>
            </w:tcMar>
          </w:tcPr>
          <w:p>
            <w:pPr>
              <w:spacing w:after="40"/>
            </w:pPr>
            <w:r>
              <w:rPr>
                <w:b w:val="false"/>
                <w:bCs w:val="false"/>
                <w:color w:val="000000"/>
                <w:sz w:val="20"/>
                <w:szCs w:val="20"/>
              </w:rPr>
              <w:t xml:space="preserve">2</w:t>
            </w:r>
          </w:p>
        </w:tc>
      </w:tr>
      <w:tr>
        <w:trPr>
          <w:cantSplit/>
          <w:tblHeader w:val="false"/>
        </w:trPr>
        <w:tc>
          <w:tcPr>
            <w:tcW w:type="dxa" w:w="4200"/>
            <w:tcMar>
              <w:top w:type="dxa" w:w="100"/>
              <w:left w:type="dxa" w:w="100"/>
              <w:bottom w:type="dxa" w:w="100"/>
              <w:right w:type="dxa" w:w="100"/>
            </w:tcMar>
          </w:tcPr>
          <w:p>
            <w:pPr>
              <w:spacing w:after="40"/>
            </w:pPr>
            <w:r>
              <w:rPr>
                <w:b w:val="false"/>
                <w:bCs w:val="false"/>
                <w:color w:val="000000"/>
                <w:sz w:val="20"/>
                <w:szCs w:val="20"/>
              </w:rPr>
              <w:t xml:space="preserve">Recovery and continuity</w:t>
            </w:r>
          </w:p>
        </w:tc>
        <w:tc>
          <w:tcPr>
            <w:tcW w:type="dxa" w:w="1850"/>
            <w:tcMar>
              <w:top w:type="dxa" w:w="100"/>
              <w:left w:type="dxa" w:w="100"/>
              <w:bottom w:type="dxa" w:w="100"/>
              <w:right w:type="dxa" w:w="100"/>
            </w:tcMar>
          </w:tcPr>
          <w:p>
            <w:pPr>
              <w:spacing w:after="40"/>
            </w:pPr>
            <w:r>
              <w:rPr>
                <w:b w:val="false"/>
                <w:bCs w:val="false"/>
                <w:color w:val="000000"/>
                <w:sz w:val="20"/>
                <w:szCs w:val="20"/>
              </w:rPr>
              <w:t xml:space="preserve">2</w:t>
            </w:r>
          </w:p>
        </w:tc>
        <w:tc>
          <w:tcPr>
            <w:tcW w:type="dxa" w:w="1850"/>
            <w:tcMar>
              <w:top w:type="dxa" w:w="100"/>
              <w:left w:type="dxa" w:w="100"/>
              <w:bottom w:type="dxa" w:w="100"/>
              <w:right w:type="dxa" w:w="100"/>
            </w:tcMar>
          </w:tcPr>
          <w:p>
            <w:pPr>
              <w:spacing w:after="40"/>
            </w:pPr>
            <w:r>
              <w:rPr>
                <w:b w:val="false"/>
                <w:bCs w:val="false"/>
                <w:color w:val="000000"/>
                <w:sz w:val="20"/>
                <w:szCs w:val="20"/>
              </w:rPr>
              <w:t xml:space="preserve">4</w:t>
            </w:r>
          </w:p>
        </w:tc>
        <w:tc>
          <w:tcPr>
            <w:tcW w:type="dxa" w:w="1300"/>
            <w:tcMar>
              <w:top w:type="dxa" w:w="100"/>
              <w:left w:type="dxa" w:w="100"/>
              <w:bottom w:type="dxa" w:w="100"/>
              <w:right w:type="dxa" w:w="100"/>
            </w:tcMar>
          </w:tcPr>
          <w:p>
            <w:pPr>
              <w:spacing w:after="40"/>
            </w:pPr>
            <w:r>
              <w:rPr>
                <w:b w:val="false"/>
                <w:bCs w:val="false"/>
                <w:color w:val="000000"/>
                <w:sz w:val="20"/>
                <w:szCs w:val="20"/>
              </w:rPr>
              <w:t xml:space="preserve">2</w:t>
            </w:r>
          </w:p>
        </w:tc>
      </w:tr>
      <w:tr>
        <w:trPr>
          <w:cantSplit/>
          <w:tblHeader w:val="false"/>
        </w:trPr>
        <w:tc>
          <w:tcPr>
            <w:tcW w:type="dxa" w:w="4200"/>
            <w:tcMar>
              <w:top w:type="dxa" w:w="100"/>
              <w:left w:type="dxa" w:w="100"/>
              <w:bottom w:type="dxa" w:w="100"/>
              <w:right w:type="dxa" w:w="100"/>
            </w:tcMar>
          </w:tcPr>
          <w:p>
            <w:pPr>
              <w:spacing w:after="40"/>
            </w:pPr>
            <w:r>
              <w:rPr>
                <w:b w:val="false"/>
                <w:bCs w:val="false"/>
                <w:color w:val="000000"/>
                <w:sz w:val="20"/>
                <w:szCs w:val="20"/>
              </w:rPr>
              <w:t xml:space="preserve">Capacity and licensing</w:t>
            </w:r>
          </w:p>
        </w:tc>
        <w:tc>
          <w:tcPr>
            <w:tcW w:type="dxa" w:w="1850"/>
            <w:tcMar>
              <w:top w:type="dxa" w:w="100"/>
              <w:left w:type="dxa" w:w="100"/>
              <w:bottom w:type="dxa" w:w="100"/>
              <w:right w:type="dxa" w:w="100"/>
            </w:tcMar>
          </w:tcPr>
          <w:p>
            <w:pPr>
              <w:spacing w:after="40"/>
            </w:pPr>
            <w:r>
              <w:rPr>
                <w:b w:val="false"/>
                <w:bCs w:val="false"/>
                <w:color w:val="000000"/>
                <w:sz w:val="20"/>
                <w:szCs w:val="20"/>
              </w:rPr>
              <w:t xml:space="preserve">3</w:t>
            </w:r>
          </w:p>
        </w:tc>
        <w:tc>
          <w:tcPr>
            <w:tcW w:type="dxa" w:w="1850"/>
            <w:tcMar>
              <w:top w:type="dxa" w:w="100"/>
              <w:left w:type="dxa" w:w="100"/>
              <w:bottom w:type="dxa" w:w="100"/>
              <w:right w:type="dxa" w:w="100"/>
            </w:tcMar>
          </w:tcPr>
          <w:p>
            <w:pPr>
              <w:spacing w:after="40"/>
            </w:pPr>
            <w:r>
              <w:rPr>
                <w:b w:val="false"/>
                <w:bCs w:val="false"/>
                <w:color w:val="000000"/>
                <w:sz w:val="20"/>
                <w:szCs w:val="20"/>
              </w:rPr>
              <w:t xml:space="preserve">5</w:t>
            </w:r>
          </w:p>
        </w:tc>
        <w:tc>
          <w:tcPr>
            <w:tcW w:type="dxa" w:w="1300"/>
            <w:tcMar>
              <w:top w:type="dxa" w:w="100"/>
              <w:left w:type="dxa" w:w="100"/>
              <w:bottom w:type="dxa" w:w="100"/>
              <w:right w:type="dxa" w:w="100"/>
            </w:tcMar>
          </w:tcPr>
          <w:p>
            <w:pPr>
              <w:spacing w:after="40"/>
            </w:pPr>
            <w:r>
              <w:rPr>
                <w:b w:val="false"/>
                <w:bCs w:val="false"/>
                <w:color w:val="000000"/>
                <w:sz w:val="20"/>
                <w:szCs w:val="20"/>
              </w:rPr>
              <w:t xml:space="preserve">2</w:t>
            </w:r>
          </w:p>
        </w:tc>
      </w:tr>
    </w:tbl>
    <w:p>
      <w:pPr>
        <w:pStyle w:val="Heading1"/>
        <w:keepNext/>
        <w:spacing w:after="140" w:before="260"/>
      </w:pPr>
      <w:r>
        <w:t xml:space="preserve">Improvement roadmap</w:t>
      </w:r>
    </w:p>
    <w:p>
      <w:pPr>
        <w:spacing w:after="120"/>
      </w:pPr>
      <w:r>
        <w:t xml:space="preserve">Actions are ordered by business priority, then gap and capability weight. Review risk, cost and feasibility before committing to the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2500"/>
        <w:gridCol w:w="1300"/>
      </w:tblGrid>
      <w:tr>
        <w:trPr>
          <w:cantSplit/>
          <w:tblHeader/>
        </w:trPr>
        <w:tc>
          <w:tcPr>
            <w:tcW w:type="dxa" w:w="3800"/>
            <w:shd w:fill="E8EEF3" w:val="clear"/>
            <w:tcMar>
              <w:top w:type="dxa" w:w="100"/>
              <w:left w:type="dxa" w:w="100"/>
              <w:bottom w:type="dxa" w:w="100"/>
              <w:right w:type="dxa" w:w="100"/>
            </w:tcMar>
          </w:tcPr>
          <w:p>
            <w:pPr>
              <w:spacing w:after="40"/>
            </w:pPr>
            <w:r>
              <w:rPr>
                <w:b/>
                <w:bCs/>
                <w:color w:val="000000"/>
                <w:sz w:val="20"/>
                <w:szCs w:val="20"/>
              </w:rPr>
              <w:t xml:space="preserve">Capability</w:t>
            </w:r>
          </w:p>
        </w:tc>
        <w:tc>
          <w:tcPr>
            <w:tcW w:type="dxa" w:w="1600"/>
            <w:shd w:fill="E8EEF3" w:val="clear"/>
            <w:tcMar>
              <w:top w:type="dxa" w:w="100"/>
              <w:left w:type="dxa" w:w="100"/>
              <w:bottom w:type="dxa" w:w="100"/>
              <w:right w:type="dxa" w:w="100"/>
            </w:tcMar>
          </w:tcPr>
          <w:p>
            <w:pPr>
              <w:spacing w:after="40"/>
            </w:pPr>
            <w:r>
              <w:rPr>
                <w:b/>
                <w:bCs/>
                <w:color w:val="000000"/>
                <w:sz w:val="20"/>
                <w:szCs w:val="20"/>
              </w:rPr>
              <w:t xml:space="preserve">Priority / weight</w:t>
            </w:r>
          </w:p>
        </w:tc>
        <w:tc>
          <w:tcPr>
            <w:tcW w:type="dxa" w:w="2500"/>
            <w:shd w:fill="E8EEF3" w:val="clear"/>
            <w:tcMar>
              <w:top w:type="dxa" w:w="100"/>
              <w:left w:type="dxa" w:w="100"/>
              <w:bottom w:type="dxa" w:w="100"/>
              <w:right w:type="dxa" w:w="100"/>
            </w:tcMar>
          </w:tcPr>
          <w:p>
            <w:pPr>
              <w:spacing w:after="40"/>
            </w:pPr>
            <w:r>
              <w:rPr>
                <w:b/>
                <w:bCs/>
                <w:color w:val="000000"/>
                <w:sz w:val="20"/>
                <w:szCs w:val="20"/>
              </w:rPr>
              <w:t xml:space="preserve">Owner</w:t>
            </w:r>
          </w:p>
        </w:tc>
        <w:tc>
          <w:tcPr>
            <w:tcW w:type="dxa" w:w="1300"/>
            <w:shd w:fill="E8EEF3" w:val="clear"/>
            <w:tcMar>
              <w:top w:type="dxa" w:w="100"/>
              <w:left w:type="dxa" w:w="100"/>
              <w:bottom w:type="dxa" w:w="100"/>
              <w:right w:type="dxa" w:w="100"/>
            </w:tcMar>
          </w:tcPr>
          <w:p>
            <w:pPr>
              <w:spacing w:after="40"/>
            </w:pPr>
            <w:r>
              <w:rPr>
                <w:b/>
                <w:bCs/>
                <w:color w:val="000000"/>
                <w:sz w:val="20"/>
                <w:szCs w:val="20"/>
              </w:rPr>
              <w:t xml:space="preserve">Target date</w:t>
            </w:r>
          </w:p>
        </w:tc>
      </w:tr>
      <w:tr>
        <w:trPr>
          <w:cantSplit/>
          <w:tblHeader w:val="false"/>
        </w:trPr>
        <w:tc>
          <w:tcPr>
            <w:tcW w:type="dxa" w:w="3800"/>
            <w:tcMar>
              <w:top w:type="dxa" w:w="100"/>
              <w:left w:type="dxa" w:w="100"/>
              <w:bottom w:type="dxa" w:w="100"/>
              <w:right w:type="dxa" w:w="100"/>
            </w:tcMar>
          </w:tcPr>
          <w:p>
            <w:pPr>
              <w:spacing w:after="40"/>
            </w:pPr>
            <w:r>
              <w:rPr>
                <w:b w:val="false"/>
                <w:bCs w:val="false"/>
                <w:color w:val="000000"/>
                <w:sz w:val="20"/>
                <w:szCs w:val="20"/>
              </w:rPr>
              <w:t xml:space="preserve">Governance and environment strategy</w:t>
            </w:r>
          </w:p>
        </w:tc>
        <w:tc>
          <w:tcPr>
            <w:tcW w:type="dxa" w:w="1600"/>
            <w:tcMar>
              <w:top w:type="dxa" w:w="100"/>
              <w:left w:type="dxa" w:w="100"/>
              <w:bottom w:type="dxa" w:w="100"/>
              <w:right w:type="dxa" w:w="100"/>
            </w:tcMar>
          </w:tcPr>
          <w:p>
            <w:pPr>
              <w:spacing w:after="40"/>
            </w:pPr>
            <w:r>
              <w:rPr>
                <w:b w:val="false"/>
                <w:bCs w:val="false"/>
                <w:color w:val="000000"/>
                <w:sz w:val="20"/>
                <w:szCs w:val="20"/>
              </w:rPr>
              <w:t xml:space="preserve">High / 2</w:t>
            </w:r>
          </w:p>
        </w:tc>
        <w:tc>
          <w:tcPr>
            <w:tcW w:type="dxa" w:w="2500"/>
            <w:tcMar>
              <w:top w:type="dxa" w:w="100"/>
              <w:left w:type="dxa" w:w="100"/>
              <w:bottom w:type="dxa" w:w="100"/>
              <w:right w:type="dxa" w:w="100"/>
            </w:tcMar>
          </w:tcPr>
          <w:p>
            <w:pPr>
              <w:spacing w:after="40"/>
            </w:pPr>
            <w:r>
              <w:rPr>
                <w:b w:val="false"/>
                <w:bCs w:val="false"/>
                <w:color w:val="000000"/>
                <w:sz w:val="20"/>
                <w:szCs w:val="20"/>
              </w:rPr>
              <w:t xml:space="preserve">Platform lead</w:t>
            </w:r>
          </w:p>
        </w:tc>
        <w:tc>
          <w:tcPr>
            <w:tcW w:type="dxa" w:w="1300"/>
            <w:tcMar>
              <w:top w:type="dxa" w:w="100"/>
              <w:left w:type="dxa" w:w="100"/>
              <w:bottom w:type="dxa" w:w="100"/>
              <w:right w:type="dxa" w:w="100"/>
            </w:tcMar>
          </w:tcPr>
          <w:p>
            <w:pPr>
              <w:spacing w:after="40"/>
            </w:pPr>
            <w:r>
              <w:rPr>
                <w:b w:val="false"/>
                <w:bCs w:val="false"/>
                <w:color w:val="000000"/>
                <w:sz w:val="20"/>
                <w:szCs w:val="20"/>
              </w:rPr>
              <w:t xml:space="preserve">2027-01-20</w:t>
            </w:r>
          </w:p>
        </w:tc>
      </w:tr>
      <w:tr>
        <w:trPr>
          <w:cantSplit/>
          <w:tblHeader w:val="false"/>
        </w:trPr>
        <w:tc>
          <w:tcPr>
            <w:tcW w:type="dxa" w:w="3800"/>
            <w:tcMar>
              <w:top w:type="dxa" w:w="100"/>
              <w:left w:type="dxa" w:w="100"/>
              <w:bottom w:type="dxa" w:w="100"/>
              <w:right w:type="dxa" w:w="100"/>
            </w:tcMar>
          </w:tcPr>
          <w:p>
            <w:pPr>
              <w:spacing w:after="40"/>
            </w:pPr>
            <w:r>
              <w:rPr>
                <w:b w:val="false"/>
                <w:bCs w:val="false"/>
                <w:color w:val="000000"/>
                <w:sz w:val="20"/>
                <w:szCs w:val="20"/>
              </w:rPr>
              <w:t xml:space="preserve">Data governance</w:t>
            </w:r>
          </w:p>
        </w:tc>
        <w:tc>
          <w:tcPr>
            <w:tcW w:type="dxa" w:w="1600"/>
            <w:tcMar>
              <w:top w:type="dxa" w:w="100"/>
              <w:left w:type="dxa" w:w="100"/>
              <w:bottom w:type="dxa" w:w="100"/>
              <w:right w:type="dxa" w:w="100"/>
            </w:tcMar>
          </w:tcPr>
          <w:p>
            <w:pPr>
              <w:spacing w:after="40"/>
            </w:pPr>
            <w:r>
              <w:rPr>
                <w:b w:val="false"/>
                <w:bCs w:val="false"/>
                <w:color w:val="000000"/>
                <w:sz w:val="20"/>
                <w:szCs w:val="20"/>
              </w:rPr>
              <w:t xml:space="preserve">High / 1</w:t>
            </w:r>
          </w:p>
        </w:tc>
        <w:tc>
          <w:tcPr>
            <w:tcW w:type="dxa" w:w="2500"/>
            <w:tcMar>
              <w:top w:type="dxa" w:w="100"/>
              <w:left w:type="dxa" w:w="100"/>
              <w:bottom w:type="dxa" w:w="100"/>
              <w:right w:type="dxa" w:w="100"/>
            </w:tcMar>
          </w:tcPr>
          <w:p>
            <w:pPr>
              <w:spacing w:after="40"/>
            </w:pPr>
            <w:r>
              <w:rPr>
                <w:b w:val="false"/>
                <w:bCs w:val="false"/>
                <w:color w:val="000000"/>
                <w:sz w:val="20"/>
                <w:szCs w:val="20"/>
              </w:rPr>
              <w:t xml:space="preserve">Platform lead</w:t>
            </w:r>
          </w:p>
        </w:tc>
        <w:tc>
          <w:tcPr>
            <w:tcW w:type="dxa" w:w="1300"/>
            <w:tcMar>
              <w:top w:type="dxa" w:w="100"/>
              <w:left w:type="dxa" w:w="100"/>
              <w:bottom w:type="dxa" w:w="100"/>
              <w:right w:type="dxa" w:w="100"/>
            </w:tcMar>
          </w:tcPr>
          <w:p>
            <w:pPr>
              <w:spacing w:after="40"/>
            </w:pPr>
            <w:r>
              <w:rPr>
                <w:b w:val="false"/>
                <w:bCs w:val="false"/>
                <w:color w:val="000000"/>
                <w:sz w:val="20"/>
                <w:szCs w:val="20"/>
              </w:rPr>
              <w:t xml:space="preserve">2027-01-20</w:t>
            </w:r>
          </w:p>
        </w:tc>
      </w:tr>
      <w:tr>
        <w:trPr>
          <w:cantSplit/>
          <w:tblHeader w:val="false"/>
        </w:trPr>
        <w:tc>
          <w:tcPr>
            <w:tcW w:type="dxa" w:w="3800"/>
            <w:tcMar>
              <w:top w:type="dxa" w:w="100"/>
              <w:left w:type="dxa" w:w="100"/>
              <w:bottom w:type="dxa" w:w="100"/>
              <w:right w:type="dxa" w:w="100"/>
            </w:tcMar>
          </w:tcPr>
          <w:p>
            <w:pPr>
              <w:spacing w:after="40"/>
            </w:pPr>
            <w:r>
              <w:rPr>
                <w:b w:val="false"/>
                <w:bCs w:val="false"/>
                <w:color w:val="000000"/>
                <w:sz w:val="20"/>
                <w:szCs w:val="20"/>
              </w:rPr>
              <w:t xml:space="preserve">Integration architecture</w:t>
            </w:r>
          </w:p>
        </w:tc>
        <w:tc>
          <w:tcPr>
            <w:tcW w:type="dxa" w:w="1600"/>
            <w:tcMar>
              <w:top w:type="dxa" w:w="100"/>
              <w:left w:type="dxa" w:w="100"/>
              <w:bottom w:type="dxa" w:w="100"/>
              <w:right w:type="dxa" w:w="100"/>
            </w:tcMar>
          </w:tcPr>
          <w:p>
            <w:pPr>
              <w:spacing w:after="40"/>
            </w:pPr>
            <w:r>
              <w:rPr>
                <w:b w:val="false"/>
                <w:bCs w:val="false"/>
                <w:color w:val="000000"/>
                <w:sz w:val="20"/>
                <w:szCs w:val="20"/>
              </w:rPr>
              <w:t xml:space="preserve">High / 1</w:t>
            </w:r>
          </w:p>
        </w:tc>
        <w:tc>
          <w:tcPr>
            <w:tcW w:type="dxa" w:w="2500"/>
            <w:tcMar>
              <w:top w:type="dxa" w:w="100"/>
              <w:left w:type="dxa" w:w="100"/>
              <w:bottom w:type="dxa" w:w="100"/>
              <w:right w:type="dxa" w:w="100"/>
            </w:tcMar>
          </w:tcPr>
          <w:p>
            <w:pPr>
              <w:spacing w:after="40"/>
            </w:pPr>
            <w:r>
              <w:rPr>
                <w:b w:val="false"/>
                <w:bCs w:val="false"/>
                <w:color w:val="000000"/>
                <w:sz w:val="20"/>
                <w:szCs w:val="20"/>
              </w:rPr>
              <w:t xml:space="preserve">Solution architect</w:t>
            </w:r>
          </w:p>
        </w:tc>
        <w:tc>
          <w:tcPr>
            <w:tcW w:type="dxa" w:w="1300"/>
            <w:tcMar>
              <w:top w:type="dxa" w:w="100"/>
              <w:left w:type="dxa" w:w="100"/>
              <w:bottom w:type="dxa" w:w="100"/>
              <w:right w:type="dxa" w:w="100"/>
            </w:tcMar>
          </w:tcPr>
          <w:p>
            <w:pPr>
              <w:spacing w:after="40"/>
            </w:pPr>
            <w:r>
              <w:rPr>
                <w:b w:val="false"/>
                <w:bCs w:val="false"/>
                <w:color w:val="000000"/>
                <w:sz w:val="20"/>
                <w:szCs w:val="20"/>
              </w:rPr>
              <w:t xml:space="preserve">2027-02-20</w:t>
            </w:r>
          </w:p>
        </w:tc>
      </w:tr>
      <w:tr>
        <w:trPr>
          <w:cantSplit/>
          <w:tblHeader w:val="false"/>
        </w:trPr>
        <w:tc>
          <w:tcPr>
            <w:tcW w:type="dxa" w:w="3800"/>
            <w:tcMar>
              <w:top w:type="dxa" w:w="100"/>
              <w:left w:type="dxa" w:w="100"/>
              <w:bottom w:type="dxa" w:w="100"/>
              <w:right w:type="dxa" w:w="100"/>
            </w:tcMar>
          </w:tcPr>
          <w:p>
            <w:pPr>
              <w:spacing w:after="40"/>
            </w:pPr>
            <w:r>
              <w:rPr>
                <w:b w:val="false"/>
                <w:bCs w:val="false"/>
                <w:color w:val="000000"/>
                <w:sz w:val="20"/>
                <w:szCs w:val="20"/>
              </w:rPr>
              <w:t xml:space="preserve">Automated testing</w:t>
            </w:r>
          </w:p>
        </w:tc>
        <w:tc>
          <w:tcPr>
            <w:tcW w:type="dxa" w:w="1600"/>
            <w:tcMar>
              <w:top w:type="dxa" w:w="100"/>
              <w:left w:type="dxa" w:w="100"/>
              <w:bottom w:type="dxa" w:w="100"/>
              <w:right w:type="dxa" w:w="100"/>
            </w:tcMar>
          </w:tcPr>
          <w:p>
            <w:pPr>
              <w:spacing w:after="40"/>
            </w:pPr>
            <w:r>
              <w:rPr>
                <w:b w:val="false"/>
                <w:bCs w:val="false"/>
                <w:color w:val="000000"/>
                <w:sz w:val="20"/>
                <w:szCs w:val="20"/>
              </w:rPr>
              <w:t xml:space="preserve">High / 1</w:t>
            </w:r>
          </w:p>
        </w:tc>
        <w:tc>
          <w:tcPr>
            <w:tcW w:type="dxa" w:w="2500"/>
            <w:tcMar>
              <w:top w:type="dxa" w:w="100"/>
              <w:left w:type="dxa" w:w="100"/>
              <w:bottom w:type="dxa" w:w="100"/>
              <w:right w:type="dxa" w:w="100"/>
            </w:tcMar>
          </w:tcPr>
          <w:p>
            <w:pPr>
              <w:spacing w:after="40"/>
            </w:pPr>
            <w:r>
              <w:rPr>
                <w:b w:val="false"/>
                <w:bCs w:val="false"/>
                <w:color w:val="000000"/>
                <w:sz w:val="20"/>
                <w:szCs w:val="20"/>
              </w:rPr>
              <w:t xml:space="preserve">Engineering lead</w:t>
            </w:r>
          </w:p>
        </w:tc>
        <w:tc>
          <w:tcPr>
            <w:tcW w:type="dxa" w:w="1300"/>
            <w:tcMar>
              <w:top w:type="dxa" w:w="100"/>
              <w:left w:type="dxa" w:w="100"/>
              <w:bottom w:type="dxa" w:w="100"/>
              <w:right w:type="dxa" w:w="100"/>
            </w:tcMar>
          </w:tcPr>
          <w:p>
            <w:pPr>
              <w:spacing w:after="40"/>
            </w:pPr>
            <w:r>
              <w:rPr>
                <w:b w:val="false"/>
                <w:bCs w:val="false"/>
                <w:color w:val="000000"/>
                <w:sz w:val="20"/>
                <w:szCs w:val="20"/>
              </w:rPr>
              <w:t xml:space="preserve">2027-03-20</w:t>
            </w:r>
          </w:p>
        </w:tc>
      </w:tr>
      <w:tr>
        <w:trPr>
          <w:cantSplit/>
          <w:tblHeader w:val="false"/>
        </w:trPr>
        <w:tc>
          <w:tcPr>
            <w:tcW w:type="dxa" w:w="3800"/>
            <w:tcMar>
              <w:top w:type="dxa" w:w="100"/>
              <w:left w:type="dxa" w:w="100"/>
              <w:bottom w:type="dxa" w:w="100"/>
              <w:right w:type="dxa" w:w="100"/>
            </w:tcMar>
          </w:tcPr>
          <w:p>
            <w:pPr>
              <w:spacing w:after="40"/>
            </w:pPr>
            <w:r>
              <w:rPr>
                <w:b w:val="false"/>
                <w:bCs w:val="false"/>
                <w:color w:val="000000"/>
                <w:sz w:val="20"/>
                <w:szCs w:val="20"/>
              </w:rPr>
              <w:t xml:space="preserve">Dataverse architecture</w:t>
            </w:r>
          </w:p>
        </w:tc>
        <w:tc>
          <w:tcPr>
            <w:tcW w:type="dxa" w:w="1600"/>
            <w:tcMar>
              <w:top w:type="dxa" w:w="100"/>
              <w:left w:type="dxa" w:w="100"/>
              <w:bottom w:type="dxa" w:w="100"/>
              <w:right w:type="dxa" w:w="100"/>
            </w:tcMar>
          </w:tcPr>
          <w:p>
            <w:pPr>
              <w:spacing w:after="40"/>
            </w:pPr>
            <w:r>
              <w:rPr>
                <w:b w:val="false"/>
                <w:bCs w:val="false"/>
                <w:color w:val="000000"/>
                <w:sz w:val="20"/>
                <w:szCs w:val="20"/>
              </w:rPr>
              <w:t xml:space="preserve">High / 2</w:t>
            </w:r>
          </w:p>
        </w:tc>
        <w:tc>
          <w:tcPr>
            <w:tcW w:type="dxa" w:w="2500"/>
            <w:tcMar>
              <w:top w:type="dxa" w:w="100"/>
              <w:left w:type="dxa" w:w="100"/>
              <w:bottom w:type="dxa" w:w="100"/>
              <w:right w:type="dxa" w:w="100"/>
            </w:tcMar>
          </w:tcPr>
          <w:p>
            <w:pPr>
              <w:spacing w:after="40"/>
            </w:pPr>
            <w:r>
              <w:rPr>
                <w:b w:val="false"/>
                <w:bCs w:val="false"/>
                <w:color w:val="000000"/>
                <w:sz w:val="20"/>
                <w:szCs w:val="20"/>
              </w:rPr>
              <w:t xml:space="preserve">Solution architect</w:t>
            </w:r>
          </w:p>
        </w:tc>
        <w:tc>
          <w:tcPr>
            <w:tcW w:type="dxa" w:w="1300"/>
            <w:tcMar>
              <w:top w:type="dxa" w:w="100"/>
              <w:left w:type="dxa" w:w="100"/>
              <w:bottom w:type="dxa" w:w="100"/>
              <w:right w:type="dxa" w:w="100"/>
            </w:tcMar>
          </w:tcPr>
          <w:p>
            <w:pPr>
              <w:spacing w:after="40"/>
            </w:pPr>
            <w:r>
              <w:rPr>
                <w:b w:val="false"/>
                <w:bCs w:val="false"/>
                <w:color w:val="000000"/>
                <w:sz w:val="20"/>
                <w:szCs w:val="20"/>
              </w:rPr>
              <w:t xml:space="preserve">2027-02-20</w:t>
            </w:r>
          </w:p>
        </w:tc>
      </w:tr>
      <w:tr>
        <w:trPr>
          <w:cantSplit/>
          <w:tblHeader w:val="false"/>
        </w:trPr>
        <w:tc>
          <w:tcPr>
            <w:tcW w:type="dxa" w:w="3800"/>
            <w:tcMar>
              <w:top w:type="dxa" w:w="100"/>
              <w:left w:type="dxa" w:w="100"/>
              <w:bottom w:type="dxa" w:w="100"/>
              <w:right w:type="dxa" w:w="100"/>
            </w:tcMar>
          </w:tcPr>
          <w:p>
            <w:pPr>
              <w:spacing w:after="40"/>
            </w:pPr>
            <w:r>
              <w:rPr>
                <w:b w:val="false"/>
                <w:bCs w:val="false"/>
                <w:color w:val="000000"/>
                <w:sz w:val="20"/>
                <w:szCs w:val="20"/>
              </w:rPr>
              <w:t xml:space="preserve">Application lifecycle management</w:t>
            </w:r>
          </w:p>
        </w:tc>
        <w:tc>
          <w:tcPr>
            <w:tcW w:type="dxa" w:w="1600"/>
            <w:tcMar>
              <w:top w:type="dxa" w:w="100"/>
              <w:left w:type="dxa" w:w="100"/>
              <w:bottom w:type="dxa" w:w="100"/>
              <w:right w:type="dxa" w:w="100"/>
            </w:tcMar>
          </w:tcPr>
          <w:p>
            <w:pPr>
              <w:spacing w:after="40"/>
            </w:pPr>
            <w:r>
              <w:rPr>
                <w:b w:val="false"/>
                <w:bCs w:val="false"/>
                <w:color w:val="000000"/>
                <w:sz w:val="20"/>
                <w:szCs w:val="20"/>
              </w:rPr>
              <w:t xml:space="preserve">High / 2</w:t>
            </w:r>
          </w:p>
        </w:tc>
        <w:tc>
          <w:tcPr>
            <w:tcW w:type="dxa" w:w="2500"/>
            <w:tcMar>
              <w:top w:type="dxa" w:w="100"/>
              <w:left w:type="dxa" w:w="100"/>
              <w:bottom w:type="dxa" w:w="100"/>
              <w:right w:type="dxa" w:w="100"/>
            </w:tcMar>
          </w:tcPr>
          <w:p>
            <w:pPr>
              <w:spacing w:after="40"/>
            </w:pPr>
            <w:r>
              <w:rPr>
                <w:b w:val="false"/>
                <w:bCs w:val="false"/>
                <w:color w:val="000000"/>
                <w:sz w:val="20"/>
                <w:szCs w:val="20"/>
              </w:rPr>
              <w:t xml:space="preserve">Engineering lead</w:t>
            </w:r>
          </w:p>
        </w:tc>
        <w:tc>
          <w:tcPr>
            <w:tcW w:type="dxa" w:w="1300"/>
            <w:tcMar>
              <w:top w:type="dxa" w:w="100"/>
              <w:left w:type="dxa" w:w="100"/>
              <w:bottom w:type="dxa" w:w="100"/>
              <w:right w:type="dxa" w:w="100"/>
            </w:tcMar>
          </w:tcPr>
          <w:p>
            <w:pPr>
              <w:spacing w:after="40"/>
            </w:pPr>
            <w:r>
              <w:rPr>
                <w:b w:val="false"/>
                <w:bCs w:val="false"/>
                <w:color w:val="000000"/>
                <w:sz w:val="20"/>
                <w:szCs w:val="20"/>
              </w:rPr>
              <w:t xml:space="preserve">2027-03-20</w:t>
            </w:r>
          </w:p>
        </w:tc>
      </w:tr>
      <w:tr>
        <w:trPr>
          <w:cantSplit/>
          <w:tblHeader w:val="false"/>
        </w:trPr>
        <w:tc>
          <w:tcPr>
            <w:tcW w:type="dxa" w:w="3800"/>
            <w:tcMar>
              <w:top w:type="dxa" w:w="100"/>
              <w:left w:type="dxa" w:w="100"/>
              <w:bottom w:type="dxa" w:w="100"/>
              <w:right w:type="dxa" w:w="100"/>
            </w:tcMar>
          </w:tcPr>
          <w:p>
            <w:pPr>
              <w:spacing w:after="40"/>
            </w:pPr>
            <w:r>
              <w:rPr>
                <w:b w:val="false"/>
                <w:bCs w:val="false"/>
                <w:color w:val="000000"/>
                <w:sz w:val="20"/>
                <w:szCs w:val="20"/>
              </w:rPr>
              <w:t xml:space="preserve">Monitoring and observability</w:t>
            </w:r>
          </w:p>
        </w:tc>
        <w:tc>
          <w:tcPr>
            <w:tcW w:type="dxa" w:w="1600"/>
            <w:tcMar>
              <w:top w:type="dxa" w:w="100"/>
              <w:left w:type="dxa" w:w="100"/>
              <w:bottom w:type="dxa" w:w="100"/>
              <w:right w:type="dxa" w:w="100"/>
            </w:tcMar>
          </w:tcPr>
          <w:p>
            <w:pPr>
              <w:spacing w:after="40"/>
            </w:pPr>
            <w:r>
              <w:rPr>
                <w:b w:val="false"/>
                <w:bCs w:val="false"/>
                <w:color w:val="000000"/>
                <w:sz w:val="20"/>
                <w:szCs w:val="20"/>
              </w:rPr>
              <w:t xml:space="preserve">High / 2</w:t>
            </w:r>
          </w:p>
        </w:tc>
        <w:tc>
          <w:tcPr>
            <w:tcW w:type="dxa" w:w="2500"/>
            <w:tcMar>
              <w:top w:type="dxa" w:w="100"/>
              <w:left w:type="dxa" w:w="100"/>
              <w:bottom w:type="dxa" w:w="100"/>
              <w:right w:type="dxa" w:w="100"/>
            </w:tcMar>
          </w:tcPr>
          <w:p>
            <w:pPr>
              <w:spacing w:after="40"/>
            </w:pPr>
            <w:r>
              <w:rPr>
                <w:b w:val="false"/>
                <w:bCs w:val="false"/>
                <w:color w:val="000000"/>
                <w:sz w:val="20"/>
                <w:szCs w:val="20"/>
              </w:rPr>
              <w:t xml:space="preserve">Service owner</w:t>
            </w:r>
          </w:p>
        </w:tc>
        <w:tc>
          <w:tcPr>
            <w:tcW w:type="dxa" w:w="1300"/>
            <w:tcMar>
              <w:top w:type="dxa" w:w="100"/>
              <w:left w:type="dxa" w:w="100"/>
              <w:bottom w:type="dxa" w:w="100"/>
              <w:right w:type="dxa" w:w="100"/>
            </w:tcMar>
          </w:tcPr>
          <w:p>
            <w:pPr>
              <w:spacing w:after="40"/>
            </w:pPr>
            <w:r>
              <w:rPr>
                <w:b w:val="false"/>
                <w:bCs w:val="false"/>
                <w:color w:val="000000"/>
                <w:sz w:val="20"/>
                <w:szCs w:val="20"/>
              </w:rPr>
              <w:t xml:space="preserve">2027-04-20</w:t>
            </w:r>
          </w:p>
        </w:tc>
      </w:tr>
      <w:tr>
        <w:trPr>
          <w:cantSplit/>
          <w:tblHeader w:val="false"/>
        </w:trPr>
        <w:tc>
          <w:tcPr>
            <w:tcW w:type="dxa" w:w="3800"/>
            <w:tcMar>
              <w:top w:type="dxa" w:w="100"/>
              <w:left w:type="dxa" w:w="100"/>
              <w:bottom w:type="dxa" w:w="100"/>
              <w:right w:type="dxa" w:w="100"/>
            </w:tcMar>
          </w:tcPr>
          <w:p>
            <w:pPr>
              <w:spacing w:after="40"/>
            </w:pPr>
            <w:r>
              <w:rPr>
                <w:b w:val="false"/>
                <w:bCs w:val="false"/>
                <w:color w:val="000000"/>
                <w:sz w:val="20"/>
                <w:szCs w:val="20"/>
              </w:rPr>
              <w:t xml:space="preserve">Capacity and licensing</w:t>
            </w:r>
          </w:p>
        </w:tc>
        <w:tc>
          <w:tcPr>
            <w:tcW w:type="dxa" w:w="1600"/>
            <w:tcMar>
              <w:top w:type="dxa" w:w="100"/>
              <w:left w:type="dxa" w:w="100"/>
              <w:bottom w:type="dxa" w:w="100"/>
              <w:right w:type="dxa" w:w="100"/>
            </w:tcMar>
          </w:tcPr>
          <w:p>
            <w:pPr>
              <w:spacing w:after="40"/>
            </w:pPr>
            <w:r>
              <w:rPr>
                <w:b w:val="false"/>
                <w:bCs w:val="false"/>
                <w:color w:val="000000"/>
                <w:sz w:val="20"/>
                <w:szCs w:val="20"/>
              </w:rPr>
              <w:t xml:space="preserve">High / 1</w:t>
            </w:r>
          </w:p>
        </w:tc>
        <w:tc>
          <w:tcPr>
            <w:tcW w:type="dxa" w:w="2500"/>
            <w:tcMar>
              <w:top w:type="dxa" w:w="100"/>
              <w:left w:type="dxa" w:w="100"/>
              <w:bottom w:type="dxa" w:w="100"/>
              <w:right w:type="dxa" w:w="100"/>
            </w:tcMar>
          </w:tcPr>
          <w:p>
            <w:pPr>
              <w:spacing w:after="40"/>
            </w:pPr>
            <w:r>
              <w:rPr>
                <w:b w:val="false"/>
                <w:bCs w:val="false"/>
                <w:color w:val="000000"/>
                <w:sz w:val="20"/>
                <w:szCs w:val="20"/>
              </w:rPr>
              <w:t xml:space="preserve">Service owner</w:t>
            </w:r>
          </w:p>
        </w:tc>
        <w:tc>
          <w:tcPr>
            <w:tcW w:type="dxa" w:w="1300"/>
            <w:tcMar>
              <w:top w:type="dxa" w:w="100"/>
              <w:left w:type="dxa" w:w="100"/>
              <w:bottom w:type="dxa" w:w="100"/>
              <w:right w:type="dxa" w:w="100"/>
            </w:tcMar>
          </w:tcPr>
          <w:p>
            <w:pPr>
              <w:spacing w:after="40"/>
            </w:pPr>
            <w:r>
              <w:rPr>
                <w:b w:val="false"/>
                <w:bCs w:val="false"/>
                <w:color w:val="000000"/>
                <w:sz w:val="20"/>
                <w:szCs w:val="20"/>
              </w:rPr>
              <w:t xml:space="preserve">2027-04-20</w:t>
            </w:r>
          </w:p>
        </w:tc>
      </w:tr>
      <w:tr>
        <w:trPr>
          <w:cantSplit/>
          <w:tblHeader w:val="false"/>
        </w:trPr>
        <w:tc>
          <w:tcPr>
            <w:tcW w:type="dxa" w:w="3800"/>
            <w:tcMar>
              <w:top w:type="dxa" w:w="100"/>
              <w:left w:type="dxa" w:w="100"/>
              <w:bottom w:type="dxa" w:w="100"/>
              <w:right w:type="dxa" w:w="100"/>
            </w:tcMar>
          </w:tcPr>
          <w:p>
            <w:pPr>
              <w:spacing w:after="40"/>
            </w:pPr>
            <w:r>
              <w:rPr>
                <w:b w:val="false"/>
                <w:bCs w:val="false"/>
                <w:color w:val="000000"/>
                <w:sz w:val="20"/>
                <w:szCs w:val="20"/>
              </w:rPr>
              <w:t xml:space="preserve">Deployment automation</w:t>
            </w:r>
          </w:p>
        </w:tc>
        <w:tc>
          <w:tcPr>
            <w:tcW w:type="dxa" w:w="1600"/>
            <w:tcMar>
              <w:top w:type="dxa" w:w="100"/>
              <w:left w:type="dxa" w:w="100"/>
              <w:bottom w:type="dxa" w:w="100"/>
              <w:right w:type="dxa" w:w="100"/>
            </w:tcMar>
          </w:tcPr>
          <w:p>
            <w:pPr>
              <w:spacing w:after="40"/>
            </w:pPr>
            <w:r>
              <w:rPr>
                <w:b w:val="false"/>
                <w:bCs w:val="false"/>
                <w:color w:val="000000"/>
                <w:sz w:val="20"/>
                <w:szCs w:val="20"/>
              </w:rPr>
              <w:t xml:space="preserve">Medium / 1</w:t>
            </w:r>
          </w:p>
        </w:tc>
        <w:tc>
          <w:tcPr>
            <w:tcW w:type="dxa" w:w="2500"/>
            <w:tcMar>
              <w:top w:type="dxa" w:w="100"/>
              <w:left w:type="dxa" w:w="100"/>
              <w:bottom w:type="dxa" w:w="100"/>
              <w:right w:type="dxa" w:w="100"/>
            </w:tcMar>
          </w:tcPr>
          <w:p>
            <w:pPr>
              <w:spacing w:after="40"/>
            </w:pPr>
            <w:r>
              <w:rPr>
                <w:b w:val="false"/>
                <w:bCs w:val="false"/>
                <w:color w:val="000000"/>
                <w:sz w:val="20"/>
                <w:szCs w:val="20"/>
              </w:rPr>
              <w:t xml:space="preserve">Engineering lead</w:t>
            </w:r>
          </w:p>
        </w:tc>
        <w:tc>
          <w:tcPr>
            <w:tcW w:type="dxa" w:w="1300"/>
            <w:tcMar>
              <w:top w:type="dxa" w:w="100"/>
              <w:left w:type="dxa" w:w="100"/>
              <w:bottom w:type="dxa" w:w="100"/>
              <w:right w:type="dxa" w:w="100"/>
            </w:tcMar>
          </w:tcPr>
          <w:p>
            <w:pPr>
              <w:spacing w:after="40"/>
            </w:pPr>
            <w:r>
              <w:rPr>
                <w:b w:val="false"/>
                <w:bCs w:val="false"/>
                <w:color w:val="000000"/>
                <w:sz w:val="20"/>
                <w:szCs w:val="20"/>
              </w:rPr>
              <w:t xml:space="preserve">2027-03-20</w:t>
            </w:r>
          </w:p>
        </w:tc>
      </w:tr>
      <w:tr>
        <w:trPr>
          <w:cantSplit/>
          <w:tblHeader w:val="false"/>
        </w:trPr>
        <w:tc>
          <w:tcPr>
            <w:tcW w:type="dxa" w:w="3800"/>
            <w:tcMar>
              <w:top w:type="dxa" w:w="100"/>
              <w:left w:type="dxa" w:w="100"/>
              <w:bottom w:type="dxa" w:w="100"/>
              <w:right w:type="dxa" w:w="100"/>
            </w:tcMar>
          </w:tcPr>
          <w:p>
            <w:pPr>
              <w:spacing w:after="40"/>
            </w:pPr>
            <w:r>
              <w:rPr>
                <w:b w:val="false"/>
                <w:bCs w:val="false"/>
                <w:color w:val="000000"/>
                <w:sz w:val="20"/>
                <w:szCs w:val="20"/>
              </w:rPr>
              <w:t xml:space="preserve">Recovery and continuity</w:t>
            </w:r>
          </w:p>
        </w:tc>
        <w:tc>
          <w:tcPr>
            <w:tcW w:type="dxa" w:w="1600"/>
            <w:tcMar>
              <w:top w:type="dxa" w:w="100"/>
              <w:left w:type="dxa" w:w="100"/>
              <w:bottom w:type="dxa" w:w="100"/>
              <w:right w:type="dxa" w:w="100"/>
            </w:tcMar>
          </w:tcPr>
          <w:p>
            <w:pPr>
              <w:spacing w:after="40"/>
            </w:pPr>
            <w:r>
              <w:rPr>
                <w:b w:val="false"/>
                <w:bCs w:val="false"/>
                <w:color w:val="000000"/>
                <w:sz w:val="20"/>
                <w:szCs w:val="20"/>
              </w:rPr>
              <w:t xml:space="preserve">Medium / 1</w:t>
            </w:r>
          </w:p>
        </w:tc>
        <w:tc>
          <w:tcPr>
            <w:tcW w:type="dxa" w:w="2500"/>
            <w:tcMar>
              <w:top w:type="dxa" w:w="100"/>
              <w:left w:type="dxa" w:w="100"/>
              <w:bottom w:type="dxa" w:w="100"/>
              <w:right w:type="dxa" w:w="100"/>
            </w:tcMar>
          </w:tcPr>
          <w:p>
            <w:pPr>
              <w:spacing w:after="40"/>
            </w:pPr>
            <w:r>
              <w:rPr>
                <w:b w:val="false"/>
                <w:bCs w:val="false"/>
                <w:color w:val="000000"/>
                <w:sz w:val="20"/>
                <w:szCs w:val="20"/>
              </w:rPr>
              <w:t xml:space="preserve">Service owner</w:t>
            </w:r>
          </w:p>
        </w:tc>
        <w:tc>
          <w:tcPr>
            <w:tcW w:type="dxa" w:w="1300"/>
            <w:tcMar>
              <w:top w:type="dxa" w:w="100"/>
              <w:left w:type="dxa" w:w="100"/>
              <w:bottom w:type="dxa" w:w="100"/>
              <w:right w:type="dxa" w:w="100"/>
            </w:tcMar>
          </w:tcPr>
          <w:p>
            <w:pPr>
              <w:spacing w:after="40"/>
            </w:pPr>
            <w:r>
              <w:rPr>
                <w:b w:val="false"/>
                <w:bCs w:val="false"/>
                <w:color w:val="000000"/>
                <w:sz w:val="20"/>
                <w:szCs w:val="20"/>
              </w:rPr>
              <w:t xml:space="preserve">2027-04-20</w:t>
            </w:r>
          </w:p>
        </w:tc>
      </w:tr>
      <w:tr>
        <w:trPr>
          <w:cantSplit/>
          <w:tblHeader w:val="false"/>
        </w:trPr>
        <w:tc>
          <w:tcPr>
            <w:tcW w:type="dxa" w:w="3800"/>
            <w:tcMar>
              <w:top w:type="dxa" w:w="100"/>
              <w:left w:type="dxa" w:w="100"/>
              <w:bottom w:type="dxa" w:w="100"/>
              <w:right w:type="dxa" w:w="100"/>
            </w:tcMar>
          </w:tcPr>
          <w:p>
            <w:pPr>
              <w:spacing w:after="40"/>
            </w:pPr>
            <w:r>
              <w:rPr>
                <w:b w:val="false"/>
                <w:bCs w:val="false"/>
                <w:color w:val="000000"/>
                <w:sz w:val="20"/>
                <w:szCs w:val="20"/>
              </w:rPr>
              <w:t xml:space="preserve">Citizen developer enablement</w:t>
            </w:r>
          </w:p>
        </w:tc>
        <w:tc>
          <w:tcPr>
            <w:tcW w:type="dxa" w:w="1600"/>
            <w:tcMar>
              <w:top w:type="dxa" w:w="100"/>
              <w:left w:type="dxa" w:w="100"/>
              <w:bottom w:type="dxa" w:w="100"/>
              <w:right w:type="dxa" w:w="100"/>
            </w:tcMar>
          </w:tcPr>
          <w:p>
            <w:pPr>
              <w:spacing w:after="40"/>
            </w:pPr>
            <w:r>
              <w:rPr>
                <w:b w:val="false"/>
                <w:bCs w:val="false"/>
                <w:color w:val="000000"/>
                <w:sz w:val="20"/>
                <w:szCs w:val="20"/>
              </w:rPr>
              <w:t xml:space="preserve">Medium / 1</w:t>
            </w:r>
          </w:p>
        </w:tc>
        <w:tc>
          <w:tcPr>
            <w:tcW w:type="dxa" w:w="2500"/>
            <w:tcMar>
              <w:top w:type="dxa" w:w="100"/>
              <w:left w:type="dxa" w:w="100"/>
              <w:bottom w:type="dxa" w:w="100"/>
              <w:right w:type="dxa" w:w="100"/>
            </w:tcMar>
          </w:tcPr>
          <w:p>
            <w:pPr>
              <w:spacing w:after="40"/>
            </w:pPr>
            <w:r>
              <w:rPr>
                <w:b w:val="false"/>
                <w:bCs w:val="false"/>
                <w:color w:val="000000"/>
                <w:sz w:val="20"/>
                <w:szCs w:val="20"/>
              </w:rPr>
              <w:t xml:space="preserve">Platform lead</w:t>
            </w:r>
          </w:p>
        </w:tc>
        <w:tc>
          <w:tcPr>
            <w:tcW w:type="dxa" w:w="1300"/>
            <w:tcMar>
              <w:top w:type="dxa" w:w="100"/>
              <w:left w:type="dxa" w:w="100"/>
              <w:bottom w:type="dxa" w:w="100"/>
              <w:right w:type="dxa" w:w="100"/>
            </w:tcMar>
          </w:tcPr>
          <w:p>
            <w:pPr>
              <w:spacing w:after="40"/>
            </w:pPr>
            <w:r>
              <w:rPr>
                <w:b w:val="false"/>
                <w:bCs w:val="false"/>
                <w:color w:val="000000"/>
                <w:sz w:val="20"/>
                <w:szCs w:val="20"/>
              </w:rPr>
              <w:t xml:space="preserve">2027-01-20</w:t>
            </w:r>
          </w:p>
        </w:tc>
      </w:tr>
      <w:tr>
        <w:trPr>
          <w:cantSplit/>
          <w:tblHeader w:val="false"/>
        </w:trPr>
        <w:tc>
          <w:tcPr>
            <w:tcW w:type="dxa" w:w="3800"/>
            <w:tcMar>
              <w:top w:type="dxa" w:w="100"/>
              <w:left w:type="dxa" w:w="100"/>
              <w:bottom w:type="dxa" w:w="100"/>
              <w:right w:type="dxa" w:w="100"/>
            </w:tcMar>
          </w:tcPr>
          <w:p>
            <w:pPr>
              <w:spacing w:after="40"/>
            </w:pPr>
            <w:r>
              <w:rPr>
                <w:b w:val="false"/>
                <w:bCs w:val="false"/>
                <w:color w:val="000000"/>
                <w:sz w:val="20"/>
                <w:szCs w:val="20"/>
              </w:rPr>
              <w:t xml:space="preserve">Security and identity</w:t>
            </w:r>
          </w:p>
        </w:tc>
        <w:tc>
          <w:tcPr>
            <w:tcW w:type="dxa" w:w="1600"/>
            <w:tcMar>
              <w:top w:type="dxa" w:w="100"/>
              <w:left w:type="dxa" w:w="100"/>
              <w:bottom w:type="dxa" w:w="100"/>
              <w:right w:type="dxa" w:w="100"/>
            </w:tcMar>
          </w:tcPr>
          <w:p>
            <w:pPr>
              <w:spacing w:after="40"/>
            </w:pPr>
            <w:r>
              <w:rPr>
                <w:b w:val="false"/>
                <w:bCs w:val="false"/>
                <w:color w:val="000000"/>
                <w:sz w:val="20"/>
                <w:szCs w:val="20"/>
              </w:rPr>
              <w:t xml:space="preserve">Medium / 1</w:t>
            </w:r>
          </w:p>
        </w:tc>
        <w:tc>
          <w:tcPr>
            <w:tcW w:type="dxa" w:w="2500"/>
            <w:tcMar>
              <w:top w:type="dxa" w:w="100"/>
              <w:left w:type="dxa" w:w="100"/>
              <w:bottom w:type="dxa" w:w="100"/>
              <w:right w:type="dxa" w:w="100"/>
            </w:tcMar>
          </w:tcPr>
          <w:p>
            <w:pPr>
              <w:spacing w:after="40"/>
            </w:pPr>
            <w:r>
              <w:rPr>
                <w:b w:val="false"/>
                <w:bCs w:val="false"/>
                <w:color w:val="000000"/>
                <w:sz w:val="20"/>
                <w:szCs w:val="20"/>
              </w:rPr>
              <w:t xml:space="preserve">Solution architect</w:t>
            </w:r>
          </w:p>
        </w:tc>
        <w:tc>
          <w:tcPr>
            <w:tcW w:type="dxa" w:w="1300"/>
            <w:tcMar>
              <w:top w:type="dxa" w:w="100"/>
              <w:left w:type="dxa" w:w="100"/>
              <w:bottom w:type="dxa" w:w="100"/>
              <w:right w:type="dxa" w:w="100"/>
            </w:tcMar>
          </w:tcPr>
          <w:p>
            <w:pPr>
              <w:spacing w:after="40"/>
            </w:pPr>
            <w:r>
              <w:rPr>
                <w:b w:val="false"/>
                <w:bCs w:val="false"/>
                <w:color w:val="000000"/>
                <w:sz w:val="20"/>
                <w:szCs w:val="20"/>
              </w:rPr>
              <w:t xml:space="preserve">2027-02-20</w:t>
            </w:r>
          </w:p>
        </w:tc>
      </w:tr>
    </w:tbl>
    <w:p>
      <w:pPr>
        <w:pStyle w:val="Heading1"/>
        <w:keepNext/>
        <w:spacing w:after="140" w:before="260"/>
      </w:pPr>
      <w:r>
        <w:t xml:space="preserve">Historical comparison</w:t>
      </w:r>
    </w:p>
    <w:p>
      <w:pPr>
        <w:spacing w:after="120"/>
      </w:pPr>
      <w:r>
        <w:t xml:space="preserve">Each snapshot preserves its own maturity scale and capability set. Compare changed definitions with care.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3400"/>
      </w:tblGrid>
      <w:tr>
        <w:trPr>
          <w:cantSplit/>
          <w:tblHeader/>
        </w:trPr>
        <w:tc>
          <w:tcPr>
            <w:tcW w:type="dxa" w:w="4000"/>
            <w:shd w:fill="E8EEF3" w:val="clear"/>
            <w:tcMar>
              <w:top w:type="dxa" w:w="100"/>
              <w:left w:type="dxa" w:w="100"/>
              <w:bottom w:type="dxa" w:w="100"/>
              <w:right w:type="dxa" w:w="100"/>
            </w:tcMar>
          </w:tcPr>
          <w:p>
            <w:pPr>
              <w:spacing w:after="40"/>
            </w:pPr>
            <w:r>
              <w:rPr>
                <w:b/>
                <w:bCs/>
                <w:color w:val="000000"/>
                <w:sz w:val="20"/>
                <w:szCs w:val="20"/>
              </w:rPr>
              <w:t xml:space="preserve">Snapshot</w:t>
            </w:r>
          </w:p>
        </w:tc>
        <w:tc>
          <w:tcPr>
            <w:tcW w:type="dxa" w:w="1800"/>
            <w:shd w:fill="E8EEF3" w:val="clear"/>
            <w:tcMar>
              <w:top w:type="dxa" w:w="100"/>
              <w:left w:type="dxa" w:w="100"/>
              <w:bottom w:type="dxa" w:w="100"/>
              <w:right w:type="dxa" w:w="100"/>
            </w:tcMar>
          </w:tcPr>
          <w:p>
            <w:pPr>
              <w:spacing w:after="40"/>
            </w:pPr>
            <w:r>
              <w:rPr>
                <w:b/>
                <w:bCs/>
                <w:color w:val="000000"/>
                <w:sz w:val="20"/>
                <w:szCs w:val="20"/>
              </w:rPr>
              <w:t xml:space="preserve">Date</w:t>
            </w:r>
          </w:p>
        </w:tc>
        <w:tc>
          <w:tcPr>
            <w:tcW w:type="dxa" w:w="3400"/>
            <w:shd w:fill="E8EEF3" w:val="clear"/>
            <w:tcMar>
              <w:top w:type="dxa" w:w="100"/>
              <w:left w:type="dxa" w:w="100"/>
              <w:bottom w:type="dxa" w:w="100"/>
              <w:right w:type="dxa" w:w="100"/>
            </w:tcMar>
          </w:tcPr>
          <w:p>
            <w:pPr>
              <w:spacing w:after="40"/>
            </w:pPr>
            <w:r>
              <w:rPr>
                <w:b/>
                <w:bCs/>
                <w:color w:val="000000"/>
                <w:sz w:val="20"/>
                <w:szCs w:val="20"/>
              </w:rPr>
              <w:t xml:space="preserve">Current / original maximum</w:t>
            </w:r>
          </w:p>
        </w:tc>
      </w:tr>
      <w:tr>
        <w:trPr>
          <w:cantSplit/>
          <w:tblHeader w:val="false"/>
        </w:trPr>
        <w:tc>
          <w:tcPr>
            <w:tcW w:type="dxa" w:w="4000"/>
            <w:tcMar>
              <w:top w:type="dxa" w:w="100"/>
              <w:left w:type="dxa" w:w="100"/>
              <w:bottom w:type="dxa" w:w="100"/>
              <w:right w:type="dxa" w:w="100"/>
            </w:tcMar>
          </w:tcPr>
          <w:p>
            <w:pPr>
              <w:spacing w:after="40"/>
            </w:pPr>
            <w:r>
              <w:rPr>
                <w:b w:val="false"/>
                <w:bCs w:val="false"/>
                <w:color w:val="000000"/>
                <w:sz w:val="20"/>
                <w:szCs w:val="20"/>
              </w:rPr>
              <w:t xml:space="preserve">April baseline</w:t>
            </w:r>
          </w:p>
        </w:tc>
        <w:tc>
          <w:tcPr>
            <w:tcW w:type="dxa" w:w="1800"/>
            <w:tcMar>
              <w:top w:type="dxa" w:w="100"/>
              <w:left w:type="dxa" w:w="100"/>
              <w:bottom w:type="dxa" w:w="100"/>
              <w:right w:type="dxa" w:w="100"/>
            </w:tcMar>
          </w:tcPr>
          <w:p>
            <w:pPr>
              <w:spacing w:after="40"/>
            </w:pPr>
            <w:r>
              <w:rPr>
                <w:b w:val="false"/>
                <w:bCs w:val="false"/>
                <w:color w:val="000000"/>
                <w:sz w:val="20"/>
                <w:szCs w:val="20"/>
              </w:rPr>
              <w:t xml:space="preserve">2026-04-20</w:t>
            </w:r>
          </w:p>
        </w:tc>
        <w:tc>
          <w:tcPr>
            <w:tcW w:type="dxa" w:w="3400"/>
            <w:tcMar>
              <w:top w:type="dxa" w:w="100"/>
              <w:left w:type="dxa" w:w="100"/>
              <w:bottom w:type="dxa" w:w="100"/>
              <w:right w:type="dxa" w:w="100"/>
            </w:tcMar>
          </w:tcPr>
          <w:p>
            <w:pPr>
              <w:spacing w:after="40"/>
            </w:pPr>
            <w:r>
              <w:rPr>
                <w:b w:val="false"/>
                <w:bCs w:val="false"/>
                <w:color w:val="000000"/>
                <w:sz w:val="20"/>
                <w:szCs w:val="20"/>
              </w:rPr>
              <w:t xml:space="preserve">1.58 / 5</w:t>
            </w:r>
          </w:p>
        </w:tc>
      </w:tr>
      <w:tr>
        <w:trPr>
          <w:cantSplit/>
          <w:tblHeader w:val="false"/>
        </w:trPr>
        <w:tc>
          <w:tcPr>
            <w:tcW w:type="dxa" w:w="4000"/>
            <w:tcMar>
              <w:top w:type="dxa" w:w="100"/>
              <w:left w:type="dxa" w:w="100"/>
              <w:bottom w:type="dxa" w:w="100"/>
              <w:right w:type="dxa" w:w="100"/>
            </w:tcMar>
          </w:tcPr>
          <w:p>
            <w:pPr>
              <w:spacing w:after="40"/>
            </w:pPr>
            <w:r>
              <w:rPr>
                <w:b w:val="false"/>
                <w:bCs w:val="false"/>
                <w:color w:val="000000"/>
                <w:sz w:val="20"/>
                <w:szCs w:val="20"/>
              </w:rPr>
              <w:t xml:space="preserve">July review</w:t>
            </w:r>
          </w:p>
        </w:tc>
        <w:tc>
          <w:tcPr>
            <w:tcW w:type="dxa" w:w="1800"/>
            <w:tcMar>
              <w:top w:type="dxa" w:w="100"/>
              <w:left w:type="dxa" w:w="100"/>
              <w:bottom w:type="dxa" w:w="100"/>
              <w:right w:type="dxa" w:w="100"/>
            </w:tcMar>
          </w:tcPr>
          <w:p>
            <w:pPr>
              <w:spacing w:after="40"/>
            </w:pPr>
            <w:r>
              <w:rPr>
                <w:b w:val="false"/>
                <w:bCs w:val="false"/>
                <w:color w:val="000000"/>
                <w:sz w:val="20"/>
                <w:szCs w:val="20"/>
              </w:rPr>
              <w:t xml:space="preserve">2026-07-20</w:t>
            </w:r>
          </w:p>
        </w:tc>
        <w:tc>
          <w:tcPr>
            <w:tcW w:type="dxa" w:w="3400"/>
            <w:tcMar>
              <w:top w:type="dxa" w:w="100"/>
              <w:left w:type="dxa" w:w="100"/>
              <w:bottom w:type="dxa" w:w="100"/>
              <w:right w:type="dxa" w:w="100"/>
            </w:tcMar>
          </w:tcPr>
          <w:p>
            <w:pPr>
              <w:spacing w:after="40"/>
            </w:pPr>
            <w:r>
              <w:rPr>
                <w:b w:val="false"/>
                <w:bCs w:val="false"/>
                <w:color w:val="000000"/>
                <w:sz w:val="20"/>
                <w:szCs w:val="20"/>
              </w:rPr>
              <w:t xml:space="preserve">2.58 / 5</w:t>
            </w:r>
          </w:p>
        </w:tc>
      </w:tr>
    </w:tbl>
    <w:p>
      <w:pPr>
        <w:pStyle w:val="Heading1"/>
        <w:keepNext/>
        <w:spacing w:after="140" w:before="260"/>
      </w:pPr>
      <w:r>
        <w:t xml:space="preserve">Capability evidence and recommendations</w:t>
      </w:r>
    </w:p>
    <w:p>
      <w:pPr>
        <w:pStyle w:val="Heading2"/>
        <w:keepNext/>
        <w:spacing w:after="140" w:before="260"/>
      </w:pPr>
      <w:r>
        <w:t xml:space="preserve">Governance and enablement</w:t>
      </w:r>
    </w:p>
    <w:p>
      <w:pPr>
        <w:pStyle w:val="Heading3"/>
        <w:keepNext/>
        <w:spacing w:after="140" w:before="260"/>
      </w:pPr>
      <w:r>
        <w:t xml:space="preserve">Governance and environment strategy</w:t>
      </w:r>
    </w:p>
    <w:p>
      <w:pPr>
        <w:spacing w:after="120"/>
      </w:pPr>
      <w:r>
        <w:t xml:space="preserve">Separate workloads by purpose, sensitivity and lifecycle with clear ownership.</w:t>
      </w:r>
    </w:p>
    <w:p>
      <w:pPr>
        <w:spacing w:after="120"/>
      </w:pPr>
      <w:r>
        <w:t xml:space="preserve">Group: Core practices</w:t>
      </w:r>
      <w:r>
        <w:br/>
        <w:t xml:space="preserve">Current: 2 · Developing    Target: 5 · Optimised</w:t>
      </w:r>
      <w:r>
        <w:br/>
        <w:t xml:space="preserve">Gap: 3    Priority: High    Weight: 2</w:t>
      </w:r>
      <w:r>
        <w:br/>
        <w:t xml:space="preserve">Owner: Platform lead    Target date: 2027-01-20</w:t>
      </w:r>
    </w:p>
    <w:p>
      <w:pPr>
        <w:keepNext/>
        <w:spacing w:after="60" w:before="120"/>
      </w:pPr>
      <w:r>
        <w:rPr>
          <w:b/>
          <w:bCs/>
        </w:rPr>
        <w:t xml:space="preserve">Evidence and justification</w:t>
      </w:r>
    </w:p>
    <w:p>
      <w:pPr>
        <w:spacing w:after="120"/>
      </w:pPr>
      <w:r>
        <w:t xml:space="preserve">Illustrative evidence: Review environment inventory, provisioning rules and exception decisions. A sample review in September found the practice in two of four teams, with inconsistent follow-up.</w:t>
      </w:r>
    </w:p>
    <w:p>
      <w:pPr>
        <w:keepNext/>
        <w:spacing w:after="60" w:before="120"/>
      </w:pPr>
      <w:r>
        <w:rPr>
          <w:b/>
          <w:bCs/>
        </w:rPr>
        <w:t xml:space="preserve">Recommendations</w:t>
      </w:r>
    </w:p>
    <w:p>
      <w:pPr>
        <w:spacing w:after="120"/>
      </w:pPr>
      <w:r>
        <w:t xml:space="preserve">Agree a consistent approach for governance and environment strategy, assign ownership, and review adoption at the next quarterly assessment.</w:t>
      </w:r>
    </w:p>
    <w:p>
      <w:pPr>
        <w:keepNext/>
        <w:spacing w:after="60" w:before="120"/>
      </w:pPr>
      <w:r>
        <w:rPr>
          <w:b/>
          <w:bCs/>
        </w:rPr>
        <w:t xml:space="preserve">Risks and issues</w:t>
      </w:r>
    </w:p>
    <w:p>
      <w:pPr>
        <w:spacing w:after="120"/>
      </w:pPr>
      <w:r>
        <w:t xml:space="preserve">Inconsistent adoption could leave critical services without a clear accountable owner.</w:t>
      </w:r>
    </w:p>
    <w:p>
      <w:pPr>
        <w:keepNext/>
        <w:spacing w:after="60" w:before="120"/>
      </w:pPr>
      <w:r>
        <w:rPr>
          <w:b/>
          <w:bCs/>
        </w:rPr>
        <w:t xml:space="preserve">Supporting notes</w:t>
      </w:r>
    </w:p>
    <w:p>
      <w:pPr>
        <w:spacing w:after="120"/>
      </w:pPr>
      <w:r>
        <w:t xml:space="preserve">Fictional data supplied to demonstrate the tool. Replace with your own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700"/>
        <w:gridCol w:w="1400"/>
        <w:gridCol w:w="3100"/>
      </w:tblGrid>
      <w:tr>
        <w:trPr>
          <w:cantSplit/>
          <w:tblHeader/>
        </w:trPr>
        <w:tc>
          <w:tcPr>
            <w:tcW w:type="dxa" w:w="4700"/>
            <w:shd w:fill="E8EEF3" w:val="clear"/>
            <w:tcMar>
              <w:top w:type="dxa" w:w="100"/>
              <w:left w:type="dxa" w:w="100"/>
              <w:bottom w:type="dxa" w:w="100"/>
              <w:right w:type="dxa" w:w="100"/>
            </w:tcMar>
          </w:tcPr>
          <w:p>
            <w:pPr>
              <w:spacing w:after="40"/>
            </w:pPr>
            <w:r>
              <w:rPr>
                <w:b/>
                <w:bCs/>
                <w:color w:val="000000"/>
                <w:sz w:val="20"/>
                <w:szCs w:val="20"/>
              </w:rPr>
              <w:t xml:space="preserve">Assessment criterion</w:t>
            </w:r>
          </w:p>
        </w:tc>
        <w:tc>
          <w:tcPr>
            <w:tcW w:type="dxa" w:w="1400"/>
            <w:shd w:fill="E8EEF3" w:val="clear"/>
            <w:tcMar>
              <w:top w:type="dxa" w:w="100"/>
              <w:left w:type="dxa" w:w="100"/>
              <w:bottom w:type="dxa" w:w="100"/>
              <w:right w:type="dxa" w:w="100"/>
            </w:tcMar>
          </w:tcPr>
          <w:p>
            <w:pPr>
              <w:spacing w:after="40"/>
            </w:pPr>
            <w:r>
              <w:rPr>
                <w:b/>
                <w:bCs/>
                <w:color w:val="000000"/>
                <w:sz w:val="20"/>
                <w:szCs w:val="20"/>
              </w:rPr>
              <w:t xml:space="preserve">Status</w:t>
            </w:r>
          </w:p>
        </w:tc>
        <w:tc>
          <w:tcPr>
            <w:tcW w:type="dxa" w:w="3100"/>
            <w:shd w:fill="E8EEF3" w:val="clear"/>
            <w:tcMar>
              <w:top w:type="dxa" w:w="100"/>
              <w:left w:type="dxa" w:w="100"/>
              <w:bottom w:type="dxa" w:w="100"/>
              <w:right w:type="dxa" w:w="100"/>
            </w:tcMar>
          </w:tcPr>
          <w:p>
            <w:pPr>
              <w:spacing w:after="40"/>
            </w:pPr>
            <w:r>
              <w:rPr>
                <w:b/>
                <w:bCs/>
                <w:color w:val="000000"/>
                <w:sz w:val="20"/>
                <w:szCs w:val="20"/>
              </w:rPr>
              <w:t xml:space="preserve">Evidence</w:t>
            </w:r>
          </w:p>
        </w:tc>
      </w:tr>
      <w:tr>
        <w:trPr>
          <w:cantSplit/>
          <w:tblHeader w:val="false"/>
        </w:trPr>
        <w:tc>
          <w:tcPr>
            <w:tcW w:type="dxa" w:w="4700"/>
            <w:tcMar>
              <w:top w:type="dxa" w:w="100"/>
              <w:left w:type="dxa" w:w="100"/>
              <w:bottom w:type="dxa" w:w="100"/>
              <w:right w:type="dxa" w:w="100"/>
            </w:tcMar>
          </w:tcPr>
          <w:p>
            <w:pPr>
              <w:spacing w:after="40"/>
            </w:pPr>
            <w:r>
              <w:rPr>
                <w:b w:val="false"/>
                <w:bCs w:val="false"/>
                <w:color w:val="000000"/>
                <w:sz w:val="20"/>
                <w:szCs w:val="20"/>
              </w:rPr>
              <w:t xml:space="preserve">Review environment inventory, provisioning rules and exception decisions.</w:t>
            </w:r>
          </w:p>
        </w:tc>
        <w:tc>
          <w:tcPr>
            <w:tcW w:type="dxa" w:w="1400"/>
            <w:tcMar>
              <w:top w:type="dxa" w:w="100"/>
              <w:left w:type="dxa" w:w="100"/>
              <w:bottom w:type="dxa" w:w="100"/>
              <w:right w:type="dxa" w:w="100"/>
            </w:tcMar>
          </w:tcPr>
          <w:p>
            <w:pPr>
              <w:spacing w:after="40"/>
            </w:pPr>
            <w:r>
              <w:rPr>
                <w:b w:val="false"/>
                <w:bCs w:val="false"/>
                <w:color w:val="000000"/>
                <w:sz w:val="20"/>
                <w:szCs w:val="20"/>
              </w:rPr>
              <w:t xml:space="preserve">Met</w:t>
            </w:r>
          </w:p>
        </w:tc>
        <w:tc>
          <w:tcPr>
            <w:tcW w:type="dxa" w:w="3100"/>
            <w:tcMar>
              <w:top w:type="dxa" w:w="100"/>
              <w:left w:type="dxa" w:w="100"/>
              <w:bottom w:type="dxa" w:w="100"/>
              <w:right w:type="dxa" w:w="100"/>
            </w:tcMar>
          </w:tcPr>
          <w:p>
            <w:pPr>
              <w:spacing w:after="40"/>
            </w:pPr>
            <w:r>
              <w:rPr>
                <w:b w:val="false"/>
                <w:bCs w:val="false"/>
                <w:color w:val="000000"/>
                <w:sz w:val="20"/>
                <w:szCs w:val="20"/>
              </w:rPr>
              <w:t xml:space="preserve">Illustrative review notes, September 2026.</w:t>
            </w:r>
          </w:p>
        </w:tc>
      </w:tr>
      <w:tr>
        <w:trPr>
          <w:cantSplit/>
          <w:tblHeader w:val="false"/>
        </w:trPr>
        <w:tc>
          <w:tcPr>
            <w:tcW w:type="dxa" w:w="4700"/>
            <w:tcMar>
              <w:top w:type="dxa" w:w="100"/>
              <w:left w:type="dxa" w:w="100"/>
              <w:bottom w:type="dxa" w:w="100"/>
              <w:right w:type="dxa" w:w="100"/>
            </w:tcMar>
          </w:tcPr>
          <w:p>
            <w:pPr>
              <w:spacing w:after="40"/>
            </w:pPr>
            <w:r>
              <w:rPr>
                <w:b w:val="false"/>
                <w:bCs w:val="false"/>
                <w:color w:val="000000"/>
                <w:sz w:val="20"/>
                <w:szCs w:val="20"/>
              </w:rPr>
              <w:t xml:space="preserve">Confirm consistent adoption across the agreed assessment scope, supported by dated evidence.</w:t>
            </w:r>
          </w:p>
        </w:tc>
        <w:tc>
          <w:tcPr>
            <w:tcW w:type="dxa" w:w="1400"/>
            <w:tcMar>
              <w:top w:type="dxa" w:w="100"/>
              <w:left w:type="dxa" w:w="100"/>
              <w:bottom w:type="dxa" w:w="100"/>
              <w:right w:type="dxa" w:w="100"/>
            </w:tcMar>
          </w:tcPr>
          <w:p>
            <w:pPr>
              <w:spacing w:after="40"/>
            </w:pPr>
            <w:r>
              <w:rPr>
                <w:b w:val="false"/>
                <w:bCs w:val="false"/>
                <w:color w:val="000000"/>
                <w:sz w:val="20"/>
                <w:szCs w:val="20"/>
              </w:rPr>
              <w:t xml:space="preserve">Not confirmed</w:t>
            </w:r>
          </w:p>
        </w:tc>
        <w:tc>
          <w:tcPr>
            <w:tcW w:type="dxa" w:w="3100"/>
            <w:tcMar>
              <w:top w:type="dxa" w:w="100"/>
              <w:left w:type="dxa" w:w="100"/>
              <w:bottom w:type="dxa" w:w="100"/>
              <w:right w:type="dxa" w:w="100"/>
            </w:tcMar>
          </w:tcPr>
          <w:p>
            <w:pPr>
              <w:spacing w:after="40"/>
            </w:pPr>
            <w:r>
              <w:rPr>
                <w:b w:val="false"/>
                <w:bCs w:val="false"/>
                <w:color w:val="000000"/>
                <w:sz w:val="20"/>
                <w:szCs w:val="20"/>
              </w:rPr>
              <w:t xml:space="preserve">Not recorded</w:t>
            </w:r>
          </w:p>
        </w:tc>
      </w:tr>
    </w:tbl>
    <w:p>
      <w:pPr>
        <w:pStyle w:val="Heading3"/>
        <w:keepNext/>
        <w:spacing w:after="140" w:before="260"/>
      </w:pPr>
      <w:r>
        <w:t xml:space="preserve">Citizen developer enablement</w:t>
      </w:r>
    </w:p>
    <w:p>
      <w:pPr>
        <w:spacing w:after="120"/>
      </w:pPr>
      <w:r>
        <w:t xml:space="preserve">Support makers through training, reusable guidance and a proportionate review process.</w:t>
      </w:r>
    </w:p>
    <w:p>
      <w:pPr>
        <w:spacing w:after="120"/>
      </w:pPr>
      <w:r>
        <w:t xml:space="preserve">Group: Core practices</w:t>
      </w:r>
      <w:r>
        <w:br/>
        <w:t xml:space="preserve">Current: 3 · Defined    Target: 4 · Managed</w:t>
      </w:r>
      <w:r>
        <w:br/>
        <w:t xml:space="preserve">Gap: 1    Priority: Medium    Weight: 1</w:t>
      </w:r>
      <w:r>
        <w:br/>
        <w:t xml:space="preserve">Owner: Platform lead    Target date: 2027-01-20</w:t>
      </w:r>
    </w:p>
    <w:p>
      <w:pPr>
        <w:keepNext/>
        <w:spacing w:after="60" w:before="120"/>
      </w:pPr>
      <w:r>
        <w:rPr>
          <w:b/>
          <w:bCs/>
        </w:rPr>
        <w:t xml:space="preserve">Evidence and justification</w:t>
      </w:r>
    </w:p>
    <w:p>
      <w:pPr>
        <w:spacing w:after="120"/>
      </w:pPr>
      <w:r>
        <w:t xml:space="preserve">Illustrative evidence: Inspect training records, support channels and escalation routes. A sample review in September found the practice in two of four teams, with inconsistent follow-up.</w:t>
      </w:r>
    </w:p>
    <w:p>
      <w:pPr>
        <w:keepNext/>
        <w:spacing w:after="60" w:before="120"/>
      </w:pPr>
      <w:r>
        <w:rPr>
          <w:b/>
          <w:bCs/>
        </w:rPr>
        <w:t xml:space="preserve">Recommendations</w:t>
      </w:r>
    </w:p>
    <w:p>
      <w:pPr>
        <w:spacing w:after="120"/>
      </w:pPr>
      <w:r>
        <w:t xml:space="preserve">Agree a consistent approach for citizen developer enablement, assign ownership, and review adoption at the next quarterly assessment.</w:t>
      </w:r>
    </w:p>
    <w:p>
      <w:pPr>
        <w:keepNext/>
        <w:spacing w:after="60" w:before="120"/>
      </w:pPr>
      <w:r>
        <w:rPr>
          <w:b/>
          <w:bCs/>
        </w:rPr>
        <w:t xml:space="preserve">Risks and issues</w:t>
      </w:r>
    </w:p>
    <w:p>
      <w:pPr>
        <w:spacing w:after="120"/>
      </w:pPr>
      <w:r>
        <w:t xml:space="preserve">Not recorded.</w:t>
      </w:r>
    </w:p>
    <w:p>
      <w:pPr>
        <w:keepNext/>
        <w:spacing w:after="60" w:before="120"/>
      </w:pPr>
      <w:r>
        <w:rPr>
          <w:b/>
          <w:bCs/>
        </w:rPr>
        <w:t xml:space="preserve">Supporting notes</w:t>
      </w:r>
    </w:p>
    <w:p>
      <w:pPr>
        <w:spacing w:after="120"/>
      </w:pPr>
      <w:r>
        <w:t xml:space="preserve">Fictional data supplied to demonstrate the tool. Replace with your own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700"/>
        <w:gridCol w:w="1400"/>
        <w:gridCol w:w="3100"/>
      </w:tblGrid>
      <w:tr>
        <w:trPr>
          <w:cantSplit/>
          <w:tblHeader/>
        </w:trPr>
        <w:tc>
          <w:tcPr>
            <w:tcW w:type="dxa" w:w="4700"/>
            <w:shd w:fill="E8EEF3" w:val="clear"/>
            <w:tcMar>
              <w:top w:type="dxa" w:w="100"/>
              <w:left w:type="dxa" w:w="100"/>
              <w:bottom w:type="dxa" w:w="100"/>
              <w:right w:type="dxa" w:w="100"/>
            </w:tcMar>
          </w:tcPr>
          <w:p>
            <w:pPr>
              <w:spacing w:after="40"/>
            </w:pPr>
            <w:r>
              <w:rPr>
                <w:b/>
                <w:bCs/>
                <w:color w:val="000000"/>
                <w:sz w:val="20"/>
                <w:szCs w:val="20"/>
              </w:rPr>
              <w:t xml:space="preserve">Assessment criterion</w:t>
            </w:r>
          </w:p>
        </w:tc>
        <w:tc>
          <w:tcPr>
            <w:tcW w:type="dxa" w:w="1400"/>
            <w:shd w:fill="E8EEF3" w:val="clear"/>
            <w:tcMar>
              <w:top w:type="dxa" w:w="100"/>
              <w:left w:type="dxa" w:w="100"/>
              <w:bottom w:type="dxa" w:w="100"/>
              <w:right w:type="dxa" w:w="100"/>
            </w:tcMar>
          </w:tcPr>
          <w:p>
            <w:pPr>
              <w:spacing w:after="40"/>
            </w:pPr>
            <w:r>
              <w:rPr>
                <w:b/>
                <w:bCs/>
                <w:color w:val="000000"/>
                <w:sz w:val="20"/>
                <w:szCs w:val="20"/>
              </w:rPr>
              <w:t xml:space="preserve">Status</w:t>
            </w:r>
          </w:p>
        </w:tc>
        <w:tc>
          <w:tcPr>
            <w:tcW w:type="dxa" w:w="3100"/>
            <w:shd w:fill="E8EEF3" w:val="clear"/>
            <w:tcMar>
              <w:top w:type="dxa" w:w="100"/>
              <w:left w:type="dxa" w:w="100"/>
              <w:bottom w:type="dxa" w:w="100"/>
              <w:right w:type="dxa" w:w="100"/>
            </w:tcMar>
          </w:tcPr>
          <w:p>
            <w:pPr>
              <w:spacing w:after="40"/>
            </w:pPr>
            <w:r>
              <w:rPr>
                <w:b/>
                <w:bCs/>
                <w:color w:val="000000"/>
                <w:sz w:val="20"/>
                <w:szCs w:val="20"/>
              </w:rPr>
              <w:t xml:space="preserve">Evidence</w:t>
            </w:r>
          </w:p>
        </w:tc>
      </w:tr>
      <w:tr>
        <w:trPr>
          <w:cantSplit/>
          <w:tblHeader w:val="false"/>
        </w:trPr>
        <w:tc>
          <w:tcPr>
            <w:tcW w:type="dxa" w:w="4700"/>
            <w:tcMar>
              <w:top w:type="dxa" w:w="100"/>
              <w:left w:type="dxa" w:w="100"/>
              <w:bottom w:type="dxa" w:w="100"/>
              <w:right w:type="dxa" w:w="100"/>
            </w:tcMar>
          </w:tcPr>
          <w:p>
            <w:pPr>
              <w:spacing w:after="40"/>
            </w:pPr>
            <w:r>
              <w:rPr>
                <w:b w:val="false"/>
                <w:bCs w:val="false"/>
                <w:color w:val="000000"/>
                <w:sz w:val="20"/>
                <w:szCs w:val="20"/>
              </w:rPr>
              <w:t xml:space="preserve">Inspect training records, support channels and escalation routes.</w:t>
            </w:r>
          </w:p>
        </w:tc>
        <w:tc>
          <w:tcPr>
            <w:tcW w:type="dxa" w:w="1400"/>
            <w:tcMar>
              <w:top w:type="dxa" w:w="100"/>
              <w:left w:type="dxa" w:w="100"/>
              <w:bottom w:type="dxa" w:w="100"/>
              <w:right w:type="dxa" w:w="100"/>
            </w:tcMar>
          </w:tcPr>
          <w:p>
            <w:pPr>
              <w:spacing w:after="40"/>
            </w:pPr>
            <w:r>
              <w:rPr>
                <w:b w:val="false"/>
                <w:bCs w:val="false"/>
                <w:color w:val="000000"/>
                <w:sz w:val="20"/>
                <w:szCs w:val="20"/>
              </w:rPr>
              <w:t xml:space="preserve">Met</w:t>
            </w:r>
          </w:p>
        </w:tc>
        <w:tc>
          <w:tcPr>
            <w:tcW w:type="dxa" w:w="3100"/>
            <w:tcMar>
              <w:top w:type="dxa" w:w="100"/>
              <w:left w:type="dxa" w:w="100"/>
              <w:bottom w:type="dxa" w:w="100"/>
              <w:right w:type="dxa" w:w="100"/>
            </w:tcMar>
          </w:tcPr>
          <w:p>
            <w:pPr>
              <w:spacing w:after="40"/>
            </w:pPr>
            <w:r>
              <w:rPr>
                <w:b w:val="false"/>
                <w:bCs w:val="false"/>
                <w:color w:val="000000"/>
                <w:sz w:val="20"/>
                <w:szCs w:val="20"/>
              </w:rPr>
              <w:t xml:space="preserve">Illustrative review notes, September 2026.</w:t>
            </w:r>
          </w:p>
        </w:tc>
      </w:tr>
      <w:tr>
        <w:trPr>
          <w:cantSplit/>
          <w:tblHeader w:val="false"/>
        </w:trPr>
        <w:tc>
          <w:tcPr>
            <w:tcW w:type="dxa" w:w="4700"/>
            <w:tcMar>
              <w:top w:type="dxa" w:w="100"/>
              <w:left w:type="dxa" w:w="100"/>
              <w:bottom w:type="dxa" w:w="100"/>
              <w:right w:type="dxa" w:w="100"/>
            </w:tcMar>
          </w:tcPr>
          <w:p>
            <w:pPr>
              <w:spacing w:after="40"/>
            </w:pPr>
            <w:r>
              <w:rPr>
                <w:b w:val="false"/>
                <w:bCs w:val="false"/>
                <w:color w:val="000000"/>
                <w:sz w:val="20"/>
                <w:szCs w:val="20"/>
              </w:rPr>
              <w:t xml:space="preserve">Confirm consistent adoption across the agreed assessment scope, supported by dated evidence.</w:t>
            </w:r>
          </w:p>
        </w:tc>
        <w:tc>
          <w:tcPr>
            <w:tcW w:type="dxa" w:w="1400"/>
            <w:tcMar>
              <w:top w:type="dxa" w:w="100"/>
              <w:left w:type="dxa" w:w="100"/>
              <w:bottom w:type="dxa" w:w="100"/>
              <w:right w:type="dxa" w:w="100"/>
            </w:tcMar>
          </w:tcPr>
          <w:p>
            <w:pPr>
              <w:spacing w:after="40"/>
            </w:pPr>
            <w:r>
              <w:rPr>
                <w:b w:val="false"/>
                <w:bCs w:val="false"/>
                <w:color w:val="000000"/>
                <w:sz w:val="20"/>
                <w:szCs w:val="20"/>
              </w:rPr>
              <w:t xml:space="preserve">Not confirmed</w:t>
            </w:r>
          </w:p>
        </w:tc>
        <w:tc>
          <w:tcPr>
            <w:tcW w:type="dxa" w:w="3100"/>
            <w:tcMar>
              <w:top w:type="dxa" w:w="100"/>
              <w:left w:type="dxa" w:w="100"/>
              <w:bottom w:type="dxa" w:w="100"/>
              <w:right w:type="dxa" w:w="100"/>
            </w:tcMar>
          </w:tcPr>
          <w:p>
            <w:pPr>
              <w:spacing w:after="40"/>
            </w:pPr>
            <w:r>
              <w:rPr>
                <w:b w:val="false"/>
                <w:bCs w:val="false"/>
                <w:color w:val="000000"/>
                <w:sz w:val="20"/>
                <w:szCs w:val="20"/>
              </w:rPr>
              <w:t xml:space="preserve">Not recorded</w:t>
            </w:r>
          </w:p>
        </w:tc>
      </w:tr>
    </w:tbl>
    <w:p>
      <w:pPr>
        <w:pStyle w:val="Heading3"/>
        <w:keepNext/>
        <w:spacing w:after="140" w:before="260"/>
      </w:pPr>
      <w:r>
        <w:t xml:space="preserve">Data governance</w:t>
      </w:r>
    </w:p>
    <w:p>
      <w:pPr>
        <w:spacing w:after="120"/>
      </w:pPr>
      <w:r>
        <w:t xml:space="preserve">Classify business data and apply connector policies with reviewed exceptions.</w:t>
      </w:r>
    </w:p>
    <w:p>
      <w:pPr>
        <w:spacing w:after="120"/>
      </w:pPr>
      <w:r>
        <w:t xml:space="preserve">Group: Core practices</w:t>
      </w:r>
      <w:r>
        <w:br/>
        <w:t xml:space="preserve">Current: 2 · Developing    Target: 5 · Optimised</w:t>
      </w:r>
      <w:r>
        <w:br/>
        <w:t xml:space="preserve">Gap: 3    Priority: High    Weight: 1</w:t>
      </w:r>
      <w:r>
        <w:br/>
        <w:t xml:space="preserve">Owner: Platform lead    Target date: 2027-01-20</w:t>
      </w:r>
    </w:p>
    <w:p>
      <w:pPr>
        <w:keepNext/>
        <w:spacing w:after="60" w:before="120"/>
      </w:pPr>
      <w:r>
        <w:rPr>
          <w:b/>
          <w:bCs/>
        </w:rPr>
        <w:t xml:space="preserve">Evidence and justification</w:t>
      </w:r>
    </w:p>
    <w:p>
      <w:pPr>
        <w:spacing w:after="120"/>
      </w:pPr>
      <w:r>
        <w:t xml:space="preserve">Illustrative evidence: Inspect DLP policy scope, data owners and exception reviews. A sample review in September found the practice in two of four teams, with inconsistent follow-up.</w:t>
      </w:r>
    </w:p>
    <w:p>
      <w:pPr>
        <w:keepNext/>
        <w:spacing w:after="60" w:before="120"/>
      </w:pPr>
      <w:r>
        <w:rPr>
          <w:b/>
          <w:bCs/>
        </w:rPr>
        <w:t xml:space="preserve">Recommendations</w:t>
      </w:r>
    </w:p>
    <w:p>
      <w:pPr>
        <w:spacing w:after="120"/>
      </w:pPr>
      <w:r>
        <w:t xml:space="preserve">Agree a consistent approach for data governance, assign ownership, and review adoption at the next quarterly assessment.</w:t>
      </w:r>
    </w:p>
    <w:p>
      <w:pPr>
        <w:keepNext/>
        <w:spacing w:after="60" w:before="120"/>
      </w:pPr>
      <w:r>
        <w:rPr>
          <w:b/>
          <w:bCs/>
        </w:rPr>
        <w:t xml:space="preserve">Risks and issues</w:t>
      </w:r>
    </w:p>
    <w:p>
      <w:pPr>
        <w:spacing w:after="120"/>
      </w:pPr>
      <w:r>
        <w:t xml:space="preserve">Not recorded.</w:t>
      </w:r>
    </w:p>
    <w:p>
      <w:pPr>
        <w:keepNext/>
        <w:spacing w:after="60" w:before="120"/>
      </w:pPr>
      <w:r>
        <w:rPr>
          <w:b/>
          <w:bCs/>
        </w:rPr>
        <w:t xml:space="preserve">Supporting notes</w:t>
      </w:r>
    </w:p>
    <w:p>
      <w:pPr>
        <w:spacing w:after="120"/>
      </w:pPr>
      <w:r>
        <w:t xml:space="preserve">Fictional data supplied to demonstrate the tool. Replace with your own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700"/>
        <w:gridCol w:w="1400"/>
        <w:gridCol w:w="3100"/>
      </w:tblGrid>
      <w:tr>
        <w:trPr>
          <w:cantSplit/>
          <w:tblHeader/>
        </w:trPr>
        <w:tc>
          <w:tcPr>
            <w:tcW w:type="dxa" w:w="4700"/>
            <w:shd w:fill="E8EEF3" w:val="clear"/>
            <w:tcMar>
              <w:top w:type="dxa" w:w="100"/>
              <w:left w:type="dxa" w:w="100"/>
              <w:bottom w:type="dxa" w:w="100"/>
              <w:right w:type="dxa" w:w="100"/>
            </w:tcMar>
          </w:tcPr>
          <w:p>
            <w:pPr>
              <w:spacing w:after="40"/>
            </w:pPr>
            <w:r>
              <w:rPr>
                <w:b/>
                <w:bCs/>
                <w:color w:val="000000"/>
                <w:sz w:val="20"/>
                <w:szCs w:val="20"/>
              </w:rPr>
              <w:t xml:space="preserve">Assessment criterion</w:t>
            </w:r>
          </w:p>
        </w:tc>
        <w:tc>
          <w:tcPr>
            <w:tcW w:type="dxa" w:w="1400"/>
            <w:shd w:fill="E8EEF3" w:val="clear"/>
            <w:tcMar>
              <w:top w:type="dxa" w:w="100"/>
              <w:left w:type="dxa" w:w="100"/>
              <w:bottom w:type="dxa" w:w="100"/>
              <w:right w:type="dxa" w:w="100"/>
            </w:tcMar>
          </w:tcPr>
          <w:p>
            <w:pPr>
              <w:spacing w:after="40"/>
            </w:pPr>
            <w:r>
              <w:rPr>
                <w:b/>
                <w:bCs/>
                <w:color w:val="000000"/>
                <w:sz w:val="20"/>
                <w:szCs w:val="20"/>
              </w:rPr>
              <w:t xml:space="preserve">Status</w:t>
            </w:r>
          </w:p>
        </w:tc>
        <w:tc>
          <w:tcPr>
            <w:tcW w:type="dxa" w:w="3100"/>
            <w:shd w:fill="E8EEF3" w:val="clear"/>
            <w:tcMar>
              <w:top w:type="dxa" w:w="100"/>
              <w:left w:type="dxa" w:w="100"/>
              <w:bottom w:type="dxa" w:w="100"/>
              <w:right w:type="dxa" w:w="100"/>
            </w:tcMar>
          </w:tcPr>
          <w:p>
            <w:pPr>
              <w:spacing w:after="40"/>
            </w:pPr>
            <w:r>
              <w:rPr>
                <w:b/>
                <w:bCs/>
                <w:color w:val="000000"/>
                <w:sz w:val="20"/>
                <w:szCs w:val="20"/>
              </w:rPr>
              <w:t xml:space="preserve">Evidence</w:t>
            </w:r>
          </w:p>
        </w:tc>
      </w:tr>
      <w:tr>
        <w:trPr>
          <w:cantSplit/>
          <w:tblHeader w:val="false"/>
        </w:trPr>
        <w:tc>
          <w:tcPr>
            <w:tcW w:type="dxa" w:w="4700"/>
            <w:tcMar>
              <w:top w:type="dxa" w:w="100"/>
              <w:left w:type="dxa" w:w="100"/>
              <w:bottom w:type="dxa" w:w="100"/>
              <w:right w:type="dxa" w:w="100"/>
            </w:tcMar>
          </w:tcPr>
          <w:p>
            <w:pPr>
              <w:spacing w:after="40"/>
            </w:pPr>
            <w:r>
              <w:rPr>
                <w:b w:val="false"/>
                <w:bCs w:val="false"/>
                <w:color w:val="000000"/>
                <w:sz w:val="20"/>
                <w:szCs w:val="20"/>
              </w:rPr>
              <w:t xml:space="preserve">Inspect DLP policy scope, data owners and exception reviews.</w:t>
            </w:r>
          </w:p>
        </w:tc>
        <w:tc>
          <w:tcPr>
            <w:tcW w:type="dxa" w:w="1400"/>
            <w:tcMar>
              <w:top w:type="dxa" w:w="100"/>
              <w:left w:type="dxa" w:w="100"/>
              <w:bottom w:type="dxa" w:w="100"/>
              <w:right w:type="dxa" w:w="100"/>
            </w:tcMar>
          </w:tcPr>
          <w:p>
            <w:pPr>
              <w:spacing w:after="40"/>
            </w:pPr>
            <w:r>
              <w:rPr>
                <w:b w:val="false"/>
                <w:bCs w:val="false"/>
                <w:color w:val="000000"/>
                <w:sz w:val="20"/>
                <w:szCs w:val="20"/>
              </w:rPr>
              <w:t xml:space="preserve">Met</w:t>
            </w:r>
          </w:p>
        </w:tc>
        <w:tc>
          <w:tcPr>
            <w:tcW w:type="dxa" w:w="3100"/>
            <w:tcMar>
              <w:top w:type="dxa" w:w="100"/>
              <w:left w:type="dxa" w:w="100"/>
              <w:bottom w:type="dxa" w:w="100"/>
              <w:right w:type="dxa" w:w="100"/>
            </w:tcMar>
          </w:tcPr>
          <w:p>
            <w:pPr>
              <w:spacing w:after="40"/>
            </w:pPr>
            <w:r>
              <w:rPr>
                <w:b w:val="false"/>
                <w:bCs w:val="false"/>
                <w:color w:val="000000"/>
                <w:sz w:val="20"/>
                <w:szCs w:val="20"/>
              </w:rPr>
              <w:t xml:space="preserve">Illustrative review notes, September 2026.</w:t>
            </w:r>
          </w:p>
        </w:tc>
      </w:tr>
      <w:tr>
        <w:trPr>
          <w:cantSplit/>
          <w:tblHeader w:val="false"/>
        </w:trPr>
        <w:tc>
          <w:tcPr>
            <w:tcW w:type="dxa" w:w="4700"/>
            <w:tcMar>
              <w:top w:type="dxa" w:w="100"/>
              <w:left w:type="dxa" w:w="100"/>
              <w:bottom w:type="dxa" w:w="100"/>
              <w:right w:type="dxa" w:w="100"/>
            </w:tcMar>
          </w:tcPr>
          <w:p>
            <w:pPr>
              <w:spacing w:after="40"/>
            </w:pPr>
            <w:r>
              <w:rPr>
                <w:b w:val="false"/>
                <w:bCs w:val="false"/>
                <w:color w:val="000000"/>
                <w:sz w:val="20"/>
                <w:szCs w:val="20"/>
              </w:rPr>
              <w:t xml:space="preserve">Confirm consistent adoption across the agreed assessment scope, supported by dated evidence.</w:t>
            </w:r>
          </w:p>
        </w:tc>
        <w:tc>
          <w:tcPr>
            <w:tcW w:type="dxa" w:w="1400"/>
            <w:tcMar>
              <w:top w:type="dxa" w:w="100"/>
              <w:left w:type="dxa" w:w="100"/>
              <w:bottom w:type="dxa" w:w="100"/>
              <w:right w:type="dxa" w:w="100"/>
            </w:tcMar>
          </w:tcPr>
          <w:p>
            <w:pPr>
              <w:spacing w:after="40"/>
            </w:pPr>
            <w:r>
              <w:rPr>
                <w:b w:val="false"/>
                <w:bCs w:val="false"/>
                <w:color w:val="000000"/>
                <w:sz w:val="20"/>
                <w:szCs w:val="20"/>
              </w:rPr>
              <w:t xml:space="preserve">Not confirmed</w:t>
            </w:r>
          </w:p>
        </w:tc>
        <w:tc>
          <w:tcPr>
            <w:tcW w:type="dxa" w:w="3100"/>
            <w:tcMar>
              <w:top w:type="dxa" w:w="100"/>
              <w:left w:type="dxa" w:w="100"/>
              <w:bottom w:type="dxa" w:w="100"/>
              <w:right w:type="dxa" w:w="100"/>
            </w:tcMar>
          </w:tcPr>
          <w:p>
            <w:pPr>
              <w:spacing w:after="40"/>
            </w:pPr>
            <w:r>
              <w:rPr>
                <w:b w:val="false"/>
                <w:bCs w:val="false"/>
                <w:color w:val="000000"/>
                <w:sz w:val="20"/>
                <w:szCs w:val="20"/>
              </w:rPr>
              <w:t xml:space="preserve">Not recorded</w:t>
            </w:r>
          </w:p>
        </w:tc>
      </w:tr>
    </w:tbl>
    <w:p>
      <w:pPr>
        <w:pStyle w:val="Heading2"/>
        <w:keepNext/>
        <w:spacing w:after="140" w:before="260"/>
      </w:pPr>
      <w:r>
        <w:t xml:space="preserve">Architecture and security</w:t>
      </w:r>
    </w:p>
    <w:p>
      <w:pPr>
        <w:pStyle w:val="Heading3"/>
        <w:keepNext/>
        <w:spacing w:after="140" w:before="260"/>
      </w:pPr>
      <w:r>
        <w:t xml:space="preserve">Dataverse architecture</w:t>
      </w:r>
    </w:p>
    <w:p>
      <w:pPr>
        <w:spacing w:after="120"/>
      </w:pPr>
      <w:r>
        <w:t xml:space="preserve">Apply deliberate table design, ownership, relationships and capacity planning.</w:t>
      </w:r>
    </w:p>
    <w:p>
      <w:pPr>
        <w:spacing w:after="120"/>
      </w:pPr>
      <w:r>
        <w:t xml:space="preserve">Group: Core practices</w:t>
      </w:r>
      <w:r>
        <w:br/>
        <w:t xml:space="preserve">Current: 3 · Defined    Target: 5 · Optimised</w:t>
      </w:r>
      <w:r>
        <w:br/>
        <w:t xml:space="preserve">Gap: 2    Priority: High    Weight: 2</w:t>
      </w:r>
      <w:r>
        <w:br/>
        <w:t xml:space="preserve">Owner: Solution architect    Target date: 2027-02-20</w:t>
      </w:r>
    </w:p>
    <w:p>
      <w:pPr>
        <w:keepNext/>
        <w:spacing w:after="60" w:before="120"/>
      </w:pPr>
      <w:r>
        <w:rPr>
          <w:b/>
          <w:bCs/>
        </w:rPr>
        <w:t xml:space="preserve">Evidence and justification</w:t>
      </w:r>
    </w:p>
    <w:p>
      <w:pPr>
        <w:spacing w:after="120"/>
      </w:pPr>
      <w:r>
        <w:t xml:space="preserve">Illustrative evidence: Review data models, table ownership and capacity forecasts. A sample review in September found the practice in two of four teams, with inconsistent follow-up.</w:t>
      </w:r>
    </w:p>
    <w:p>
      <w:pPr>
        <w:keepNext/>
        <w:spacing w:after="60" w:before="120"/>
      </w:pPr>
      <w:r>
        <w:rPr>
          <w:b/>
          <w:bCs/>
        </w:rPr>
        <w:t xml:space="preserve">Recommendations</w:t>
      </w:r>
    </w:p>
    <w:p>
      <w:pPr>
        <w:spacing w:after="120"/>
      </w:pPr>
      <w:r>
        <w:t xml:space="preserve">Agree a consistent approach for dataverse architecture, assign ownership, and review adoption at the next quarterly assessment.</w:t>
      </w:r>
    </w:p>
    <w:p>
      <w:pPr>
        <w:keepNext/>
        <w:spacing w:after="60" w:before="120"/>
      </w:pPr>
      <w:r>
        <w:rPr>
          <w:b/>
          <w:bCs/>
        </w:rPr>
        <w:t xml:space="preserve">Risks and issues</w:t>
      </w:r>
    </w:p>
    <w:p>
      <w:pPr>
        <w:spacing w:after="120"/>
      </w:pPr>
      <w:r>
        <w:t xml:space="preserve">Inconsistent adoption could leave critical services without a clear accountable owner.</w:t>
      </w:r>
    </w:p>
    <w:p>
      <w:pPr>
        <w:keepNext/>
        <w:spacing w:after="60" w:before="120"/>
      </w:pPr>
      <w:r>
        <w:rPr>
          <w:b/>
          <w:bCs/>
        </w:rPr>
        <w:t xml:space="preserve">Supporting notes</w:t>
      </w:r>
    </w:p>
    <w:p>
      <w:pPr>
        <w:spacing w:after="120"/>
      </w:pPr>
      <w:r>
        <w:t xml:space="preserve">Fictional data supplied to demonstrate the tool. Replace with your own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700"/>
        <w:gridCol w:w="1400"/>
        <w:gridCol w:w="3100"/>
      </w:tblGrid>
      <w:tr>
        <w:trPr>
          <w:cantSplit/>
          <w:tblHeader/>
        </w:trPr>
        <w:tc>
          <w:tcPr>
            <w:tcW w:type="dxa" w:w="4700"/>
            <w:shd w:fill="E8EEF3" w:val="clear"/>
            <w:tcMar>
              <w:top w:type="dxa" w:w="100"/>
              <w:left w:type="dxa" w:w="100"/>
              <w:bottom w:type="dxa" w:w="100"/>
              <w:right w:type="dxa" w:w="100"/>
            </w:tcMar>
          </w:tcPr>
          <w:p>
            <w:pPr>
              <w:spacing w:after="40"/>
            </w:pPr>
            <w:r>
              <w:rPr>
                <w:b/>
                <w:bCs/>
                <w:color w:val="000000"/>
                <w:sz w:val="20"/>
                <w:szCs w:val="20"/>
              </w:rPr>
              <w:t xml:space="preserve">Assessment criterion</w:t>
            </w:r>
          </w:p>
        </w:tc>
        <w:tc>
          <w:tcPr>
            <w:tcW w:type="dxa" w:w="1400"/>
            <w:shd w:fill="E8EEF3" w:val="clear"/>
            <w:tcMar>
              <w:top w:type="dxa" w:w="100"/>
              <w:left w:type="dxa" w:w="100"/>
              <w:bottom w:type="dxa" w:w="100"/>
              <w:right w:type="dxa" w:w="100"/>
            </w:tcMar>
          </w:tcPr>
          <w:p>
            <w:pPr>
              <w:spacing w:after="40"/>
            </w:pPr>
            <w:r>
              <w:rPr>
                <w:b/>
                <w:bCs/>
                <w:color w:val="000000"/>
                <w:sz w:val="20"/>
                <w:szCs w:val="20"/>
              </w:rPr>
              <w:t xml:space="preserve">Status</w:t>
            </w:r>
          </w:p>
        </w:tc>
        <w:tc>
          <w:tcPr>
            <w:tcW w:type="dxa" w:w="3100"/>
            <w:shd w:fill="E8EEF3" w:val="clear"/>
            <w:tcMar>
              <w:top w:type="dxa" w:w="100"/>
              <w:left w:type="dxa" w:w="100"/>
              <w:bottom w:type="dxa" w:w="100"/>
              <w:right w:type="dxa" w:w="100"/>
            </w:tcMar>
          </w:tcPr>
          <w:p>
            <w:pPr>
              <w:spacing w:after="40"/>
            </w:pPr>
            <w:r>
              <w:rPr>
                <w:b/>
                <w:bCs/>
                <w:color w:val="000000"/>
                <w:sz w:val="20"/>
                <w:szCs w:val="20"/>
              </w:rPr>
              <w:t xml:space="preserve">Evidence</w:t>
            </w:r>
          </w:p>
        </w:tc>
      </w:tr>
      <w:tr>
        <w:trPr>
          <w:cantSplit/>
          <w:tblHeader w:val="false"/>
        </w:trPr>
        <w:tc>
          <w:tcPr>
            <w:tcW w:type="dxa" w:w="4700"/>
            <w:tcMar>
              <w:top w:type="dxa" w:w="100"/>
              <w:left w:type="dxa" w:w="100"/>
              <w:bottom w:type="dxa" w:w="100"/>
              <w:right w:type="dxa" w:w="100"/>
            </w:tcMar>
          </w:tcPr>
          <w:p>
            <w:pPr>
              <w:spacing w:after="40"/>
            </w:pPr>
            <w:r>
              <w:rPr>
                <w:b w:val="false"/>
                <w:bCs w:val="false"/>
                <w:color w:val="000000"/>
                <w:sz w:val="20"/>
                <w:szCs w:val="20"/>
              </w:rPr>
              <w:t xml:space="preserve">Review data models, table ownership and capacity forecasts.</w:t>
            </w:r>
          </w:p>
        </w:tc>
        <w:tc>
          <w:tcPr>
            <w:tcW w:type="dxa" w:w="1400"/>
            <w:tcMar>
              <w:top w:type="dxa" w:w="100"/>
              <w:left w:type="dxa" w:w="100"/>
              <w:bottom w:type="dxa" w:w="100"/>
              <w:right w:type="dxa" w:w="100"/>
            </w:tcMar>
          </w:tcPr>
          <w:p>
            <w:pPr>
              <w:spacing w:after="40"/>
            </w:pPr>
            <w:r>
              <w:rPr>
                <w:b w:val="false"/>
                <w:bCs w:val="false"/>
                <w:color w:val="000000"/>
                <w:sz w:val="20"/>
                <w:szCs w:val="20"/>
              </w:rPr>
              <w:t xml:space="preserve">Met</w:t>
            </w:r>
          </w:p>
        </w:tc>
        <w:tc>
          <w:tcPr>
            <w:tcW w:type="dxa" w:w="3100"/>
            <w:tcMar>
              <w:top w:type="dxa" w:w="100"/>
              <w:left w:type="dxa" w:w="100"/>
              <w:bottom w:type="dxa" w:w="100"/>
              <w:right w:type="dxa" w:w="100"/>
            </w:tcMar>
          </w:tcPr>
          <w:p>
            <w:pPr>
              <w:spacing w:after="40"/>
            </w:pPr>
            <w:r>
              <w:rPr>
                <w:b w:val="false"/>
                <w:bCs w:val="false"/>
                <w:color w:val="000000"/>
                <w:sz w:val="20"/>
                <w:szCs w:val="20"/>
              </w:rPr>
              <w:t xml:space="preserve">Illustrative review notes, September 2026.</w:t>
            </w:r>
          </w:p>
        </w:tc>
      </w:tr>
      <w:tr>
        <w:trPr>
          <w:cantSplit/>
          <w:tblHeader w:val="false"/>
        </w:trPr>
        <w:tc>
          <w:tcPr>
            <w:tcW w:type="dxa" w:w="4700"/>
            <w:tcMar>
              <w:top w:type="dxa" w:w="100"/>
              <w:left w:type="dxa" w:w="100"/>
              <w:bottom w:type="dxa" w:w="100"/>
              <w:right w:type="dxa" w:w="100"/>
            </w:tcMar>
          </w:tcPr>
          <w:p>
            <w:pPr>
              <w:spacing w:after="40"/>
            </w:pPr>
            <w:r>
              <w:rPr>
                <w:b w:val="false"/>
                <w:bCs w:val="false"/>
                <w:color w:val="000000"/>
                <w:sz w:val="20"/>
                <w:szCs w:val="20"/>
              </w:rPr>
              <w:t xml:space="preserve">Confirm consistent adoption across the agreed assessment scope, supported by dated evidence.</w:t>
            </w:r>
          </w:p>
        </w:tc>
        <w:tc>
          <w:tcPr>
            <w:tcW w:type="dxa" w:w="1400"/>
            <w:tcMar>
              <w:top w:type="dxa" w:w="100"/>
              <w:left w:type="dxa" w:w="100"/>
              <w:bottom w:type="dxa" w:w="100"/>
              <w:right w:type="dxa" w:w="100"/>
            </w:tcMar>
          </w:tcPr>
          <w:p>
            <w:pPr>
              <w:spacing w:after="40"/>
            </w:pPr>
            <w:r>
              <w:rPr>
                <w:b w:val="false"/>
                <w:bCs w:val="false"/>
                <w:color w:val="000000"/>
                <w:sz w:val="20"/>
                <w:szCs w:val="20"/>
              </w:rPr>
              <w:t xml:space="preserve">Not confirmed</w:t>
            </w:r>
          </w:p>
        </w:tc>
        <w:tc>
          <w:tcPr>
            <w:tcW w:type="dxa" w:w="3100"/>
            <w:tcMar>
              <w:top w:type="dxa" w:w="100"/>
              <w:left w:type="dxa" w:w="100"/>
              <w:bottom w:type="dxa" w:w="100"/>
              <w:right w:type="dxa" w:w="100"/>
            </w:tcMar>
          </w:tcPr>
          <w:p>
            <w:pPr>
              <w:spacing w:after="40"/>
            </w:pPr>
            <w:r>
              <w:rPr>
                <w:b w:val="false"/>
                <w:bCs w:val="false"/>
                <w:color w:val="000000"/>
                <w:sz w:val="20"/>
                <w:szCs w:val="20"/>
              </w:rPr>
              <w:t xml:space="preserve">Not recorded</w:t>
            </w:r>
          </w:p>
        </w:tc>
      </w:tr>
    </w:tbl>
    <w:p>
      <w:pPr>
        <w:pStyle w:val="Heading3"/>
        <w:keepNext/>
        <w:spacing w:after="140" w:before="260"/>
      </w:pPr>
      <w:r>
        <w:t xml:space="preserve">Security and identity</w:t>
      </w:r>
    </w:p>
    <w:p>
      <w:pPr>
        <w:spacing w:after="120"/>
      </w:pPr>
      <w:r>
        <w:t xml:space="preserve">Apply least privilege, managed identities where supported and regular access reviews.</w:t>
      </w:r>
    </w:p>
    <w:p>
      <w:pPr>
        <w:spacing w:after="120"/>
      </w:pPr>
      <w:r>
        <w:t xml:space="preserve">Group: Core practices</w:t>
      </w:r>
      <w:r>
        <w:br/>
        <w:t xml:space="preserve">Current: 4 · Managed    Target: 4 · Managed</w:t>
      </w:r>
      <w:r>
        <w:br/>
        <w:t xml:space="preserve">Gap: 0    Priority: Medium    Weight: 1</w:t>
      </w:r>
      <w:r>
        <w:br/>
        <w:t xml:space="preserve">Owner: Solution architect    Target date: 2027-02-20</w:t>
      </w:r>
    </w:p>
    <w:p>
      <w:pPr>
        <w:keepNext/>
        <w:spacing w:after="60" w:before="120"/>
      </w:pPr>
      <w:r>
        <w:rPr>
          <w:b/>
          <w:bCs/>
        </w:rPr>
        <w:t xml:space="preserve">Evidence and justification</w:t>
      </w:r>
    </w:p>
    <w:p>
      <w:pPr>
        <w:spacing w:after="120"/>
      </w:pPr>
      <w:r>
        <w:t xml:space="preserve">Illustrative evidence: Inspect role design, access review decisions and service account ownership. A sample review in September found the practice in two of four teams, with inconsistent follow-up.</w:t>
      </w:r>
    </w:p>
    <w:p>
      <w:pPr>
        <w:keepNext/>
        <w:spacing w:after="60" w:before="120"/>
      </w:pPr>
      <w:r>
        <w:rPr>
          <w:b/>
          <w:bCs/>
        </w:rPr>
        <w:t xml:space="preserve">Recommendations</w:t>
      </w:r>
    </w:p>
    <w:p>
      <w:pPr>
        <w:spacing w:after="120"/>
      </w:pPr>
      <w:r>
        <w:t xml:space="preserve">Agree a consistent approach for security and identity, assign ownership, and review adoption at the next quarterly assessment.</w:t>
      </w:r>
    </w:p>
    <w:p>
      <w:pPr>
        <w:keepNext/>
        <w:spacing w:after="60" w:before="120"/>
      </w:pPr>
      <w:r>
        <w:rPr>
          <w:b/>
          <w:bCs/>
        </w:rPr>
        <w:t xml:space="preserve">Risks and issues</w:t>
      </w:r>
    </w:p>
    <w:p>
      <w:pPr>
        <w:spacing w:after="120"/>
      </w:pPr>
      <w:r>
        <w:t xml:space="preserve">Not recorded.</w:t>
      </w:r>
    </w:p>
    <w:p>
      <w:pPr>
        <w:keepNext/>
        <w:spacing w:after="60" w:before="120"/>
      </w:pPr>
      <w:r>
        <w:rPr>
          <w:b/>
          <w:bCs/>
        </w:rPr>
        <w:t xml:space="preserve">Supporting notes</w:t>
      </w:r>
    </w:p>
    <w:p>
      <w:pPr>
        <w:spacing w:after="120"/>
      </w:pPr>
      <w:r>
        <w:t xml:space="preserve">Fictional data supplied to demonstrate the tool. Replace with your own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700"/>
        <w:gridCol w:w="1400"/>
        <w:gridCol w:w="3100"/>
      </w:tblGrid>
      <w:tr>
        <w:trPr>
          <w:cantSplit/>
          <w:tblHeader/>
        </w:trPr>
        <w:tc>
          <w:tcPr>
            <w:tcW w:type="dxa" w:w="4700"/>
            <w:shd w:fill="E8EEF3" w:val="clear"/>
            <w:tcMar>
              <w:top w:type="dxa" w:w="100"/>
              <w:left w:type="dxa" w:w="100"/>
              <w:bottom w:type="dxa" w:w="100"/>
              <w:right w:type="dxa" w:w="100"/>
            </w:tcMar>
          </w:tcPr>
          <w:p>
            <w:pPr>
              <w:spacing w:after="40"/>
            </w:pPr>
            <w:r>
              <w:rPr>
                <w:b/>
                <w:bCs/>
                <w:color w:val="000000"/>
                <w:sz w:val="20"/>
                <w:szCs w:val="20"/>
              </w:rPr>
              <w:t xml:space="preserve">Assessment criterion</w:t>
            </w:r>
          </w:p>
        </w:tc>
        <w:tc>
          <w:tcPr>
            <w:tcW w:type="dxa" w:w="1400"/>
            <w:shd w:fill="E8EEF3" w:val="clear"/>
            <w:tcMar>
              <w:top w:type="dxa" w:w="100"/>
              <w:left w:type="dxa" w:w="100"/>
              <w:bottom w:type="dxa" w:w="100"/>
              <w:right w:type="dxa" w:w="100"/>
            </w:tcMar>
          </w:tcPr>
          <w:p>
            <w:pPr>
              <w:spacing w:after="40"/>
            </w:pPr>
            <w:r>
              <w:rPr>
                <w:b/>
                <w:bCs/>
                <w:color w:val="000000"/>
                <w:sz w:val="20"/>
                <w:szCs w:val="20"/>
              </w:rPr>
              <w:t xml:space="preserve">Status</w:t>
            </w:r>
          </w:p>
        </w:tc>
        <w:tc>
          <w:tcPr>
            <w:tcW w:type="dxa" w:w="3100"/>
            <w:shd w:fill="E8EEF3" w:val="clear"/>
            <w:tcMar>
              <w:top w:type="dxa" w:w="100"/>
              <w:left w:type="dxa" w:w="100"/>
              <w:bottom w:type="dxa" w:w="100"/>
              <w:right w:type="dxa" w:w="100"/>
            </w:tcMar>
          </w:tcPr>
          <w:p>
            <w:pPr>
              <w:spacing w:after="40"/>
            </w:pPr>
            <w:r>
              <w:rPr>
                <w:b/>
                <w:bCs/>
                <w:color w:val="000000"/>
                <w:sz w:val="20"/>
                <w:szCs w:val="20"/>
              </w:rPr>
              <w:t xml:space="preserve">Evidence</w:t>
            </w:r>
          </w:p>
        </w:tc>
      </w:tr>
      <w:tr>
        <w:trPr>
          <w:cantSplit/>
          <w:tblHeader w:val="false"/>
        </w:trPr>
        <w:tc>
          <w:tcPr>
            <w:tcW w:type="dxa" w:w="4700"/>
            <w:tcMar>
              <w:top w:type="dxa" w:w="100"/>
              <w:left w:type="dxa" w:w="100"/>
              <w:bottom w:type="dxa" w:w="100"/>
              <w:right w:type="dxa" w:w="100"/>
            </w:tcMar>
          </w:tcPr>
          <w:p>
            <w:pPr>
              <w:spacing w:after="40"/>
            </w:pPr>
            <w:r>
              <w:rPr>
                <w:b w:val="false"/>
                <w:bCs w:val="false"/>
                <w:color w:val="000000"/>
                <w:sz w:val="20"/>
                <w:szCs w:val="20"/>
              </w:rPr>
              <w:t xml:space="preserve">Inspect role design, access review decisions and service account ownership.</w:t>
            </w:r>
          </w:p>
        </w:tc>
        <w:tc>
          <w:tcPr>
            <w:tcW w:type="dxa" w:w="1400"/>
            <w:tcMar>
              <w:top w:type="dxa" w:w="100"/>
              <w:left w:type="dxa" w:w="100"/>
              <w:bottom w:type="dxa" w:w="100"/>
              <w:right w:type="dxa" w:w="100"/>
            </w:tcMar>
          </w:tcPr>
          <w:p>
            <w:pPr>
              <w:spacing w:after="40"/>
            </w:pPr>
            <w:r>
              <w:rPr>
                <w:b w:val="false"/>
                <w:bCs w:val="false"/>
                <w:color w:val="000000"/>
                <w:sz w:val="20"/>
                <w:szCs w:val="20"/>
              </w:rPr>
              <w:t xml:space="preserve">Met</w:t>
            </w:r>
          </w:p>
        </w:tc>
        <w:tc>
          <w:tcPr>
            <w:tcW w:type="dxa" w:w="3100"/>
            <w:tcMar>
              <w:top w:type="dxa" w:w="100"/>
              <w:left w:type="dxa" w:w="100"/>
              <w:bottom w:type="dxa" w:w="100"/>
              <w:right w:type="dxa" w:w="100"/>
            </w:tcMar>
          </w:tcPr>
          <w:p>
            <w:pPr>
              <w:spacing w:after="40"/>
            </w:pPr>
            <w:r>
              <w:rPr>
                <w:b w:val="false"/>
                <w:bCs w:val="false"/>
                <w:color w:val="000000"/>
                <w:sz w:val="20"/>
                <w:szCs w:val="20"/>
              </w:rPr>
              <w:t xml:space="preserve">Illustrative review notes, September 2026.</w:t>
            </w:r>
          </w:p>
        </w:tc>
      </w:tr>
      <w:tr>
        <w:trPr>
          <w:cantSplit/>
          <w:tblHeader w:val="false"/>
        </w:trPr>
        <w:tc>
          <w:tcPr>
            <w:tcW w:type="dxa" w:w="4700"/>
            <w:tcMar>
              <w:top w:type="dxa" w:w="100"/>
              <w:left w:type="dxa" w:w="100"/>
              <w:bottom w:type="dxa" w:w="100"/>
              <w:right w:type="dxa" w:w="100"/>
            </w:tcMar>
          </w:tcPr>
          <w:p>
            <w:pPr>
              <w:spacing w:after="40"/>
            </w:pPr>
            <w:r>
              <w:rPr>
                <w:b w:val="false"/>
                <w:bCs w:val="false"/>
                <w:color w:val="000000"/>
                <w:sz w:val="20"/>
                <w:szCs w:val="20"/>
              </w:rPr>
              <w:t xml:space="preserve">Confirm consistent adoption across the agreed assessment scope, supported by dated evidence.</w:t>
            </w:r>
          </w:p>
        </w:tc>
        <w:tc>
          <w:tcPr>
            <w:tcW w:type="dxa" w:w="1400"/>
            <w:tcMar>
              <w:top w:type="dxa" w:w="100"/>
              <w:left w:type="dxa" w:w="100"/>
              <w:bottom w:type="dxa" w:w="100"/>
              <w:right w:type="dxa" w:w="100"/>
            </w:tcMar>
          </w:tcPr>
          <w:p>
            <w:pPr>
              <w:spacing w:after="40"/>
            </w:pPr>
            <w:r>
              <w:rPr>
                <w:b w:val="false"/>
                <w:bCs w:val="false"/>
                <w:color w:val="000000"/>
                <w:sz w:val="20"/>
                <w:szCs w:val="20"/>
              </w:rPr>
              <w:t xml:space="preserve">Not confirmed</w:t>
            </w:r>
          </w:p>
        </w:tc>
        <w:tc>
          <w:tcPr>
            <w:tcW w:type="dxa" w:w="3100"/>
            <w:tcMar>
              <w:top w:type="dxa" w:w="100"/>
              <w:left w:type="dxa" w:w="100"/>
              <w:bottom w:type="dxa" w:w="100"/>
              <w:right w:type="dxa" w:w="100"/>
            </w:tcMar>
          </w:tcPr>
          <w:p>
            <w:pPr>
              <w:spacing w:after="40"/>
            </w:pPr>
            <w:r>
              <w:rPr>
                <w:b w:val="false"/>
                <w:bCs w:val="false"/>
                <w:color w:val="000000"/>
                <w:sz w:val="20"/>
                <w:szCs w:val="20"/>
              </w:rPr>
              <w:t xml:space="preserve">Not recorded</w:t>
            </w:r>
          </w:p>
        </w:tc>
      </w:tr>
    </w:tbl>
    <w:p>
      <w:pPr>
        <w:pStyle w:val="Heading3"/>
        <w:keepNext/>
        <w:spacing w:after="140" w:before="260"/>
      </w:pPr>
      <w:r>
        <w:t xml:space="preserve">Integration architecture</w:t>
      </w:r>
    </w:p>
    <w:p>
      <w:pPr>
        <w:spacing w:after="120"/>
      </w:pPr>
      <w:r>
        <w:t xml:space="preserve">Design integration contracts, error handling and recovery across platform boundaries.</w:t>
      </w:r>
    </w:p>
    <w:p>
      <w:pPr>
        <w:spacing w:after="120"/>
      </w:pPr>
      <w:r>
        <w:t xml:space="preserve">Group: Core practices</w:t>
      </w:r>
      <w:r>
        <w:br/>
        <w:t xml:space="preserve">Current: 2 · Developing    Target: 5 · Optimised</w:t>
      </w:r>
      <w:r>
        <w:br/>
        <w:t xml:space="preserve">Gap: 3    Priority: High    Weight: 1</w:t>
      </w:r>
      <w:r>
        <w:br/>
        <w:t xml:space="preserve">Owner: Solution architect    Target date: 2027-02-20</w:t>
      </w:r>
    </w:p>
    <w:p>
      <w:pPr>
        <w:keepNext/>
        <w:spacing w:after="60" w:before="120"/>
      </w:pPr>
      <w:r>
        <w:rPr>
          <w:b/>
          <w:bCs/>
        </w:rPr>
        <w:t xml:space="preserve">Evidence and justification</w:t>
      </w:r>
    </w:p>
    <w:p>
      <w:pPr>
        <w:spacing w:after="120"/>
      </w:pPr>
      <w:r>
        <w:t xml:space="preserve">Illustrative evidence: Trace a failed integration through monitoring and recovery. A sample review in September found the practice in two of four teams, with inconsistent follow-up.</w:t>
      </w:r>
    </w:p>
    <w:p>
      <w:pPr>
        <w:keepNext/>
        <w:spacing w:after="60" w:before="120"/>
      </w:pPr>
      <w:r>
        <w:rPr>
          <w:b/>
          <w:bCs/>
        </w:rPr>
        <w:t xml:space="preserve">Recommendations</w:t>
      </w:r>
    </w:p>
    <w:p>
      <w:pPr>
        <w:spacing w:after="120"/>
      </w:pPr>
      <w:r>
        <w:t xml:space="preserve">Agree a consistent approach for integration architecture, assign ownership, and review adoption at the next quarterly assessment.</w:t>
      </w:r>
    </w:p>
    <w:p>
      <w:pPr>
        <w:keepNext/>
        <w:spacing w:after="60" w:before="120"/>
      </w:pPr>
      <w:r>
        <w:rPr>
          <w:b/>
          <w:bCs/>
        </w:rPr>
        <w:t xml:space="preserve">Risks and issues</w:t>
      </w:r>
    </w:p>
    <w:p>
      <w:pPr>
        <w:spacing w:after="120"/>
      </w:pPr>
      <w:r>
        <w:t xml:space="preserve">Not recorded.</w:t>
      </w:r>
    </w:p>
    <w:p>
      <w:pPr>
        <w:keepNext/>
        <w:spacing w:after="60" w:before="120"/>
      </w:pPr>
      <w:r>
        <w:rPr>
          <w:b/>
          <w:bCs/>
        </w:rPr>
        <w:t xml:space="preserve">Supporting notes</w:t>
      </w:r>
    </w:p>
    <w:p>
      <w:pPr>
        <w:spacing w:after="120"/>
      </w:pPr>
      <w:r>
        <w:t xml:space="preserve">Fictional data supplied to demonstrate the tool. Replace with your own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700"/>
        <w:gridCol w:w="1400"/>
        <w:gridCol w:w="3100"/>
      </w:tblGrid>
      <w:tr>
        <w:trPr>
          <w:cantSplit/>
          <w:tblHeader/>
        </w:trPr>
        <w:tc>
          <w:tcPr>
            <w:tcW w:type="dxa" w:w="4700"/>
            <w:shd w:fill="E8EEF3" w:val="clear"/>
            <w:tcMar>
              <w:top w:type="dxa" w:w="100"/>
              <w:left w:type="dxa" w:w="100"/>
              <w:bottom w:type="dxa" w:w="100"/>
              <w:right w:type="dxa" w:w="100"/>
            </w:tcMar>
          </w:tcPr>
          <w:p>
            <w:pPr>
              <w:spacing w:after="40"/>
            </w:pPr>
            <w:r>
              <w:rPr>
                <w:b/>
                <w:bCs/>
                <w:color w:val="000000"/>
                <w:sz w:val="20"/>
                <w:szCs w:val="20"/>
              </w:rPr>
              <w:t xml:space="preserve">Assessment criterion</w:t>
            </w:r>
          </w:p>
        </w:tc>
        <w:tc>
          <w:tcPr>
            <w:tcW w:type="dxa" w:w="1400"/>
            <w:shd w:fill="E8EEF3" w:val="clear"/>
            <w:tcMar>
              <w:top w:type="dxa" w:w="100"/>
              <w:left w:type="dxa" w:w="100"/>
              <w:bottom w:type="dxa" w:w="100"/>
              <w:right w:type="dxa" w:w="100"/>
            </w:tcMar>
          </w:tcPr>
          <w:p>
            <w:pPr>
              <w:spacing w:after="40"/>
            </w:pPr>
            <w:r>
              <w:rPr>
                <w:b/>
                <w:bCs/>
                <w:color w:val="000000"/>
                <w:sz w:val="20"/>
                <w:szCs w:val="20"/>
              </w:rPr>
              <w:t xml:space="preserve">Status</w:t>
            </w:r>
          </w:p>
        </w:tc>
        <w:tc>
          <w:tcPr>
            <w:tcW w:type="dxa" w:w="3100"/>
            <w:shd w:fill="E8EEF3" w:val="clear"/>
            <w:tcMar>
              <w:top w:type="dxa" w:w="100"/>
              <w:left w:type="dxa" w:w="100"/>
              <w:bottom w:type="dxa" w:w="100"/>
              <w:right w:type="dxa" w:w="100"/>
            </w:tcMar>
          </w:tcPr>
          <w:p>
            <w:pPr>
              <w:spacing w:after="40"/>
            </w:pPr>
            <w:r>
              <w:rPr>
                <w:b/>
                <w:bCs/>
                <w:color w:val="000000"/>
                <w:sz w:val="20"/>
                <w:szCs w:val="20"/>
              </w:rPr>
              <w:t xml:space="preserve">Evidence</w:t>
            </w:r>
          </w:p>
        </w:tc>
      </w:tr>
      <w:tr>
        <w:trPr>
          <w:cantSplit/>
          <w:tblHeader w:val="false"/>
        </w:trPr>
        <w:tc>
          <w:tcPr>
            <w:tcW w:type="dxa" w:w="4700"/>
            <w:tcMar>
              <w:top w:type="dxa" w:w="100"/>
              <w:left w:type="dxa" w:w="100"/>
              <w:bottom w:type="dxa" w:w="100"/>
              <w:right w:type="dxa" w:w="100"/>
            </w:tcMar>
          </w:tcPr>
          <w:p>
            <w:pPr>
              <w:spacing w:after="40"/>
            </w:pPr>
            <w:r>
              <w:rPr>
                <w:b w:val="false"/>
                <w:bCs w:val="false"/>
                <w:color w:val="000000"/>
                <w:sz w:val="20"/>
                <w:szCs w:val="20"/>
              </w:rPr>
              <w:t xml:space="preserve">Trace a failed integration through monitoring and recovery.</w:t>
            </w:r>
          </w:p>
        </w:tc>
        <w:tc>
          <w:tcPr>
            <w:tcW w:type="dxa" w:w="1400"/>
            <w:tcMar>
              <w:top w:type="dxa" w:w="100"/>
              <w:left w:type="dxa" w:w="100"/>
              <w:bottom w:type="dxa" w:w="100"/>
              <w:right w:type="dxa" w:w="100"/>
            </w:tcMar>
          </w:tcPr>
          <w:p>
            <w:pPr>
              <w:spacing w:after="40"/>
            </w:pPr>
            <w:r>
              <w:rPr>
                <w:b w:val="false"/>
                <w:bCs w:val="false"/>
                <w:color w:val="000000"/>
                <w:sz w:val="20"/>
                <w:szCs w:val="20"/>
              </w:rPr>
              <w:t xml:space="preserve">Met</w:t>
            </w:r>
          </w:p>
        </w:tc>
        <w:tc>
          <w:tcPr>
            <w:tcW w:type="dxa" w:w="3100"/>
            <w:tcMar>
              <w:top w:type="dxa" w:w="100"/>
              <w:left w:type="dxa" w:w="100"/>
              <w:bottom w:type="dxa" w:w="100"/>
              <w:right w:type="dxa" w:w="100"/>
            </w:tcMar>
          </w:tcPr>
          <w:p>
            <w:pPr>
              <w:spacing w:after="40"/>
            </w:pPr>
            <w:r>
              <w:rPr>
                <w:b w:val="false"/>
                <w:bCs w:val="false"/>
                <w:color w:val="000000"/>
                <w:sz w:val="20"/>
                <w:szCs w:val="20"/>
              </w:rPr>
              <w:t xml:space="preserve">Illustrative review notes, September 2026.</w:t>
            </w:r>
          </w:p>
        </w:tc>
      </w:tr>
      <w:tr>
        <w:trPr>
          <w:cantSplit/>
          <w:tblHeader w:val="false"/>
        </w:trPr>
        <w:tc>
          <w:tcPr>
            <w:tcW w:type="dxa" w:w="4700"/>
            <w:tcMar>
              <w:top w:type="dxa" w:w="100"/>
              <w:left w:type="dxa" w:w="100"/>
              <w:bottom w:type="dxa" w:w="100"/>
              <w:right w:type="dxa" w:w="100"/>
            </w:tcMar>
          </w:tcPr>
          <w:p>
            <w:pPr>
              <w:spacing w:after="40"/>
            </w:pPr>
            <w:r>
              <w:rPr>
                <w:b w:val="false"/>
                <w:bCs w:val="false"/>
                <w:color w:val="000000"/>
                <w:sz w:val="20"/>
                <w:szCs w:val="20"/>
              </w:rPr>
              <w:t xml:space="preserve">Confirm consistent adoption across the agreed assessment scope, supported by dated evidence.</w:t>
            </w:r>
          </w:p>
        </w:tc>
        <w:tc>
          <w:tcPr>
            <w:tcW w:type="dxa" w:w="1400"/>
            <w:tcMar>
              <w:top w:type="dxa" w:w="100"/>
              <w:left w:type="dxa" w:w="100"/>
              <w:bottom w:type="dxa" w:w="100"/>
              <w:right w:type="dxa" w:w="100"/>
            </w:tcMar>
          </w:tcPr>
          <w:p>
            <w:pPr>
              <w:spacing w:after="40"/>
            </w:pPr>
            <w:r>
              <w:rPr>
                <w:b w:val="false"/>
                <w:bCs w:val="false"/>
                <w:color w:val="000000"/>
                <w:sz w:val="20"/>
                <w:szCs w:val="20"/>
              </w:rPr>
              <w:t xml:space="preserve">Not confirmed</w:t>
            </w:r>
          </w:p>
        </w:tc>
        <w:tc>
          <w:tcPr>
            <w:tcW w:type="dxa" w:w="3100"/>
            <w:tcMar>
              <w:top w:type="dxa" w:w="100"/>
              <w:left w:type="dxa" w:w="100"/>
              <w:bottom w:type="dxa" w:w="100"/>
              <w:right w:type="dxa" w:w="100"/>
            </w:tcMar>
          </w:tcPr>
          <w:p>
            <w:pPr>
              <w:spacing w:after="40"/>
            </w:pPr>
            <w:r>
              <w:rPr>
                <w:b w:val="false"/>
                <w:bCs w:val="false"/>
                <w:color w:val="000000"/>
                <w:sz w:val="20"/>
                <w:szCs w:val="20"/>
              </w:rPr>
              <w:t xml:space="preserve">Not recorded</w:t>
            </w:r>
          </w:p>
        </w:tc>
      </w:tr>
    </w:tbl>
    <w:p>
      <w:pPr>
        <w:pStyle w:val="Heading2"/>
        <w:keepNext/>
        <w:spacing w:after="140" w:before="260"/>
      </w:pPr>
      <w:r>
        <w:t xml:space="preserve">Engineering and delivery</w:t>
      </w:r>
    </w:p>
    <w:p>
      <w:pPr>
        <w:pStyle w:val="Heading3"/>
        <w:keepNext/>
        <w:spacing w:after="140" w:before="260"/>
      </w:pPr>
      <w:r>
        <w:t xml:space="preserve">Application lifecycle management</w:t>
      </w:r>
    </w:p>
    <w:p>
      <w:pPr>
        <w:spacing w:after="120"/>
      </w:pPr>
      <w:r>
        <w:t xml:space="preserve">Keep solution changes in source control and promote managed artefacts consistently.</w:t>
      </w:r>
    </w:p>
    <w:p>
      <w:pPr>
        <w:spacing w:after="120"/>
      </w:pPr>
      <w:r>
        <w:t xml:space="preserve">Group: Core practices</w:t>
      </w:r>
      <w:r>
        <w:br/>
        <w:t xml:space="preserve">Current: 3 · Defined    Target: 5 · Optimised</w:t>
      </w:r>
      <w:r>
        <w:br/>
        <w:t xml:space="preserve">Gap: 2    Priority: High    Weight: 2</w:t>
      </w:r>
      <w:r>
        <w:br/>
        <w:t xml:space="preserve">Owner: Engineering lead    Target date: 2027-03-20</w:t>
      </w:r>
    </w:p>
    <w:p>
      <w:pPr>
        <w:keepNext/>
        <w:spacing w:after="60" w:before="120"/>
      </w:pPr>
      <w:r>
        <w:rPr>
          <w:b/>
          <w:bCs/>
        </w:rPr>
        <w:t xml:space="preserve">Evidence and justification</w:t>
      </w:r>
    </w:p>
    <w:p>
      <w:pPr>
        <w:spacing w:after="120"/>
      </w:pPr>
      <w:r>
        <w:t xml:space="preserve">Illustrative evidence: Trace a production solution to source history and deployment evidence. A sample review in September found the practice in two of four teams, with inconsistent follow-up.</w:t>
      </w:r>
    </w:p>
    <w:p>
      <w:pPr>
        <w:keepNext/>
        <w:spacing w:after="60" w:before="120"/>
      </w:pPr>
      <w:r>
        <w:rPr>
          <w:b/>
          <w:bCs/>
        </w:rPr>
        <w:t xml:space="preserve">Recommendations</w:t>
      </w:r>
    </w:p>
    <w:p>
      <w:pPr>
        <w:spacing w:after="120"/>
      </w:pPr>
      <w:r>
        <w:t xml:space="preserve">Agree a consistent approach for application lifecycle management, assign ownership, and review adoption at the next quarterly assessment.</w:t>
      </w:r>
    </w:p>
    <w:p>
      <w:pPr>
        <w:keepNext/>
        <w:spacing w:after="60" w:before="120"/>
      </w:pPr>
      <w:r>
        <w:rPr>
          <w:b/>
          <w:bCs/>
        </w:rPr>
        <w:t xml:space="preserve">Risks and issues</w:t>
      </w:r>
    </w:p>
    <w:p>
      <w:pPr>
        <w:spacing w:after="120"/>
      </w:pPr>
      <w:r>
        <w:t xml:space="preserve">Inconsistent adoption could leave critical services without a clear accountable owner.</w:t>
      </w:r>
    </w:p>
    <w:p>
      <w:pPr>
        <w:keepNext/>
        <w:spacing w:after="60" w:before="120"/>
      </w:pPr>
      <w:r>
        <w:rPr>
          <w:b/>
          <w:bCs/>
        </w:rPr>
        <w:t xml:space="preserve">Supporting notes</w:t>
      </w:r>
    </w:p>
    <w:p>
      <w:pPr>
        <w:spacing w:after="120"/>
      </w:pPr>
      <w:r>
        <w:t xml:space="preserve">Fictional data supplied to demonstrate the tool. Replace with your own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700"/>
        <w:gridCol w:w="1400"/>
        <w:gridCol w:w="3100"/>
      </w:tblGrid>
      <w:tr>
        <w:trPr>
          <w:cantSplit/>
          <w:tblHeader/>
        </w:trPr>
        <w:tc>
          <w:tcPr>
            <w:tcW w:type="dxa" w:w="4700"/>
            <w:shd w:fill="E8EEF3" w:val="clear"/>
            <w:tcMar>
              <w:top w:type="dxa" w:w="100"/>
              <w:left w:type="dxa" w:w="100"/>
              <w:bottom w:type="dxa" w:w="100"/>
              <w:right w:type="dxa" w:w="100"/>
            </w:tcMar>
          </w:tcPr>
          <w:p>
            <w:pPr>
              <w:spacing w:after="40"/>
            </w:pPr>
            <w:r>
              <w:rPr>
                <w:b/>
                <w:bCs/>
                <w:color w:val="000000"/>
                <w:sz w:val="20"/>
                <w:szCs w:val="20"/>
              </w:rPr>
              <w:t xml:space="preserve">Assessment criterion</w:t>
            </w:r>
          </w:p>
        </w:tc>
        <w:tc>
          <w:tcPr>
            <w:tcW w:type="dxa" w:w="1400"/>
            <w:shd w:fill="E8EEF3" w:val="clear"/>
            <w:tcMar>
              <w:top w:type="dxa" w:w="100"/>
              <w:left w:type="dxa" w:w="100"/>
              <w:bottom w:type="dxa" w:w="100"/>
              <w:right w:type="dxa" w:w="100"/>
            </w:tcMar>
          </w:tcPr>
          <w:p>
            <w:pPr>
              <w:spacing w:after="40"/>
            </w:pPr>
            <w:r>
              <w:rPr>
                <w:b/>
                <w:bCs/>
                <w:color w:val="000000"/>
                <w:sz w:val="20"/>
                <w:szCs w:val="20"/>
              </w:rPr>
              <w:t xml:space="preserve">Status</w:t>
            </w:r>
          </w:p>
        </w:tc>
        <w:tc>
          <w:tcPr>
            <w:tcW w:type="dxa" w:w="3100"/>
            <w:shd w:fill="E8EEF3" w:val="clear"/>
            <w:tcMar>
              <w:top w:type="dxa" w:w="100"/>
              <w:left w:type="dxa" w:w="100"/>
              <w:bottom w:type="dxa" w:w="100"/>
              <w:right w:type="dxa" w:w="100"/>
            </w:tcMar>
          </w:tcPr>
          <w:p>
            <w:pPr>
              <w:spacing w:after="40"/>
            </w:pPr>
            <w:r>
              <w:rPr>
                <w:b/>
                <w:bCs/>
                <w:color w:val="000000"/>
                <w:sz w:val="20"/>
                <w:szCs w:val="20"/>
              </w:rPr>
              <w:t xml:space="preserve">Evidence</w:t>
            </w:r>
          </w:p>
        </w:tc>
      </w:tr>
      <w:tr>
        <w:trPr>
          <w:cantSplit/>
          <w:tblHeader w:val="false"/>
        </w:trPr>
        <w:tc>
          <w:tcPr>
            <w:tcW w:type="dxa" w:w="4700"/>
            <w:tcMar>
              <w:top w:type="dxa" w:w="100"/>
              <w:left w:type="dxa" w:w="100"/>
              <w:bottom w:type="dxa" w:w="100"/>
              <w:right w:type="dxa" w:w="100"/>
            </w:tcMar>
          </w:tcPr>
          <w:p>
            <w:pPr>
              <w:spacing w:after="40"/>
            </w:pPr>
            <w:r>
              <w:rPr>
                <w:b w:val="false"/>
                <w:bCs w:val="false"/>
                <w:color w:val="000000"/>
                <w:sz w:val="20"/>
                <w:szCs w:val="20"/>
              </w:rPr>
              <w:t xml:space="preserve">Trace a production solution to source history and deployment evidence.</w:t>
            </w:r>
          </w:p>
        </w:tc>
        <w:tc>
          <w:tcPr>
            <w:tcW w:type="dxa" w:w="1400"/>
            <w:tcMar>
              <w:top w:type="dxa" w:w="100"/>
              <w:left w:type="dxa" w:w="100"/>
              <w:bottom w:type="dxa" w:w="100"/>
              <w:right w:type="dxa" w:w="100"/>
            </w:tcMar>
          </w:tcPr>
          <w:p>
            <w:pPr>
              <w:spacing w:after="40"/>
            </w:pPr>
            <w:r>
              <w:rPr>
                <w:b w:val="false"/>
                <w:bCs w:val="false"/>
                <w:color w:val="000000"/>
                <w:sz w:val="20"/>
                <w:szCs w:val="20"/>
              </w:rPr>
              <w:t xml:space="preserve">Met</w:t>
            </w:r>
          </w:p>
        </w:tc>
        <w:tc>
          <w:tcPr>
            <w:tcW w:type="dxa" w:w="3100"/>
            <w:tcMar>
              <w:top w:type="dxa" w:w="100"/>
              <w:left w:type="dxa" w:w="100"/>
              <w:bottom w:type="dxa" w:w="100"/>
              <w:right w:type="dxa" w:w="100"/>
            </w:tcMar>
          </w:tcPr>
          <w:p>
            <w:pPr>
              <w:spacing w:after="40"/>
            </w:pPr>
            <w:r>
              <w:rPr>
                <w:b w:val="false"/>
                <w:bCs w:val="false"/>
                <w:color w:val="000000"/>
                <w:sz w:val="20"/>
                <w:szCs w:val="20"/>
              </w:rPr>
              <w:t xml:space="preserve">Illustrative review notes, September 2026.</w:t>
            </w:r>
          </w:p>
        </w:tc>
      </w:tr>
      <w:tr>
        <w:trPr>
          <w:cantSplit/>
          <w:tblHeader w:val="false"/>
        </w:trPr>
        <w:tc>
          <w:tcPr>
            <w:tcW w:type="dxa" w:w="4700"/>
            <w:tcMar>
              <w:top w:type="dxa" w:w="100"/>
              <w:left w:type="dxa" w:w="100"/>
              <w:bottom w:type="dxa" w:w="100"/>
              <w:right w:type="dxa" w:w="100"/>
            </w:tcMar>
          </w:tcPr>
          <w:p>
            <w:pPr>
              <w:spacing w:after="40"/>
            </w:pPr>
            <w:r>
              <w:rPr>
                <w:b w:val="false"/>
                <w:bCs w:val="false"/>
                <w:color w:val="000000"/>
                <w:sz w:val="20"/>
                <w:szCs w:val="20"/>
              </w:rPr>
              <w:t xml:space="preserve">Confirm consistent adoption across the agreed assessment scope, supported by dated evidence.</w:t>
            </w:r>
          </w:p>
        </w:tc>
        <w:tc>
          <w:tcPr>
            <w:tcW w:type="dxa" w:w="1400"/>
            <w:tcMar>
              <w:top w:type="dxa" w:w="100"/>
              <w:left w:type="dxa" w:w="100"/>
              <w:bottom w:type="dxa" w:w="100"/>
              <w:right w:type="dxa" w:w="100"/>
            </w:tcMar>
          </w:tcPr>
          <w:p>
            <w:pPr>
              <w:spacing w:after="40"/>
            </w:pPr>
            <w:r>
              <w:rPr>
                <w:b w:val="false"/>
                <w:bCs w:val="false"/>
                <w:color w:val="000000"/>
                <w:sz w:val="20"/>
                <w:szCs w:val="20"/>
              </w:rPr>
              <w:t xml:space="preserve">Not confirmed</w:t>
            </w:r>
          </w:p>
        </w:tc>
        <w:tc>
          <w:tcPr>
            <w:tcW w:type="dxa" w:w="3100"/>
            <w:tcMar>
              <w:top w:type="dxa" w:w="100"/>
              <w:left w:type="dxa" w:w="100"/>
              <w:bottom w:type="dxa" w:w="100"/>
              <w:right w:type="dxa" w:w="100"/>
            </w:tcMar>
          </w:tcPr>
          <w:p>
            <w:pPr>
              <w:spacing w:after="40"/>
            </w:pPr>
            <w:r>
              <w:rPr>
                <w:b w:val="false"/>
                <w:bCs w:val="false"/>
                <w:color w:val="000000"/>
                <w:sz w:val="20"/>
                <w:szCs w:val="20"/>
              </w:rPr>
              <w:t xml:space="preserve">Not recorded</w:t>
            </w:r>
          </w:p>
        </w:tc>
      </w:tr>
    </w:tbl>
    <w:p>
      <w:pPr>
        <w:pStyle w:val="Heading3"/>
        <w:keepNext/>
        <w:spacing w:after="140" w:before="260"/>
      </w:pPr>
      <w:r>
        <w:t xml:space="preserve">Deployment automation</w:t>
      </w:r>
    </w:p>
    <w:p>
      <w:pPr>
        <w:spacing w:after="120"/>
      </w:pPr>
      <w:r>
        <w:t xml:space="preserve">Use repeatable pipelines with approvals, validation and rollback arrangements.</w:t>
      </w:r>
    </w:p>
    <w:p>
      <w:pPr>
        <w:spacing w:after="120"/>
      </w:pPr>
      <w:r>
        <w:t xml:space="preserve">Group: Core practices</w:t>
      </w:r>
      <w:r>
        <w:br/>
        <w:t xml:space="preserve">Current: 2 · Developing    Target: 4 · Managed</w:t>
      </w:r>
      <w:r>
        <w:br/>
        <w:t xml:space="preserve">Gap: 2    Priority: Medium    Weight: 1</w:t>
      </w:r>
      <w:r>
        <w:br/>
        <w:t xml:space="preserve">Owner: Engineering lead    Target date: 2027-03-20</w:t>
      </w:r>
    </w:p>
    <w:p>
      <w:pPr>
        <w:keepNext/>
        <w:spacing w:after="60" w:before="120"/>
      </w:pPr>
      <w:r>
        <w:rPr>
          <w:b/>
          <w:bCs/>
        </w:rPr>
        <w:t xml:space="preserve">Evidence and justification</w:t>
      </w:r>
    </w:p>
    <w:p>
      <w:pPr>
        <w:spacing w:after="120"/>
      </w:pPr>
      <w:r>
        <w:t xml:space="preserve">Illustrative evidence: Observe a deployment and a documented recovery exercise. A sample review in September found the practice in two of four teams, with inconsistent follow-up.</w:t>
      </w:r>
    </w:p>
    <w:p>
      <w:pPr>
        <w:keepNext/>
        <w:spacing w:after="60" w:before="120"/>
      </w:pPr>
      <w:r>
        <w:rPr>
          <w:b/>
          <w:bCs/>
        </w:rPr>
        <w:t xml:space="preserve">Recommendations</w:t>
      </w:r>
    </w:p>
    <w:p>
      <w:pPr>
        <w:spacing w:after="120"/>
      </w:pPr>
      <w:r>
        <w:t xml:space="preserve">Agree a consistent approach for deployment automation, assign ownership, and review adoption at the next quarterly assessment.</w:t>
      </w:r>
    </w:p>
    <w:p>
      <w:pPr>
        <w:keepNext/>
        <w:spacing w:after="60" w:before="120"/>
      </w:pPr>
      <w:r>
        <w:rPr>
          <w:b/>
          <w:bCs/>
        </w:rPr>
        <w:t xml:space="preserve">Risks and issues</w:t>
      </w:r>
    </w:p>
    <w:p>
      <w:pPr>
        <w:spacing w:after="120"/>
      </w:pPr>
      <w:r>
        <w:t xml:space="preserve">Not recorded.</w:t>
      </w:r>
    </w:p>
    <w:p>
      <w:pPr>
        <w:keepNext/>
        <w:spacing w:after="60" w:before="120"/>
      </w:pPr>
      <w:r>
        <w:rPr>
          <w:b/>
          <w:bCs/>
        </w:rPr>
        <w:t xml:space="preserve">Supporting notes</w:t>
      </w:r>
    </w:p>
    <w:p>
      <w:pPr>
        <w:spacing w:after="120"/>
      </w:pPr>
      <w:r>
        <w:t xml:space="preserve">Fictional data supplied to demonstrate the tool. Replace with your own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700"/>
        <w:gridCol w:w="1400"/>
        <w:gridCol w:w="3100"/>
      </w:tblGrid>
      <w:tr>
        <w:trPr>
          <w:cantSplit/>
          <w:tblHeader/>
        </w:trPr>
        <w:tc>
          <w:tcPr>
            <w:tcW w:type="dxa" w:w="4700"/>
            <w:shd w:fill="E8EEF3" w:val="clear"/>
            <w:tcMar>
              <w:top w:type="dxa" w:w="100"/>
              <w:left w:type="dxa" w:w="100"/>
              <w:bottom w:type="dxa" w:w="100"/>
              <w:right w:type="dxa" w:w="100"/>
            </w:tcMar>
          </w:tcPr>
          <w:p>
            <w:pPr>
              <w:spacing w:after="40"/>
            </w:pPr>
            <w:r>
              <w:rPr>
                <w:b/>
                <w:bCs/>
                <w:color w:val="000000"/>
                <w:sz w:val="20"/>
                <w:szCs w:val="20"/>
              </w:rPr>
              <w:t xml:space="preserve">Assessment criterion</w:t>
            </w:r>
          </w:p>
        </w:tc>
        <w:tc>
          <w:tcPr>
            <w:tcW w:type="dxa" w:w="1400"/>
            <w:shd w:fill="E8EEF3" w:val="clear"/>
            <w:tcMar>
              <w:top w:type="dxa" w:w="100"/>
              <w:left w:type="dxa" w:w="100"/>
              <w:bottom w:type="dxa" w:w="100"/>
              <w:right w:type="dxa" w:w="100"/>
            </w:tcMar>
          </w:tcPr>
          <w:p>
            <w:pPr>
              <w:spacing w:after="40"/>
            </w:pPr>
            <w:r>
              <w:rPr>
                <w:b/>
                <w:bCs/>
                <w:color w:val="000000"/>
                <w:sz w:val="20"/>
                <w:szCs w:val="20"/>
              </w:rPr>
              <w:t xml:space="preserve">Status</w:t>
            </w:r>
          </w:p>
        </w:tc>
        <w:tc>
          <w:tcPr>
            <w:tcW w:type="dxa" w:w="3100"/>
            <w:shd w:fill="E8EEF3" w:val="clear"/>
            <w:tcMar>
              <w:top w:type="dxa" w:w="100"/>
              <w:left w:type="dxa" w:w="100"/>
              <w:bottom w:type="dxa" w:w="100"/>
              <w:right w:type="dxa" w:w="100"/>
            </w:tcMar>
          </w:tcPr>
          <w:p>
            <w:pPr>
              <w:spacing w:after="40"/>
            </w:pPr>
            <w:r>
              <w:rPr>
                <w:b/>
                <w:bCs/>
                <w:color w:val="000000"/>
                <w:sz w:val="20"/>
                <w:szCs w:val="20"/>
              </w:rPr>
              <w:t xml:space="preserve">Evidence</w:t>
            </w:r>
          </w:p>
        </w:tc>
      </w:tr>
      <w:tr>
        <w:trPr>
          <w:cantSplit/>
          <w:tblHeader w:val="false"/>
        </w:trPr>
        <w:tc>
          <w:tcPr>
            <w:tcW w:type="dxa" w:w="4700"/>
            <w:tcMar>
              <w:top w:type="dxa" w:w="100"/>
              <w:left w:type="dxa" w:w="100"/>
              <w:bottom w:type="dxa" w:w="100"/>
              <w:right w:type="dxa" w:w="100"/>
            </w:tcMar>
          </w:tcPr>
          <w:p>
            <w:pPr>
              <w:spacing w:after="40"/>
            </w:pPr>
            <w:r>
              <w:rPr>
                <w:b w:val="false"/>
                <w:bCs w:val="false"/>
                <w:color w:val="000000"/>
                <w:sz w:val="20"/>
                <w:szCs w:val="20"/>
              </w:rPr>
              <w:t xml:space="preserve">Observe a deployment and a documented recovery exercise.</w:t>
            </w:r>
          </w:p>
        </w:tc>
        <w:tc>
          <w:tcPr>
            <w:tcW w:type="dxa" w:w="1400"/>
            <w:tcMar>
              <w:top w:type="dxa" w:w="100"/>
              <w:left w:type="dxa" w:w="100"/>
              <w:bottom w:type="dxa" w:w="100"/>
              <w:right w:type="dxa" w:w="100"/>
            </w:tcMar>
          </w:tcPr>
          <w:p>
            <w:pPr>
              <w:spacing w:after="40"/>
            </w:pPr>
            <w:r>
              <w:rPr>
                <w:b w:val="false"/>
                <w:bCs w:val="false"/>
                <w:color w:val="000000"/>
                <w:sz w:val="20"/>
                <w:szCs w:val="20"/>
              </w:rPr>
              <w:t xml:space="preserve">Met</w:t>
            </w:r>
          </w:p>
        </w:tc>
        <w:tc>
          <w:tcPr>
            <w:tcW w:type="dxa" w:w="3100"/>
            <w:tcMar>
              <w:top w:type="dxa" w:w="100"/>
              <w:left w:type="dxa" w:w="100"/>
              <w:bottom w:type="dxa" w:w="100"/>
              <w:right w:type="dxa" w:w="100"/>
            </w:tcMar>
          </w:tcPr>
          <w:p>
            <w:pPr>
              <w:spacing w:after="40"/>
            </w:pPr>
            <w:r>
              <w:rPr>
                <w:b w:val="false"/>
                <w:bCs w:val="false"/>
                <w:color w:val="000000"/>
                <w:sz w:val="20"/>
                <w:szCs w:val="20"/>
              </w:rPr>
              <w:t xml:space="preserve">Illustrative review notes, September 2026.</w:t>
            </w:r>
          </w:p>
        </w:tc>
      </w:tr>
      <w:tr>
        <w:trPr>
          <w:cantSplit/>
          <w:tblHeader w:val="false"/>
        </w:trPr>
        <w:tc>
          <w:tcPr>
            <w:tcW w:type="dxa" w:w="4700"/>
            <w:tcMar>
              <w:top w:type="dxa" w:w="100"/>
              <w:left w:type="dxa" w:w="100"/>
              <w:bottom w:type="dxa" w:w="100"/>
              <w:right w:type="dxa" w:w="100"/>
            </w:tcMar>
          </w:tcPr>
          <w:p>
            <w:pPr>
              <w:spacing w:after="40"/>
            </w:pPr>
            <w:r>
              <w:rPr>
                <w:b w:val="false"/>
                <w:bCs w:val="false"/>
                <w:color w:val="000000"/>
                <w:sz w:val="20"/>
                <w:szCs w:val="20"/>
              </w:rPr>
              <w:t xml:space="preserve">Confirm consistent adoption across the agreed assessment scope, supported by dated evidence.</w:t>
            </w:r>
          </w:p>
        </w:tc>
        <w:tc>
          <w:tcPr>
            <w:tcW w:type="dxa" w:w="1400"/>
            <w:tcMar>
              <w:top w:type="dxa" w:w="100"/>
              <w:left w:type="dxa" w:w="100"/>
              <w:bottom w:type="dxa" w:w="100"/>
              <w:right w:type="dxa" w:w="100"/>
            </w:tcMar>
          </w:tcPr>
          <w:p>
            <w:pPr>
              <w:spacing w:after="40"/>
            </w:pPr>
            <w:r>
              <w:rPr>
                <w:b w:val="false"/>
                <w:bCs w:val="false"/>
                <w:color w:val="000000"/>
                <w:sz w:val="20"/>
                <w:szCs w:val="20"/>
              </w:rPr>
              <w:t xml:space="preserve">Not confirmed</w:t>
            </w:r>
          </w:p>
        </w:tc>
        <w:tc>
          <w:tcPr>
            <w:tcW w:type="dxa" w:w="3100"/>
            <w:tcMar>
              <w:top w:type="dxa" w:w="100"/>
              <w:left w:type="dxa" w:w="100"/>
              <w:bottom w:type="dxa" w:w="100"/>
              <w:right w:type="dxa" w:w="100"/>
            </w:tcMar>
          </w:tcPr>
          <w:p>
            <w:pPr>
              <w:spacing w:after="40"/>
            </w:pPr>
            <w:r>
              <w:rPr>
                <w:b w:val="false"/>
                <w:bCs w:val="false"/>
                <w:color w:val="000000"/>
                <w:sz w:val="20"/>
                <w:szCs w:val="20"/>
              </w:rPr>
              <w:t xml:space="preserve">Not recorded</w:t>
            </w:r>
          </w:p>
        </w:tc>
      </w:tr>
    </w:tbl>
    <w:p>
      <w:pPr>
        <w:pStyle w:val="Heading3"/>
        <w:keepNext/>
        <w:spacing w:after="140" w:before="260"/>
      </w:pPr>
      <w:r>
        <w:t xml:space="preserve">Automated testing</w:t>
      </w:r>
    </w:p>
    <w:p>
      <w:pPr>
        <w:spacing w:after="120"/>
      </w:pPr>
      <w:r>
        <w:t xml:space="preserve">Cover important journeys and custom code with maintained automated checks.</w:t>
      </w:r>
    </w:p>
    <w:p>
      <w:pPr>
        <w:spacing w:after="120"/>
      </w:pPr>
      <w:r>
        <w:t xml:space="preserve">Group: Core practices</w:t>
      </w:r>
      <w:r>
        <w:br/>
        <w:t xml:space="preserve">Current: 2 · Developing    Target: 5 · Optimised</w:t>
      </w:r>
      <w:r>
        <w:br/>
        <w:t xml:space="preserve">Gap: 3    Priority: High    Weight: 1</w:t>
      </w:r>
      <w:r>
        <w:br/>
        <w:t xml:space="preserve">Owner: Engineering lead    Target date: 2027-03-20</w:t>
      </w:r>
    </w:p>
    <w:p>
      <w:pPr>
        <w:keepNext/>
        <w:spacing w:after="60" w:before="120"/>
      </w:pPr>
      <w:r>
        <w:rPr>
          <w:b/>
          <w:bCs/>
        </w:rPr>
        <w:t xml:space="preserve">Evidence and justification</w:t>
      </w:r>
    </w:p>
    <w:p>
      <w:pPr>
        <w:spacing w:after="120"/>
      </w:pPr>
      <w:r>
        <w:t xml:space="preserve">Illustrative evidence: Review test results, failure handling and coverage of key journeys. A sample review in September found the practice in two of four teams, with inconsistent follow-up.</w:t>
      </w:r>
    </w:p>
    <w:p>
      <w:pPr>
        <w:keepNext/>
        <w:spacing w:after="60" w:before="120"/>
      </w:pPr>
      <w:r>
        <w:rPr>
          <w:b/>
          <w:bCs/>
        </w:rPr>
        <w:t xml:space="preserve">Recommendations</w:t>
      </w:r>
    </w:p>
    <w:p>
      <w:pPr>
        <w:spacing w:after="120"/>
      </w:pPr>
      <w:r>
        <w:t xml:space="preserve">Agree a consistent approach for automated testing, assign ownership, and review adoption at the next quarterly assessment.</w:t>
      </w:r>
    </w:p>
    <w:p>
      <w:pPr>
        <w:keepNext/>
        <w:spacing w:after="60" w:before="120"/>
      </w:pPr>
      <w:r>
        <w:rPr>
          <w:b/>
          <w:bCs/>
        </w:rPr>
        <w:t xml:space="preserve">Risks and issues</w:t>
      </w:r>
    </w:p>
    <w:p>
      <w:pPr>
        <w:spacing w:after="120"/>
      </w:pPr>
      <w:r>
        <w:t xml:space="preserve">Not recorded.</w:t>
      </w:r>
    </w:p>
    <w:p>
      <w:pPr>
        <w:keepNext/>
        <w:spacing w:after="60" w:before="120"/>
      </w:pPr>
      <w:r>
        <w:rPr>
          <w:b/>
          <w:bCs/>
        </w:rPr>
        <w:t xml:space="preserve">Supporting notes</w:t>
      </w:r>
    </w:p>
    <w:p>
      <w:pPr>
        <w:spacing w:after="120"/>
      </w:pPr>
      <w:r>
        <w:t xml:space="preserve">Fictional data supplied to demonstrate the tool. Replace with your own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700"/>
        <w:gridCol w:w="1400"/>
        <w:gridCol w:w="3100"/>
      </w:tblGrid>
      <w:tr>
        <w:trPr>
          <w:cantSplit/>
          <w:tblHeader/>
        </w:trPr>
        <w:tc>
          <w:tcPr>
            <w:tcW w:type="dxa" w:w="4700"/>
            <w:shd w:fill="E8EEF3" w:val="clear"/>
            <w:tcMar>
              <w:top w:type="dxa" w:w="100"/>
              <w:left w:type="dxa" w:w="100"/>
              <w:bottom w:type="dxa" w:w="100"/>
              <w:right w:type="dxa" w:w="100"/>
            </w:tcMar>
          </w:tcPr>
          <w:p>
            <w:pPr>
              <w:spacing w:after="40"/>
            </w:pPr>
            <w:r>
              <w:rPr>
                <w:b/>
                <w:bCs/>
                <w:color w:val="000000"/>
                <w:sz w:val="20"/>
                <w:szCs w:val="20"/>
              </w:rPr>
              <w:t xml:space="preserve">Assessment criterion</w:t>
            </w:r>
          </w:p>
        </w:tc>
        <w:tc>
          <w:tcPr>
            <w:tcW w:type="dxa" w:w="1400"/>
            <w:shd w:fill="E8EEF3" w:val="clear"/>
            <w:tcMar>
              <w:top w:type="dxa" w:w="100"/>
              <w:left w:type="dxa" w:w="100"/>
              <w:bottom w:type="dxa" w:w="100"/>
              <w:right w:type="dxa" w:w="100"/>
            </w:tcMar>
          </w:tcPr>
          <w:p>
            <w:pPr>
              <w:spacing w:after="40"/>
            </w:pPr>
            <w:r>
              <w:rPr>
                <w:b/>
                <w:bCs/>
                <w:color w:val="000000"/>
                <w:sz w:val="20"/>
                <w:szCs w:val="20"/>
              </w:rPr>
              <w:t xml:space="preserve">Status</w:t>
            </w:r>
          </w:p>
        </w:tc>
        <w:tc>
          <w:tcPr>
            <w:tcW w:type="dxa" w:w="3100"/>
            <w:shd w:fill="E8EEF3" w:val="clear"/>
            <w:tcMar>
              <w:top w:type="dxa" w:w="100"/>
              <w:left w:type="dxa" w:w="100"/>
              <w:bottom w:type="dxa" w:w="100"/>
              <w:right w:type="dxa" w:w="100"/>
            </w:tcMar>
          </w:tcPr>
          <w:p>
            <w:pPr>
              <w:spacing w:after="40"/>
            </w:pPr>
            <w:r>
              <w:rPr>
                <w:b/>
                <w:bCs/>
                <w:color w:val="000000"/>
                <w:sz w:val="20"/>
                <w:szCs w:val="20"/>
              </w:rPr>
              <w:t xml:space="preserve">Evidence</w:t>
            </w:r>
          </w:p>
        </w:tc>
      </w:tr>
      <w:tr>
        <w:trPr>
          <w:cantSplit/>
          <w:tblHeader w:val="false"/>
        </w:trPr>
        <w:tc>
          <w:tcPr>
            <w:tcW w:type="dxa" w:w="4700"/>
            <w:tcMar>
              <w:top w:type="dxa" w:w="100"/>
              <w:left w:type="dxa" w:w="100"/>
              <w:bottom w:type="dxa" w:w="100"/>
              <w:right w:type="dxa" w:w="100"/>
            </w:tcMar>
          </w:tcPr>
          <w:p>
            <w:pPr>
              <w:spacing w:after="40"/>
            </w:pPr>
            <w:r>
              <w:rPr>
                <w:b w:val="false"/>
                <w:bCs w:val="false"/>
                <w:color w:val="000000"/>
                <w:sz w:val="20"/>
                <w:szCs w:val="20"/>
              </w:rPr>
              <w:t xml:space="preserve">Review test results, failure handling and coverage of key journeys.</w:t>
            </w:r>
          </w:p>
        </w:tc>
        <w:tc>
          <w:tcPr>
            <w:tcW w:type="dxa" w:w="1400"/>
            <w:tcMar>
              <w:top w:type="dxa" w:w="100"/>
              <w:left w:type="dxa" w:w="100"/>
              <w:bottom w:type="dxa" w:w="100"/>
              <w:right w:type="dxa" w:w="100"/>
            </w:tcMar>
          </w:tcPr>
          <w:p>
            <w:pPr>
              <w:spacing w:after="40"/>
            </w:pPr>
            <w:r>
              <w:rPr>
                <w:b w:val="false"/>
                <w:bCs w:val="false"/>
                <w:color w:val="000000"/>
                <w:sz w:val="20"/>
                <w:szCs w:val="20"/>
              </w:rPr>
              <w:t xml:space="preserve">Met</w:t>
            </w:r>
          </w:p>
        </w:tc>
        <w:tc>
          <w:tcPr>
            <w:tcW w:type="dxa" w:w="3100"/>
            <w:tcMar>
              <w:top w:type="dxa" w:w="100"/>
              <w:left w:type="dxa" w:w="100"/>
              <w:bottom w:type="dxa" w:w="100"/>
              <w:right w:type="dxa" w:w="100"/>
            </w:tcMar>
          </w:tcPr>
          <w:p>
            <w:pPr>
              <w:spacing w:after="40"/>
            </w:pPr>
            <w:r>
              <w:rPr>
                <w:b w:val="false"/>
                <w:bCs w:val="false"/>
                <w:color w:val="000000"/>
                <w:sz w:val="20"/>
                <w:szCs w:val="20"/>
              </w:rPr>
              <w:t xml:space="preserve">Illustrative review notes, September 2026.</w:t>
            </w:r>
          </w:p>
        </w:tc>
      </w:tr>
      <w:tr>
        <w:trPr>
          <w:cantSplit/>
          <w:tblHeader w:val="false"/>
        </w:trPr>
        <w:tc>
          <w:tcPr>
            <w:tcW w:type="dxa" w:w="4700"/>
            <w:tcMar>
              <w:top w:type="dxa" w:w="100"/>
              <w:left w:type="dxa" w:w="100"/>
              <w:bottom w:type="dxa" w:w="100"/>
              <w:right w:type="dxa" w:w="100"/>
            </w:tcMar>
          </w:tcPr>
          <w:p>
            <w:pPr>
              <w:spacing w:after="40"/>
            </w:pPr>
            <w:r>
              <w:rPr>
                <w:b w:val="false"/>
                <w:bCs w:val="false"/>
                <w:color w:val="000000"/>
                <w:sz w:val="20"/>
                <w:szCs w:val="20"/>
              </w:rPr>
              <w:t xml:space="preserve">Confirm consistent adoption across the agreed assessment scope, supported by dated evidence.</w:t>
            </w:r>
          </w:p>
        </w:tc>
        <w:tc>
          <w:tcPr>
            <w:tcW w:type="dxa" w:w="1400"/>
            <w:tcMar>
              <w:top w:type="dxa" w:w="100"/>
              <w:left w:type="dxa" w:w="100"/>
              <w:bottom w:type="dxa" w:w="100"/>
              <w:right w:type="dxa" w:w="100"/>
            </w:tcMar>
          </w:tcPr>
          <w:p>
            <w:pPr>
              <w:spacing w:after="40"/>
            </w:pPr>
            <w:r>
              <w:rPr>
                <w:b w:val="false"/>
                <w:bCs w:val="false"/>
                <w:color w:val="000000"/>
                <w:sz w:val="20"/>
                <w:szCs w:val="20"/>
              </w:rPr>
              <w:t xml:space="preserve">Not confirmed</w:t>
            </w:r>
          </w:p>
        </w:tc>
        <w:tc>
          <w:tcPr>
            <w:tcW w:type="dxa" w:w="3100"/>
            <w:tcMar>
              <w:top w:type="dxa" w:w="100"/>
              <w:left w:type="dxa" w:w="100"/>
              <w:bottom w:type="dxa" w:w="100"/>
              <w:right w:type="dxa" w:w="100"/>
            </w:tcMar>
          </w:tcPr>
          <w:p>
            <w:pPr>
              <w:spacing w:after="40"/>
            </w:pPr>
            <w:r>
              <w:rPr>
                <w:b w:val="false"/>
                <w:bCs w:val="false"/>
                <w:color w:val="000000"/>
                <w:sz w:val="20"/>
                <w:szCs w:val="20"/>
              </w:rPr>
              <w:t xml:space="preserve">Not recorded</w:t>
            </w:r>
          </w:p>
        </w:tc>
      </w:tr>
    </w:tbl>
    <w:p>
      <w:pPr>
        <w:pStyle w:val="Heading2"/>
        <w:keepNext/>
        <w:spacing w:after="140" w:before="260"/>
      </w:pPr>
      <w:r>
        <w:t xml:space="preserve">Operations and resilience</w:t>
      </w:r>
    </w:p>
    <w:p>
      <w:pPr>
        <w:pStyle w:val="Heading3"/>
        <w:keepNext/>
        <w:spacing w:after="140" w:before="260"/>
      </w:pPr>
      <w:r>
        <w:t xml:space="preserve">Monitoring and observability</w:t>
      </w:r>
    </w:p>
    <w:p>
      <w:pPr>
        <w:spacing w:after="120"/>
      </w:pPr>
      <w:r>
        <w:t xml:space="preserve">Measure service health, failures and business impact with named responders.</w:t>
      </w:r>
    </w:p>
    <w:p>
      <w:pPr>
        <w:spacing w:after="120"/>
      </w:pPr>
      <w:r>
        <w:t xml:space="preserve">Group: Core practices</w:t>
      </w:r>
      <w:r>
        <w:br/>
        <w:t xml:space="preserve">Current: 3 · Defined    Target: 5 · Optimised</w:t>
      </w:r>
      <w:r>
        <w:br/>
        <w:t xml:space="preserve">Gap: 2    Priority: High    Weight: 2</w:t>
      </w:r>
      <w:r>
        <w:br/>
        <w:t xml:space="preserve">Owner: Service owner    Target date: 2027-04-20</w:t>
      </w:r>
    </w:p>
    <w:p>
      <w:pPr>
        <w:keepNext/>
        <w:spacing w:after="60" w:before="120"/>
      </w:pPr>
      <w:r>
        <w:rPr>
          <w:b/>
          <w:bCs/>
        </w:rPr>
        <w:t xml:space="preserve">Evidence and justification</w:t>
      </w:r>
    </w:p>
    <w:p>
      <w:pPr>
        <w:spacing w:after="120"/>
      </w:pPr>
      <w:r>
        <w:t xml:space="preserve">Illustrative evidence: Inspect actionable alerts, dashboards and incident records. A sample review in September found the practice in two of four teams, with inconsistent follow-up.</w:t>
      </w:r>
    </w:p>
    <w:p>
      <w:pPr>
        <w:keepNext/>
        <w:spacing w:after="60" w:before="120"/>
      </w:pPr>
      <w:r>
        <w:rPr>
          <w:b/>
          <w:bCs/>
        </w:rPr>
        <w:t xml:space="preserve">Recommendations</w:t>
      </w:r>
    </w:p>
    <w:p>
      <w:pPr>
        <w:spacing w:after="120"/>
      </w:pPr>
      <w:r>
        <w:t xml:space="preserve">Agree a consistent approach for monitoring and observability, assign ownership, and review adoption at the next quarterly assessment.</w:t>
      </w:r>
    </w:p>
    <w:p>
      <w:pPr>
        <w:keepNext/>
        <w:spacing w:after="60" w:before="120"/>
      </w:pPr>
      <w:r>
        <w:rPr>
          <w:b/>
          <w:bCs/>
        </w:rPr>
        <w:t xml:space="preserve">Risks and issues</w:t>
      </w:r>
    </w:p>
    <w:p>
      <w:pPr>
        <w:spacing w:after="120"/>
      </w:pPr>
      <w:r>
        <w:t xml:space="preserve">Inconsistent adoption could leave critical services without a clear accountable owner.</w:t>
      </w:r>
    </w:p>
    <w:p>
      <w:pPr>
        <w:keepNext/>
        <w:spacing w:after="60" w:before="120"/>
      </w:pPr>
      <w:r>
        <w:rPr>
          <w:b/>
          <w:bCs/>
        </w:rPr>
        <w:t xml:space="preserve">Supporting notes</w:t>
      </w:r>
    </w:p>
    <w:p>
      <w:pPr>
        <w:spacing w:after="120"/>
      </w:pPr>
      <w:r>
        <w:t xml:space="preserve">Fictional data supplied to demonstrate the tool. Replace with your own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700"/>
        <w:gridCol w:w="1400"/>
        <w:gridCol w:w="3100"/>
      </w:tblGrid>
      <w:tr>
        <w:trPr>
          <w:cantSplit/>
          <w:tblHeader/>
        </w:trPr>
        <w:tc>
          <w:tcPr>
            <w:tcW w:type="dxa" w:w="4700"/>
            <w:shd w:fill="E8EEF3" w:val="clear"/>
            <w:tcMar>
              <w:top w:type="dxa" w:w="100"/>
              <w:left w:type="dxa" w:w="100"/>
              <w:bottom w:type="dxa" w:w="100"/>
              <w:right w:type="dxa" w:w="100"/>
            </w:tcMar>
          </w:tcPr>
          <w:p>
            <w:pPr>
              <w:spacing w:after="40"/>
            </w:pPr>
            <w:r>
              <w:rPr>
                <w:b/>
                <w:bCs/>
                <w:color w:val="000000"/>
                <w:sz w:val="20"/>
                <w:szCs w:val="20"/>
              </w:rPr>
              <w:t xml:space="preserve">Assessment criterion</w:t>
            </w:r>
          </w:p>
        </w:tc>
        <w:tc>
          <w:tcPr>
            <w:tcW w:type="dxa" w:w="1400"/>
            <w:shd w:fill="E8EEF3" w:val="clear"/>
            <w:tcMar>
              <w:top w:type="dxa" w:w="100"/>
              <w:left w:type="dxa" w:w="100"/>
              <w:bottom w:type="dxa" w:w="100"/>
              <w:right w:type="dxa" w:w="100"/>
            </w:tcMar>
          </w:tcPr>
          <w:p>
            <w:pPr>
              <w:spacing w:after="40"/>
            </w:pPr>
            <w:r>
              <w:rPr>
                <w:b/>
                <w:bCs/>
                <w:color w:val="000000"/>
                <w:sz w:val="20"/>
                <w:szCs w:val="20"/>
              </w:rPr>
              <w:t xml:space="preserve">Status</w:t>
            </w:r>
          </w:p>
        </w:tc>
        <w:tc>
          <w:tcPr>
            <w:tcW w:type="dxa" w:w="3100"/>
            <w:shd w:fill="E8EEF3" w:val="clear"/>
            <w:tcMar>
              <w:top w:type="dxa" w:w="100"/>
              <w:left w:type="dxa" w:w="100"/>
              <w:bottom w:type="dxa" w:w="100"/>
              <w:right w:type="dxa" w:w="100"/>
            </w:tcMar>
          </w:tcPr>
          <w:p>
            <w:pPr>
              <w:spacing w:after="40"/>
            </w:pPr>
            <w:r>
              <w:rPr>
                <w:b/>
                <w:bCs/>
                <w:color w:val="000000"/>
                <w:sz w:val="20"/>
                <w:szCs w:val="20"/>
              </w:rPr>
              <w:t xml:space="preserve">Evidence</w:t>
            </w:r>
          </w:p>
        </w:tc>
      </w:tr>
      <w:tr>
        <w:trPr>
          <w:cantSplit/>
          <w:tblHeader w:val="false"/>
        </w:trPr>
        <w:tc>
          <w:tcPr>
            <w:tcW w:type="dxa" w:w="4700"/>
            <w:tcMar>
              <w:top w:type="dxa" w:w="100"/>
              <w:left w:type="dxa" w:w="100"/>
              <w:bottom w:type="dxa" w:w="100"/>
              <w:right w:type="dxa" w:w="100"/>
            </w:tcMar>
          </w:tcPr>
          <w:p>
            <w:pPr>
              <w:spacing w:after="40"/>
            </w:pPr>
            <w:r>
              <w:rPr>
                <w:b w:val="false"/>
                <w:bCs w:val="false"/>
                <w:color w:val="000000"/>
                <w:sz w:val="20"/>
                <w:szCs w:val="20"/>
              </w:rPr>
              <w:t xml:space="preserve">Inspect actionable alerts, dashboards and incident records.</w:t>
            </w:r>
          </w:p>
        </w:tc>
        <w:tc>
          <w:tcPr>
            <w:tcW w:type="dxa" w:w="1400"/>
            <w:tcMar>
              <w:top w:type="dxa" w:w="100"/>
              <w:left w:type="dxa" w:w="100"/>
              <w:bottom w:type="dxa" w:w="100"/>
              <w:right w:type="dxa" w:w="100"/>
            </w:tcMar>
          </w:tcPr>
          <w:p>
            <w:pPr>
              <w:spacing w:after="40"/>
            </w:pPr>
            <w:r>
              <w:rPr>
                <w:b w:val="false"/>
                <w:bCs w:val="false"/>
                <w:color w:val="000000"/>
                <w:sz w:val="20"/>
                <w:szCs w:val="20"/>
              </w:rPr>
              <w:t xml:space="preserve">Met</w:t>
            </w:r>
          </w:p>
        </w:tc>
        <w:tc>
          <w:tcPr>
            <w:tcW w:type="dxa" w:w="3100"/>
            <w:tcMar>
              <w:top w:type="dxa" w:w="100"/>
              <w:left w:type="dxa" w:w="100"/>
              <w:bottom w:type="dxa" w:w="100"/>
              <w:right w:type="dxa" w:w="100"/>
            </w:tcMar>
          </w:tcPr>
          <w:p>
            <w:pPr>
              <w:spacing w:after="40"/>
            </w:pPr>
            <w:r>
              <w:rPr>
                <w:b w:val="false"/>
                <w:bCs w:val="false"/>
                <w:color w:val="000000"/>
                <w:sz w:val="20"/>
                <w:szCs w:val="20"/>
              </w:rPr>
              <w:t xml:space="preserve">Illustrative review notes, September 2026.</w:t>
            </w:r>
          </w:p>
        </w:tc>
      </w:tr>
      <w:tr>
        <w:trPr>
          <w:cantSplit/>
          <w:tblHeader w:val="false"/>
        </w:trPr>
        <w:tc>
          <w:tcPr>
            <w:tcW w:type="dxa" w:w="4700"/>
            <w:tcMar>
              <w:top w:type="dxa" w:w="100"/>
              <w:left w:type="dxa" w:w="100"/>
              <w:bottom w:type="dxa" w:w="100"/>
              <w:right w:type="dxa" w:w="100"/>
            </w:tcMar>
          </w:tcPr>
          <w:p>
            <w:pPr>
              <w:spacing w:after="40"/>
            </w:pPr>
            <w:r>
              <w:rPr>
                <w:b w:val="false"/>
                <w:bCs w:val="false"/>
                <w:color w:val="000000"/>
                <w:sz w:val="20"/>
                <w:szCs w:val="20"/>
              </w:rPr>
              <w:t xml:space="preserve">Confirm consistent adoption across the agreed assessment scope, supported by dated evidence.</w:t>
            </w:r>
          </w:p>
        </w:tc>
        <w:tc>
          <w:tcPr>
            <w:tcW w:type="dxa" w:w="1400"/>
            <w:tcMar>
              <w:top w:type="dxa" w:w="100"/>
              <w:left w:type="dxa" w:w="100"/>
              <w:bottom w:type="dxa" w:w="100"/>
              <w:right w:type="dxa" w:w="100"/>
            </w:tcMar>
          </w:tcPr>
          <w:p>
            <w:pPr>
              <w:spacing w:after="40"/>
            </w:pPr>
            <w:r>
              <w:rPr>
                <w:b w:val="false"/>
                <w:bCs w:val="false"/>
                <w:color w:val="000000"/>
                <w:sz w:val="20"/>
                <w:szCs w:val="20"/>
              </w:rPr>
              <w:t xml:space="preserve">Not confirmed</w:t>
            </w:r>
          </w:p>
        </w:tc>
        <w:tc>
          <w:tcPr>
            <w:tcW w:type="dxa" w:w="3100"/>
            <w:tcMar>
              <w:top w:type="dxa" w:w="100"/>
              <w:left w:type="dxa" w:w="100"/>
              <w:bottom w:type="dxa" w:w="100"/>
              <w:right w:type="dxa" w:w="100"/>
            </w:tcMar>
          </w:tcPr>
          <w:p>
            <w:pPr>
              <w:spacing w:after="40"/>
            </w:pPr>
            <w:r>
              <w:rPr>
                <w:b w:val="false"/>
                <w:bCs w:val="false"/>
                <w:color w:val="000000"/>
                <w:sz w:val="20"/>
                <w:szCs w:val="20"/>
              </w:rPr>
              <w:t xml:space="preserve">Not recorded</w:t>
            </w:r>
          </w:p>
        </w:tc>
      </w:tr>
    </w:tbl>
    <w:p>
      <w:pPr>
        <w:pStyle w:val="Heading3"/>
        <w:keepNext/>
        <w:spacing w:after="140" w:before="260"/>
      </w:pPr>
      <w:r>
        <w:t xml:space="preserve">Recovery and continuity</w:t>
      </w:r>
    </w:p>
    <w:p>
      <w:pPr>
        <w:spacing w:after="120"/>
      </w:pPr>
      <w:r>
        <w:t xml:space="preserve">Demonstrate recovery of platform data and critical apps against agreed objectives.</w:t>
      </w:r>
    </w:p>
    <w:p>
      <w:pPr>
        <w:spacing w:after="120"/>
      </w:pPr>
      <w:r>
        <w:t xml:space="preserve">Group: Core practices</w:t>
      </w:r>
      <w:r>
        <w:br/>
        <w:t xml:space="preserve">Current: 2 · Developing    Target: 4 · Managed</w:t>
      </w:r>
      <w:r>
        <w:br/>
        <w:t xml:space="preserve">Gap: 2    Priority: Medium    Weight: 1</w:t>
      </w:r>
      <w:r>
        <w:br/>
        <w:t xml:space="preserve">Owner: Service owner    Target date: 2027-04-20</w:t>
      </w:r>
    </w:p>
    <w:p>
      <w:pPr>
        <w:keepNext/>
        <w:spacing w:after="60" w:before="120"/>
      </w:pPr>
      <w:r>
        <w:rPr>
          <w:b/>
          <w:bCs/>
        </w:rPr>
        <w:t xml:space="preserve">Evidence and justification</w:t>
      </w:r>
    </w:p>
    <w:p>
      <w:pPr>
        <w:spacing w:after="120"/>
      </w:pPr>
      <w:r>
        <w:t xml:space="preserve">Illustrative evidence: Review a restore exercise against RTO and RPO. A sample review in September found the practice in two of four teams, with inconsistent follow-up.</w:t>
      </w:r>
    </w:p>
    <w:p>
      <w:pPr>
        <w:keepNext/>
        <w:spacing w:after="60" w:before="120"/>
      </w:pPr>
      <w:r>
        <w:rPr>
          <w:b/>
          <w:bCs/>
        </w:rPr>
        <w:t xml:space="preserve">Recommendations</w:t>
      </w:r>
    </w:p>
    <w:p>
      <w:pPr>
        <w:spacing w:after="120"/>
      </w:pPr>
      <w:r>
        <w:t xml:space="preserve">Agree a consistent approach for recovery and continuity, assign ownership, and review adoption at the next quarterly assessment.</w:t>
      </w:r>
    </w:p>
    <w:p>
      <w:pPr>
        <w:keepNext/>
        <w:spacing w:after="60" w:before="120"/>
      </w:pPr>
      <w:r>
        <w:rPr>
          <w:b/>
          <w:bCs/>
        </w:rPr>
        <w:t xml:space="preserve">Risks and issues</w:t>
      </w:r>
    </w:p>
    <w:p>
      <w:pPr>
        <w:spacing w:after="120"/>
      </w:pPr>
      <w:r>
        <w:t xml:space="preserve">Not recorded.</w:t>
      </w:r>
    </w:p>
    <w:p>
      <w:pPr>
        <w:keepNext/>
        <w:spacing w:after="60" w:before="120"/>
      </w:pPr>
      <w:r>
        <w:rPr>
          <w:b/>
          <w:bCs/>
        </w:rPr>
        <w:t xml:space="preserve">Supporting notes</w:t>
      </w:r>
    </w:p>
    <w:p>
      <w:pPr>
        <w:spacing w:after="120"/>
      </w:pPr>
      <w:r>
        <w:t xml:space="preserve">Fictional data supplied to demonstrate the tool. Replace with your own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700"/>
        <w:gridCol w:w="1400"/>
        <w:gridCol w:w="3100"/>
      </w:tblGrid>
      <w:tr>
        <w:trPr>
          <w:cantSplit/>
          <w:tblHeader/>
        </w:trPr>
        <w:tc>
          <w:tcPr>
            <w:tcW w:type="dxa" w:w="4700"/>
            <w:shd w:fill="E8EEF3" w:val="clear"/>
            <w:tcMar>
              <w:top w:type="dxa" w:w="100"/>
              <w:left w:type="dxa" w:w="100"/>
              <w:bottom w:type="dxa" w:w="100"/>
              <w:right w:type="dxa" w:w="100"/>
            </w:tcMar>
          </w:tcPr>
          <w:p>
            <w:pPr>
              <w:spacing w:after="40"/>
            </w:pPr>
            <w:r>
              <w:rPr>
                <w:b/>
                <w:bCs/>
                <w:color w:val="000000"/>
                <w:sz w:val="20"/>
                <w:szCs w:val="20"/>
              </w:rPr>
              <w:t xml:space="preserve">Assessment criterion</w:t>
            </w:r>
          </w:p>
        </w:tc>
        <w:tc>
          <w:tcPr>
            <w:tcW w:type="dxa" w:w="1400"/>
            <w:shd w:fill="E8EEF3" w:val="clear"/>
            <w:tcMar>
              <w:top w:type="dxa" w:w="100"/>
              <w:left w:type="dxa" w:w="100"/>
              <w:bottom w:type="dxa" w:w="100"/>
              <w:right w:type="dxa" w:w="100"/>
            </w:tcMar>
          </w:tcPr>
          <w:p>
            <w:pPr>
              <w:spacing w:after="40"/>
            </w:pPr>
            <w:r>
              <w:rPr>
                <w:b/>
                <w:bCs/>
                <w:color w:val="000000"/>
                <w:sz w:val="20"/>
                <w:szCs w:val="20"/>
              </w:rPr>
              <w:t xml:space="preserve">Status</w:t>
            </w:r>
          </w:p>
        </w:tc>
        <w:tc>
          <w:tcPr>
            <w:tcW w:type="dxa" w:w="3100"/>
            <w:shd w:fill="E8EEF3" w:val="clear"/>
            <w:tcMar>
              <w:top w:type="dxa" w:w="100"/>
              <w:left w:type="dxa" w:w="100"/>
              <w:bottom w:type="dxa" w:w="100"/>
              <w:right w:type="dxa" w:w="100"/>
            </w:tcMar>
          </w:tcPr>
          <w:p>
            <w:pPr>
              <w:spacing w:after="40"/>
            </w:pPr>
            <w:r>
              <w:rPr>
                <w:b/>
                <w:bCs/>
                <w:color w:val="000000"/>
                <w:sz w:val="20"/>
                <w:szCs w:val="20"/>
              </w:rPr>
              <w:t xml:space="preserve">Evidence</w:t>
            </w:r>
          </w:p>
        </w:tc>
      </w:tr>
      <w:tr>
        <w:trPr>
          <w:cantSplit/>
          <w:tblHeader w:val="false"/>
        </w:trPr>
        <w:tc>
          <w:tcPr>
            <w:tcW w:type="dxa" w:w="4700"/>
            <w:tcMar>
              <w:top w:type="dxa" w:w="100"/>
              <w:left w:type="dxa" w:w="100"/>
              <w:bottom w:type="dxa" w:w="100"/>
              <w:right w:type="dxa" w:w="100"/>
            </w:tcMar>
          </w:tcPr>
          <w:p>
            <w:pPr>
              <w:spacing w:after="40"/>
            </w:pPr>
            <w:r>
              <w:rPr>
                <w:b w:val="false"/>
                <w:bCs w:val="false"/>
                <w:color w:val="000000"/>
                <w:sz w:val="20"/>
                <w:szCs w:val="20"/>
              </w:rPr>
              <w:t xml:space="preserve">Review a restore exercise against RTO and RPO.</w:t>
            </w:r>
          </w:p>
        </w:tc>
        <w:tc>
          <w:tcPr>
            <w:tcW w:type="dxa" w:w="1400"/>
            <w:tcMar>
              <w:top w:type="dxa" w:w="100"/>
              <w:left w:type="dxa" w:w="100"/>
              <w:bottom w:type="dxa" w:w="100"/>
              <w:right w:type="dxa" w:w="100"/>
            </w:tcMar>
          </w:tcPr>
          <w:p>
            <w:pPr>
              <w:spacing w:after="40"/>
            </w:pPr>
            <w:r>
              <w:rPr>
                <w:b w:val="false"/>
                <w:bCs w:val="false"/>
                <w:color w:val="000000"/>
                <w:sz w:val="20"/>
                <w:szCs w:val="20"/>
              </w:rPr>
              <w:t xml:space="preserve">Met</w:t>
            </w:r>
          </w:p>
        </w:tc>
        <w:tc>
          <w:tcPr>
            <w:tcW w:type="dxa" w:w="3100"/>
            <w:tcMar>
              <w:top w:type="dxa" w:w="100"/>
              <w:left w:type="dxa" w:w="100"/>
              <w:bottom w:type="dxa" w:w="100"/>
              <w:right w:type="dxa" w:w="100"/>
            </w:tcMar>
          </w:tcPr>
          <w:p>
            <w:pPr>
              <w:spacing w:after="40"/>
            </w:pPr>
            <w:r>
              <w:rPr>
                <w:b w:val="false"/>
                <w:bCs w:val="false"/>
                <w:color w:val="000000"/>
                <w:sz w:val="20"/>
                <w:szCs w:val="20"/>
              </w:rPr>
              <w:t xml:space="preserve">Illustrative review notes, September 2026.</w:t>
            </w:r>
          </w:p>
        </w:tc>
      </w:tr>
      <w:tr>
        <w:trPr>
          <w:cantSplit/>
          <w:tblHeader w:val="false"/>
        </w:trPr>
        <w:tc>
          <w:tcPr>
            <w:tcW w:type="dxa" w:w="4700"/>
            <w:tcMar>
              <w:top w:type="dxa" w:w="100"/>
              <w:left w:type="dxa" w:w="100"/>
              <w:bottom w:type="dxa" w:w="100"/>
              <w:right w:type="dxa" w:w="100"/>
            </w:tcMar>
          </w:tcPr>
          <w:p>
            <w:pPr>
              <w:spacing w:after="40"/>
            </w:pPr>
            <w:r>
              <w:rPr>
                <w:b w:val="false"/>
                <w:bCs w:val="false"/>
                <w:color w:val="000000"/>
                <w:sz w:val="20"/>
                <w:szCs w:val="20"/>
              </w:rPr>
              <w:t xml:space="preserve">Confirm consistent adoption across the agreed assessment scope, supported by dated evidence.</w:t>
            </w:r>
          </w:p>
        </w:tc>
        <w:tc>
          <w:tcPr>
            <w:tcW w:type="dxa" w:w="1400"/>
            <w:tcMar>
              <w:top w:type="dxa" w:w="100"/>
              <w:left w:type="dxa" w:w="100"/>
              <w:bottom w:type="dxa" w:w="100"/>
              <w:right w:type="dxa" w:w="100"/>
            </w:tcMar>
          </w:tcPr>
          <w:p>
            <w:pPr>
              <w:spacing w:after="40"/>
            </w:pPr>
            <w:r>
              <w:rPr>
                <w:b w:val="false"/>
                <w:bCs w:val="false"/>
                <w:color w:val="000000"/>
                <w:sz w:val="20"/>
                <w:szCs w:val="20"/>
              </w:rPr>
              <w:t xml:space="preserve">Not confirmed</w:t>
            </w:r>
          </w:p>
        </w:tc>
        <w:tc>
          <w:tcPr>
            <w:tcW w:type="dxa" w:w="3100"/>
            <w:tcMar>
              <w:top w:type="dxa" w:w="100"/>
              <w:left w:type="dxa" w:w="100"/>
              <w:bottom w:type="dxa" w:w="100"/>
              <w:right w:type="dxa" w:w="100"/>
            </w:tcMar>
          </w:tcPr>
          <w:p>
            <w:pPr>
              <w:spacing w:after="40"/>
            </w:pPr>
            <w:r>
              <w:rPr>
                <w:b w:val="false"/>
                <w:bCs w:val="false"/>
                <w:color w:val="000000"/>
                <w:sz w:val="20"/>
                <w:szCs w:val="20"/>
              </w:rPr>
              <w:t xml:space="preserve">Not recorded</w:t>
            </w:r>
          </w:p>
        </w:tc>
      </w:tr>
    </w:tbl>
    <w:p>
      <w:pPr>
        <w:pStyle w:val="Heading3"/>
        <w:keepNext/>
        <w:spacing w:after="140" w:before="260"/>
      </w:pPr>
      <w:r>
        <w:t xml:space="preserve">Capacity and licensing</w:t>
      </w:r>
    </w:p>
    <w:p>
      <w:pPr>
        <w:spacing w:after="120"/>
      </w:pPr>
      <w:r>
        <w:t xml:space="preserve">Forecast capacity and licence needs with evidence of regular review.</w:t>
      </w:r>
    </w:p>
    <w:p>
      <w:pPr>
        <w:spacing w:after="120"/>
      </w:pPr>
      <w:r>
        <w:t xml:space="preserve">Group: Core practices</w:t>
      </w:r>
      <w:r>
        <w:br/>
        <w:t xml:space="preserve">Current: 3 · Defined    Target: 5 · Optimised</w:t>
      </w:r>
      <w:r>
        <w:br/>
        <w:t xml:space="preserve">Gap: 2    Priority: High    Weight: 1</w:t>
      </w:r>
      <w:r>
        <w:br/>
        <w:t xml:space="preserve">Owner: Service owner    Target date: 2027-04-20</w:t>
      </w:r>
    </w:p>
    <w:p>
      <w:pPr>
        <w:keepNext/>
        <w:spacing w:after="60" w:before="120"/>
      </w:pPr>
      <w:r>
        <w:rPr>
          <w:b/>
          <w:bCs/>
        </w:rPr>
        <w:t xml:space="preserve">Evidence and justification</w:t>
      </w:r>
    </w:p>
    <w:p>
      <w:pPr>
        <w:spacing w:after="120"/>
      </w:pPr>
      <w:r>
        <w:t xml:space="preserve">Illustrative evidence: Compare usage trends, licence allocations and forecasts. A sample review in September found the practice in two of four teams, with inconsistent follow-up.</w:t>
      </w:r>
    </w:p>
    <w:p>
      <w:pPr>
        <w:keepNext/>
        <w:spacing w:after="60" w:before="120"/>
      </w:pPr>
      <w:r>
        <w:rPr>
          <w:b/>
          <w:bCs/>
        </w:rPr>
        <w:t xml:space="preserve">Recommendations</w:t>
      </w:r>
    </w:p>
    <w:p>
      <w:pPr>
        <w:spacing w:after="120"/>
      </w:pPr>
      <w:r>
        <w:t xml:space="preserve">Agree a consistent approach for capacity and licensing, assign ownership, and review adoption at the next quarterly assessment.</w:t>
      </w:r>
    </w:p>
    <w:p>
      <w:pPr>
        <w:keepNext/>
        <w:spacing w:after="60" w:before="120"/>
      </w:pPr>
      <w:r>
        <w:rPr>
          <w:b/>
          <w:bCs/>
        </w:rPr>
        <w:t xml:space="preserve">Risks and issues</w:t>
      </w:r>
    </w:p>
    <w:p>
      <w:pPr>
        <w:spacing w:after="120"/>
      </w:pPr>
      <w:r>
        <w:t xml:space="preserve">Not recorded.</w:t>
      </w:r>
    </w:p>
    <w:p>
      <w:pPr>
        <w:keepNext/>
        <w:spacing w:after="60" w:before="120"/>
      </w:pPr>
      <w:r>
        <w:rPr>
          <w:b/>
          <w:bCs/>
        </w:rPr>
        <w:t xml:space="preserve">Supporting notes</w:t>
      </w:r>
    </w:p>
    <w:p>
      <w:pPr>
        <w:spacing w:after="120"/>
      </w:pPr>
      <w:r>
        <w:t xml:space="preserve">Fictional data supplied to demonstrate the tool. Replace with your own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700"/>
        <w:gridCol w:w="1400"/>
        <w:gridCol w:w="3100"/>
      </w:tblGrid>
      <w:tr>
        <w:trPr>
          <w:cantSplit/>
          <w:tblHeader/>
        </w:trPr>
        <w:tc>
          <w:tcPr>
            <w:tcW w:type="dxa" w:w="4700"/>
            <w:shd w:fill="E8EEF3" w:val="clear"/>
            <w:tcMar>
              <w:top w:type="dxa" w:w="100"/>
              <w:left w:type="dxa" w:w="100"/>
              <w:bottom w:type="dxa" w:w="100"/>
              <w:right w:type="dxa" w:w="100"/>
            </w:tcMar>
          </w:tcPr>
          <w:p>
            <w:pPr>
              <w:spacing w:after="40"/>
            </w:pPr>
            <w:r>
              <w:rPr>
                <w:b/>
                <w:bCs/>
                <w:color w:val="000000"/>
                <w:sz w:val="20"/>
                <w:szCs w:val="20"/>
              </w:rPr>
              <w:t xml:space="preserve">Assessment criterion</w:t>
            </w:r>
          </w:p>
        </w:tc>
        <w:tc>
          <w:tcPr>
            <w:tcW w:type="dxa" w:w="1400"/>
            <w:shd w:fill="E8EEF3" w:val="clear"/>
            <w:tcMar>
              <w:top w:type="dxa" w:w="100"/>
              <w:left w:type="dxa" w:w="100"/>
              <w:bottom w:type="dxa" w:w="100"/>
              <w:right w:type="dxa" w:w="100"/>
            </w:tcMar>
          </w:tcPr>
          <w:p>
            <w:pPr>
              <w:spacing w:after="40"/>
            </w:pPr>
            <w:r>
              <w:rPr>
                <w:b/>
                <w:bCs/>
                <w:color w:val="000000"/>
                <w:sz w:val="20"/>
                <w:szCs w:val="20"/>
              </w:rPr>
              <w:t xml:space="preserve">Status</w:t>
            </w:r>
          </w:p>
        </w:tc>
        <w:tc>
          <w:tcPr>
            <w:tcW w:type="dxa" w:w="3100"/>
            <w:shd w:fill="E8EEF3" w:val="clear"/>
            <w:tcMar>
              <w:top w:type="dxa" w:w="100"/>
              <w:left w:type="dxa" w:w="100"/>
              <w:bottom w:type="dxa" w:w="100"/>
              <w:right w:type="dxa" w:w="100"/>
            </w:tcMar>
          </w:tcPr>
          <w:p>
            <w:pPr>
              <w:spacing w:after="40"/>
            </w:pPr>
            <w:r>
              <w:rPr>
                <w:b/>
                <w:bCs/>
                <w:color w:val="000000"/>
                <w:sz w:val="20"/>
                <w:szCs w:val="20"/>
              </w:rPr>
              <w:t xml:space="preserve">Evidence</w:t>
            </w:r>
          </w:p>
        </w:tc>
      </w:tr>
      <w:tr>
        <w:trPr>
          <w:cantSplit/>
          <w:tblHeader w:val="false"/>
        </w:trPr>
        <w:tc>
          <w:tcPr>
            <w:tcW w:type="dxa" w:w="4700"/>
            <w:tcMar>
              <w:top w:type="dxa" w:w="100"/>
              <w:left w:type="dxa" w:w="100"/>
              <w:bottom w:type="dxa" w:w="100"/>
              <w:right w:type="dxa" w:w="100"/>
            </w:tcMar>
          </w:tcPr>
          <w:p>
            <w:pPr>
              <w:spacing w:after="40"/>
            </w:pPr>
            <w:r>
              <w:rPr>
                <w:b w:val="false"/>
                <w:bCs w:val="false"/>
                <w:color w:val="000000"/>
                <w:sz w:val="20"/>
                <w:szCs w:val="20"/>
              </w:rPr>
              <w:t xml:space="preserve">Compare usage trends, licence allocations and forecasts.</w:t>
            </w:r>
          </w:p>
        </w:tc>
        <w:tc>
          <w:tcPr>
            <w:tcW w:type="dxa" w:w="1400"/>
            <w:tcMar>
              <w:top w:type="dxa" w:w="100"/>
              <w:left w:type="dxa" w:w="100"/>
              <w:bottom w:type="dxa" w:w="100"/>
              <w:right w:type="dxa" w:w="100"/>
            </w:tcMar>
          </w:tcPr>
          <w:p>
            <w:pPr>
              <w:spacing w:after="40"/>
            </w:pPr>
            <w:r>
              <w:rPr>
                <w:b w:val="false"/>
                <w:bCs w:val="false"/>
                <w:color w:val="000000"/>
                <w:sz w:val="20"/>
                <w:szCs w:val="20"/>
              </w:rPr>
              <w:t xml:space="preserve">Met</w:t>
            </w:r>
          </w:p>
        </w:tc>
        <w:tc>
          <w:tcPr>
            <w:tcW w:type="dxa" w:w="3100"/>
            <w:tcMar>
              <w:top w:type="dxa" w:w="100"/>
              <w:left w:type="dxa" w:w="100"/>
              <w:bottom w:type="dxa" w:w="100"/>
              <w:right w:type="dxa" w:w="100"/>
            </w:tcMar>
          </w:tcPr>
          <w:p>
            <w:pPr>
              <w:spacing w:after="40"/>
            </w:pPr>
            <w:r>
              <w:rPr>
                <w:b w:val="false"/>
                <w:bCs w:val="false"/>
                <w:color w:val="000000"/>
                <w:sz w:val="20"/>
                <w:szCs w:val="20"/>
              </w:rPr>
              <w:t xml:space="preserve">Illustrative review notes, September 2026.</w:t>
            </w:r>
          </w:p>
        </w:tc>
      </w:tr>
      <w:tr>
        <w:trPr>
          <w:cantSplit/>
          <w:tblHeader w:val="false"/>
        </w:trPr>
        <w:tc>
          <w:tcPr>
            <w:tcW w:type="dxa" w:w="4700"/>
            <w:tcMar>
              <w:top w:type="dxa" w:w="100"/>
              <w:left w:type="dxa" w:w="100"/>
              <w:bottom w:type="dxa" w:w="100"/>
              <w:right w:type="dxa" w:w="100"/>
            </w:tcMar>
          </w:tcPr>
          <w:p>
            <w:pPr>
              <w:spacing w:after="40"/>
            </w:pPr>
            <w:r>
              <w:rPr>
                <w:b w:val="false"/>
                <w:bCs w:val="false"/>
                <w:color w:val="000000"/>
                <w:sz w:val="20"/>
                <w:szCs w:val="20"/>
              </w:rPr>
              <w:t xml:space="preserve">Confirm consistent adoption across the agreed assessment scope, supported by dated evidence.</w:t>
            </w:r>
          </w:p>
        </w:tc>
        <w:tc>
          <w:tcPr>
            <w:tcW w:type="dxa" w:w="1400"/>
            <w:tcMar>
              <w:top w:type="dxa" w:w="100"/>
              <w:left w:type="dxa" w:w="100"/>
              <w:bottom w:type="dxa" w:w="100"/>
              <w:right w:type="dxa" w:w="100"/>
            </w:tcMar>
          </w:tcPr>
          <w:p>
            <w:pPr>
              <w:spacing w:after="40"/>
            </w:pPr>
            <w:r>
              <w:rPr>
                <w:b w:val="false"/>
                <w:bCs w:val="false"/>
                <w:color w:val="000000"/>
                <w:sz w:val="20"/>
                <w:szCs w:val="20"/>
              </w:rPr>
              <w:t xml:space="preserve">Not confirmed</w:t>
            </w:r>
          </w:p>
        </w:tc>
        <w:tc>
          <w:tcPr>
            <w:tcW w:type="dxa" w:w="3100"/>
            <w:tcMar>
              <w:top w:type="dxa" w:w="100"/>
              <w:left w:type="dxa" w:w="100"/>
              <w:bottom w:type="dxa" w:w="100"/>
              <w:right w:type="dxa" w:w="100"/>
            </w:tcMar>
          </w:tcPr>
          <w:p>
            <w:pPr>
              <w:spacing w:after="40"/>
            </w:pPr>
            <w:r>
              <w:rPr>
                <w:b w:val="false"/>
                <w:bCs w:val="false"/>
                <w:color w:val="000000"/>
                <w:sz w:val="20"/>
                <w:szCs w:val="20"/>
              </w:rPr>
              <w:t xml:space="preserve">Not recorded</w:t>
            </w:r>
          </w:p>
        </w:tc>
      </w:tr>
    </w:tbl>
    <w:p>
      <w:pPr>
        <w:pStyle w:val="Heading1"/>
        <w:keepNext/>
        <w:spacing w:after="140" w:before="260"/>
      </w:pPr>
      <w:r>
        <w:t xml:space="preserve">Appendix framework guidance</w:t>
      </w:r>
    </w:p>
    <w:p>
      <w:pPr>
        <w:pStyle w:val="Heading2"/>
        <w:keepNext/>
        <w:spacing w:after="140" w:before="260"/>
      </w:pPr>
      <w:r>
        <w:t xml:space="preserve">1 Initial</w:t>
      </w:r>
    </w:p>
    <w:p>
      <w:pPr>
        <w:spacing w:after="120"/>
      </w:pPr>
      <w:r>
        <w:t xml:space="preserve">Activities are informal, inconsistent or reactive.</w:t>
      </w:r>
    </w:p>
    <w:p>
      <w:pPr>
        <w:spacing w:after="120"/>
      </w:pPr>
      <w:r>
        <w:t xml:space="preserve">Scoring guidance: Demonstrate the practices described at level 1 consistently across the assessed scope.</w:t>
      </w:r>
      <w:r>
        <w:br/>
        <w:t xml:space="preserve">Evidence requirements: Record dated examples, artefact references and the extent of adoption.</w:t>
      </w:r>
    </w:p>
    <w:p>
      <w:pPr>
        <w:pStyle w:val="Heading2"/>
        <w:keepNext/>
        <w:spacing w:after="140" w:before="260"/>
      </w:pPr>
      <w:r>
        <w:t xml:space="preserve">2 Developing</w:t>
      </w:r>
    </w:p>
    <w:p>
      <w:pPr>
        <w:spacing w:after="120"/>
      </w:pPr>
      <w:r>
        <w:t xml:space="preserve">Some repeatable practices exist but are not consistently applied.</w:t>
      </w:r>
    </w:p>
    <w:p>
      <w:pPr>
        <w:spacing w:after="120"/>
      </w:pPr>
      <w:r>
        <w:t xml:space="preserve">Scoring guidance: Demonstrate the practices described at level 2 consistently across the assessed scope.</w:t>
      </w:r>
      <w:r>
        <w:br/>
        <w:t xml:space="preserve">Evidence requirements: Record dated examples, artefact references and the extent of adoption.</w:t>
      </w:r>
    </w:p>
    <w:p>
      <w:pPr>
        <w:pStyle w:val="Heading2"/>
        <w:keepNext/>
        <w:spacing w:after="140" w:before="260"/>
      </w:pPr>
      <w:r>
        <w:t xml:space="preserve">3 Defined</w:t>
      </w:r>
    </w:p>
    <w:p>
      <w:pPr>
        <w:spacing w:after="120"/>
      </w:pPr>
      <w:r>
        <w:t xml:space="preserve">Standardised processes, policies and responsibilities are established.</w:t>
      </w:r>
    </w:p>
    <w:p>
      <w:pPr>
        <w:spacing w:after="120"/>
      </w:pPr>
      <w:r>
        <w:t xml:space="preserve">Scoring guidance: Demonstrate the practices described at level 3 consistently across the assessed scope.</w:t>
      </w:r>
      <w:r>
        <w:br/>
        <w:t xml:space="preserve">Evidence requirements: Record dated examples, artefact references and the extent of adoption.</w:t>
      </w:r>
    </w:p>
    <w:p>
      <w:pPr>
        <w:pStyle w:val="Heading2"/>
        <w:keepNext/>
        <w:spacing w:after="140" w:before="260"/>
      </w:pPr>
      <w:r>
        <w:t xml:space="preserve">4 Managed</w:t>
      </w:r>
    </w:p>
    <w:p>
      <w:pPr>
        <w:spacing w:after="120"/>
      </w:pPr>
      <w:r>
        <w:t xml:space="preserve">Practices are measured, governed and continuously monitored.</w:t>
      </w:r>
    </w:p>
    <w:p>
      <w:pPr>
        <w:spacing w:after="120"/>
      </w:pPr>
      <w:r>
        <w:t xml:space="preserve">Scoring guidance: Demonstrate the practices described at level 4 consistently across the assessed scope.</w:t>
      </w:r>
      <w:r>
        <w:br/>
        <w:t xml:space="preserve">Evidence requirements: Record dated examples, artefact references and the extent of adoption.</w:t>
      </w:r>
    </w:p>
    <w:p>
      <w:pPr>
        <w:pStyle w:val="Heading2"/>
        <w:keepNext/>
        <w:spacing w:after="140" w:before="260"/>
      </w:pPr>
      <w:r>
        <w:t xml:space="preserve">5 Optimised</w:t>
      </w:r>
    </w:p>
    <w:p>
      <w:pPr>
        <w:spacing w:after="120"/>
      </w:pPr>
      <w:r>
        <w:t xml:space="preserve">Practices are continuously improved using evidence, automation and feedback.</w:t>
      </w:r>
    </w:p>
    <w:p>
      <w:pPr>
        <w:spacing w:after="120"/>
      </w:pPr>
      <w:r>
        <w:t xml:space="preserve">Scoring guidance: Demonstrate the practices described at level 5 consistently across the assessed scope.</w:t>
      </w:r>
      <w:r>
        <w:br/>
        <w:t xml:space="preserve">Evidence requirements: Record dated examples, artefact references and the extent of adoption.</w:t>
      </w:r>
    </w:p>
    <w:p>
      <w:pPr>
        <w:pStyle w:val="Heading1"/>
        <w:keepNext/>
        <w:spacing w:after="140" w:before="260"/>
      </w:pPr>
      <w:r>
        <w:t xml:space="preserve">Appendix stable capability identifiers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2800"/>
      </w:tblGrid>
      <w:tr>
        <w:trPr>
          <w:cantSplit/>
          <w:tblHeader/>
        </w:trPr>
        <w:tc>
          <w:tcPr>
            <w:tcW w:type="dxa" w:w="3000"/>
            <w:shd w:fill="E8EEF3" w:val="clear"/>
            <w:tcMar>
              <w:top w:type="dxa" w:w="100"/>
              <w:left w:type="dxa" w:w="100"/>
              <w:bottom w:type="dxa" w:w="100"/>
              <w:right w:type="dxa" w:w="100"/>
            </w:tcMar>
          </w:tcPr>
          <w:p>
            <w:pPr>
              <w:spacing w:after="40"/>
            </w:pPr>
            <w:r>
              <w:rPr>
                <w:b/>
                <w:bCs/>
                <w:color w:val="000000"/>
                <w:sz w:val="20"/>
                <w:szCs w:val="20"/>
              </w:rPr>
              <w:t xml:space="preserve">Capability ID</w:t>
            </w:r>
          </w:p>
        </w:tc>
        <w:tc>
          <w:tcPr>
            <w:tcW w:type="dxa" w:w="3400"/>
            <w:shd w:fill="E8EEF3" w:val="clear"/>
            <w:tcMar>
              <w:top w:type="dxa" w:w="100"/>
              <w:left w:type="dxa" w:w="100"/>
              <w:bottom w:type="dxa" w:w="100"/>
              <w:right w:type="dxa" w:w="100"/>
            </w:tcMar>
          </w:tcPr>
          <w:p>
            <w:pPr>
              <w:spacing w:after="40"/>
            </w:pPr>
            <w:r>
              <w:rPr>
                <w:b/>
                <w:bCs/>
                <w:color w:val="000000"/>
                <w:sz w:val="20"/>
                <w:szCs w:val="20"/>
              </w:rPr>
              <w:t xml:space="preserve">Capability</w:t>
            </w:r>
          </w:p>
        </w:tc>
        <w:tc>
          <w:tcPr>
            <w:tcW w:type="dxa" w:w="2800"/>
            <w:shd w:fill="E8EEF3" w:val="clear"/>
            <w:tcMar>
              <w:top w:type="dxa" w:w="100"/>
              <w:left w:type="dxa" w:w="100"/>
              <w:bottom w:type="dxa" w:w="100"/>
              <w:right w:type="dxa" w:w="100"/>
            </w:tcMar>
          </w:tcPr>
          <w:p>
            <w:pPr>
              <w:spacing w:after="40"/>
            </w:pPr>
            <w:r>
              <w:rPr>
                <w:b/>
                <w:bCs/>
                <w:color w:val="000000"/>
                <w:sz w:val="20"/>
                <w:szCs w:val="20"/>
              </w:rPr>
              <w:t xml:space="preserve">Domain</w:t>
            </w:r>
          </w:p>
        </w:tc>
      </w:tr>
      <w:tr>
        <w:trPr>
          <w:cantSplit/>
          <w:tblHeader w:val="false"/>
        </w:trPr>
        <w:tc>
          <w:tcPr>
            <w:tcW w:type="dxa" w:w="3000"/>
            <w:tcMar>
              <w:top w:type="dxa" w:w="100"/>
              <w:left w:type="dxa" w:w="100"/>
              <w:bottom w:type="dxa" w:w="100"/>
              <w:right w:type="dxa" w:w="100"/>
            </w:tcMar>
          </w:tcPr>
          <w:p>
            <w:pPr>
              <w:spacing w:after="40"/>
            </w:pPr>
            <w:r>
              <w:rPr>
                <w:b w:val="false"/>
                <w:bCs w:val="false"/>
                <w:color w:val="000000"/>
                <w:sz w:val="20"/>
                <w:szCs w:val="20"/>
              </w:rPr>
              <w:t xml:space="preserve">54d91ed0-d9cc-4d54-828e-af113e72dd51</w:t>
            </w:r>
          </w:p>
        </w:tc>
        <w:tc>
          <w:tcPr>
            <w:tcW w:type="dxa" w:w="3400"/>
            <w:tcMar>
              <w:top w:type="dxa" w:w="100"/>
              <w:left w:type="dxa" w:w="100"/>
              <w:bottom w:type="dxa" w:w="100"/>
              <w:right w:type="dxa" w:w="100"/>
            </w:tcMar>
          </w:tcPr>
          <w:p>
            <w:pPr>
              <w:spacing w:after="40"/>
            </w:pPr>
            <w:r>
              <w:rPr>
                <w:b w:val="false"/>
                <w:bCs w:val="false"/>
                <w:color w:val="000000"/>
                <w:sz w:val="20"/>
                <w:szCs w:val="20"/>
              </w:rPr>
              <w:t xml:space="preserve">Governance and environment strategy</w:t>
            </w:r>
          </w:p>
        </w:tc>
        <w:tc>
          <w:tcPr>
            <w:tcW w:type="dxa" w:w="2800"/>
            <w:tcMar>
              <w:top w:type="dxa" w:w="100"/>
              <w:left w:type="dxa" w:w="100"/>
              <w:bottom w:type="dxa" w:w="100"/>
              <w:right w:type="dxa" w:w="100"/>
            </w:tcMar>
          </w:tcPr>
          <w:p>
            <w:pPr>
              <w:spacing w:after="40"/>
            </w:pPr>
            <w:r>
              <w:rPr>
                <w:b w:val="false"/>
                <w:bCs w:val="false"/>
                <w:color w:val="000000"/>
                <w:sz w:val="20"/>
                <w:szCs w:val="20"/>
              </w:rPr>
              <w:t xml:space="preserve">Governance and enablement</w:t>
            </w:r>
          </w:p>
        </w:tc>
      </w:tr>
      <w:tr>
        <w:trPr>
          <w:cantSplit/>
          <w:tblHeader w:val="false"/>
        </w:trPr>
        <w:tc>
          <w:tcPr>
            <w:tcW w:type="dxa" w:w="3000"/>
            <w:tcMar>
              <w:top w:type="dxa" w:w="100"/>
              <w:left w:type="dxa" w:w="100"/>
              <w:bottom w:type="dxa" w:w="100"/>
              <w:right w:type="dxa" w:w="100"/>
            </w:tcMar>
          </w:tcPr>
          <w:p>
            <w:pPr>
              <w:spacing w:after="40"/>
            </w:pPr>
            <w:r>
              <w:rPr>
                <w:b w:val="false"/>
                <w:bCs w:val="false"/>
                <w:color w:val="000000"/>
                <w:sz w:val="20"/>
                <w:szCs w:val="20"/>
              </w:rPr>
              <w:t xml:space="preserve">6bf2dc96-64be-4102-8948-51d21eb8bf59</w:t>
            </w:r>
          </w:p>
        </w:tc>
        <w:tc>
          <w:tcPr>
            <w:tcW w:type="dxa" w:w="3400"/>
            <w:tcMar>
              <w:top w:type="dxa" w:w="100"/>
              <w:left w:type="dxa" w:w="100"/>
              <w:bottom w:type="dxa" w:w="100"/>
              <w:right w:type="dxa" w:w="100"/>
            </w:tcMar>
          </w:tcPr>
          <w:p>
            <w:pPr>
              <w:spacing w:after="40"/>
            </w:pPr>
            <w:r>
              <w:rPr>
                <w:b w:val="false"/>
                <w:bCs w:val="false"/>
                <w:color w:val="000000"/>
                <w:sz w:val="20"/>
                <w:szCs w:val="20"/>
              </w:rPr>
              <w:t xml:space="preserve">Citizen developer enablement</w:t>
            </w:r>
          </w:p>
        </w:tc>
        <w:tc>
          <w:tcPr>
            <w:tcW w:type="dxa" w:w="2800"/>
            <w:tcMar>
              <w:top w:type="dxa" w:w="100"/>
              <w:left w:type="dxa" w:w="100"/>
              <w:bottom w:type="dxa" w:w="100"/>
              <w:right w:type="dxa" w:w="100"/>
            </w:tcMar>
          </w:tcPr>
          <w:p>
            <w:pPr>
              <w:spacing w:after="40"/>
            </w:pPr>
            <w:r>
              <w:rPr>
                <w:b w:val="false"/>
                <w:bCs w:val="false"/>
                <w:color w:val="000000"/>
                <w:sz w:val="20"/>
                <w:szCs w:val="20"/>
              </w:rPr>
              <w:t xml:space="preserve">Governance and enablement</w:t>
            </w:r>
          </w:p>
        </w:tc>
      </w:tr>
      <w:tr>
        <w:trPr>
          <w:cantSplit/>
          <w:tblHeader w:val="false"/>
        </w:trPr>
        <w:tc>
          <w:tcPr>
            <w:tcW w:type="dxa" w:w="3000"/>
            <w:tcMar>
              <w:top w:type="dxa" w:w="100"/>
              <w:left w:type="dxa" w:w="100"/>
              <w:bottom w:type="dxa" w:w="100"/>
              <w:right w:type="dxa" w:w="100"/>
            </w:tcMar>
          </w:tcPr>
          <w:p>
            <w:pPr>
              <w:spacing w:after="40"/>
            </w:pPr>
            <w:r>
              <w:rPr>
                <w:b w:val="false"/>
                <w:bCs w:val="false"/>
                <w:color w:val="000000"/>
                <w:sz w:val="20"/>
                <w:szCs w:val="20"/>
              </w:rPr>
              <w:t xml:space="preserve">bc6a8045-96bc-4990-bdd6-21cde9778467</w:t>
            </w:r>
          </w:p>
        </w:tc>
        <w:tc>
          <w:tcPr>
            <w:tcW w:type="dxa" w:w="3400"/>
            <w:tcMar>
              <w:top w:type="dxa" w:w="100"/>
              <w:left w:type="dxa" w:w="100"/>
              <w:bottom w:type="dxa" w:w="100"/>
              <w:right w:type="dxa" w:w="100"/>
            </w:tcMar>
          </w:tcPr>
          <w:p>
            <w:pPr>
              <w:spacing w:after="40"/>
            </w:pPr>
            <w:r>
              <w:rPr>
                <w:b w:val="false"/>
                <w:bCs w:val="false"/>
                <w:color w:val="000000"/>
                <w:sz w:val="20"/>
                <w:szCs w:val="20"/>
              </w:rPr>
              <w:t xml:space="preserve">Data governance</w:t>
            </w:r>
          </w:p>
        </w:tc>
        <w:tc>
          <w:tcPr>
            <w:tcW w:type="dxa" w:w="2800"/>
            <w:tcMar>
              <w:top w:type="dxa" w:w="100"/>
              <w:left w:type="dxa" w:w="100"/>
              <w:bottom w:type="dxa" w:w="100"/>
              <w:right w:type="dxa" w:w="100"/>
            </w:tcMar>
          </w:tcPr>
          <w:p>
            <w:pPr>
              <w:spacing w:after="40"/>
            </w:pPr>
            <w:r>
              <w:rPr>
                <w:b w:val="false"/>
                <w:bCs w:val="false"/>
                <w:color w:val="000000"/>
                <w:sz w:val="20"/>
                <w:szCs w:val="20"/>
              </w:rPr>
              <w:t xml:space="preserve">Governance and enablement</w:t>
            </w:r>
          </w:p>
        </w:tc>
      </w:tr>
      <w:tr>
        <w:trPr>
          <w:cantSplit/>
          <w:tblHeader w:val="false"/>
        </w:trPr>
        <w:tc>
          <w:tcPr>
            <w:tcW w:type="dxa" w:w="3000"/>
            <w:tcMar>
              <w:top w:type="dxa" w:w="100"/>
              <w:left w:type="dxa" w:w="100"/>
              <w:bottom w:type="dxa" w:w="100"/>
              <w:right w:type="dxa" w:w="100"/>
            </w:tcMar>
          </w:tcPr>
          <w:p>
            <w:pPr>
              <w:spacing w:after="40"/>
            </w:pPr>
            <w:r>
              <w:rPr>
                <w:b w:val="false"/>
                <w:bCs w:val="false"/>
                <w:color w:val="000000"/>
                <w:sz w:val="20"/>
                <w:szCs w:val="20"/>
              </w:rPr>
              <w:t xml:space="preserve">d862b9cf-3b5f-4972-93a3-b6c99b275ed8</w:t>
            </w:r>
          </w:p>
        </w:tc>
        <w:tc>
          <w:tcPr>
            <w:tcW w:type="dxa" w:w="3400"/>
            <w:tcMar>
              <w:top w:type="dxa" w:w="100"/>
              <w:left w:type="dxa" w:w="100"/>
              <w:bottom w:type="dxa" w:w="100"/>
              <w:right w:type="dxa" w:w="100"/>
            </w:tcMar>
          </w:tcPr>
          <w:p>
            <w:pPr>
              <w:spacing w:after="40"/>
            </w:pPr>
            <w:r>
              <w:rPr>
                <w:b w:val="false"/>
                <w:bCs w:val="false"/>
                <w:color w:val="000000"/>
                <w:sz w:val="20"/>
                <w:szCs w:val="20"/>
              </w:rPr>
              <w:t xml:space="preserve">Dataverse architecture</w:t>
            </w:r>
          </w:p>
        </w:tc>
        <w:tc>
          <w:tcPr>
            <w:tcW w:type="dxa" w:w="2800"/>
            <w:tcMar>
              <w:top w:type="dxa" w:w="100"/>
              <w:left w:type="dxa" w:w="100"/>
              <w:bottom w:type="dxa" w:w="100"/>
              <w:right w:type="dxa" w:w="100"/>
            </w:tcMar>
          </w:tcPr>
          <w:p>
            <w:pPr>
              <w:spacing w:after="40"/>
            </w:pPr>
            <w:r>
              <w:rPr>
                <w:b w:val="false"/>
                <w:bCs w:val="false"/>
                <w:color w:val="000000"/>
                <w:sz w:val="20"/>
                <w:szCs w:val="20"/>
              </w:rPr>
              <w:t xml:space="preserve">Architecture and security</w:t>
            </w:r>
          </w:p>
        </w:tc>
      </w:tr>
      <w:tr>
        <w:trPr>
          <w:cantSplit/>
          <w:tblHeader w:val="false"/>
        </w:trPr>
        <w:tc>
          <w:tcPr>
            <w:tcW w:type="dxa" w:w="3000"/>
            <w:tcMar>
              <w:top w:type="dxa" w:w="100"/>
              <w:left w:type="dxa" w:w="100"/>
              <w:bottom w:type="dxa" w:w="100"/>
              <w:right w:type="dxa" w:w="100"/>
            </w:tcMar>
          </w:tcPr>
          <w:p>
            <w:pPr>
              <w:spacing w:after="40"/>
            </w:pPr>
            <w:r>
              <w:rPr>
                <w:b w:val="false"/>
                <w:bCs w:val="false"/>
                <w:color w:val="000000"/>
                <w:sz w:val="20"/>
                <w:szCs w:val="20"/>
              </w:rPr>
              <w:t xml:space="preserve">8a94fe13-a112-498e-a1b2-f385bef21387</w:t>
            </w:r>
          </w:p>
        </w:tc>
        <w:tc>
          <w:tcPr>
            <w:tcW w:type="dxa" w:w="3400"/>
            <w:tcMar>
              <w:top w:type="dxa" w:w="100"/>
              <w:left w:type="dxa" w:w="100"/>
              <w:bottom w:type="dxa" w:w="100"/>
              <w:right w:type="dxa" w:w="100"/>
            </w:tcMar>
          </w:tcPr>
          <w:p>
            <w:pPr>
              <w:spacing w:after="40"/>
            </w:pPr>
            <w:r>
              <w:rPr>
                <w:b w:val="false"/>
                <w:bCs w:val="false"/>
                <w:color w:val="000000"/>
                <w:sz w:val="20"/>
                <w:szCs w:val="20"/>
              </w:rPr>
              <w:t xml:space="preserve">Security and identity</w:t>
            </w:r>
          </w:p>
        </w:tc>
        <w:tc>
          <w:tcPr>
            <w:tcW w:type="dxa" w:w="2800"/>
            <w:tcMar>
              <w:top w:type="dxa" w:w="100"/>
              <w:left w:type="dxa" w:w="100"/>
              <w:bottom w:type="dxa" w:w="100"/>
              <w:right w:type="dxa" w:w="100"/>
            </w:tcMar>
          </w:tcPr>
          <w:p>
            <w:pPr>
              <w:spacing w:after="40"/>
            </w:pPr>
            <w:r>
              <w:rPr>
                <w:b w:val="false"/>
                <w:bCs w:val="false"/>
                <w:color w:val="000000"/>
                <w:sz w:val="20"/>
                <w:szCs w:val="20"/>
              </w:rPr>
              <w:t xml:space="preserve">Architecture and security</w:t>
            </w:r>
          </w:p>
        </w:tc>
      </w:tr>
      <w:tr>
        <w:trPr>
          <w:cantSplit/>
          <w:tblHeader w:val="false"/>
        </w:trPr>
        <w:tc>
          <w:tcPr>
            <w:tcW w:type="dxa" w:w="3000"/>
            <w:tcMar>
              <w:top w:type="dxa" w:w="100"/>
              <w:left w:type="dxa" w:w="100"/>
              <w:bottom w:type="dxa" w:w="100"/>
              <w:right w:type="dxa" w:w="100"/>
            </w:tcMar>
          </w:tcPr>
          <w:p>
            <w:pPr>
              <w:spacing w:after="40"/>
            </w:pPr>
            <w:r>
              <w:rPr>
                <w:b w:val="false"/>
                <w:bCs w:val="false"/>
                <w:color w:val="000000"/>
                <w:sz w:val="20"/>
                <w:szCs w:val="20"/>
              </w:rPr>
              <w:t xml:space="preserve">35af7f68-c81c-4323-96c9-e86418212e2e</w:t>
            </w:r>
          </w:p>
        </w:tc>
        <w:tc>
          <w:tcPr>
            <w:tcW w:type="dxa" w:w="3400"/>
            <w:tcMar>
              <w:top w:type="dxa" w:w="100"/>
              <w:left w:type="dxa" w:w="100"/>
              <w:bottom w:type="dxa" w:w="100"/>
              <w:right w:type="dxa" w:w="100"/>
            </w:tcMar>
          </w:tcPr>
          <w:p>
            <w:pPr>
              <w:spacing w:after="40"/>
            </w:pPr>
            <w:r>
              <w:rPr>
                <w:b w:val="false"/>
                <w:bCs w:val="false"/>
                <w:color w:val="000000"/>
                <w:sz w:val="20"/>
                <w:szCs w:val="20"/>
              </w:rPr>
              <w:t xml:space="preserve">Integration architecture</w:t>
            </w:r>
          </w:p>
        </w:tc>
        <w:tc>
          <w:tcPr>
            <w:tcW w:type="dxa" w:w="2800"/>
            <w:tcMar>
              <w:top w:type="dxa" w:w="100"/>
              <w:left w:type="dxa" w:w="100"/>
              <w:bottom w:type="dxa" w:w="100"/>
              <w:right w:type="dxa" w:w="100"/>
            </w:tcMar>
          </w:tcPr>
          <w:p>
            <w:pPr>
              <w:spacing w:after="40"/>
            </w:pPr>
            <w:r>
              <w:rPr>
                <w:b w:val="false"/>
                <w:bCs w:val="false"/>
                <w:color w:val="000000"/>
                <w:sz w:val="20"/>
                <w:szCs w:val="20"/>
              </w:rPr>
              <w:t xml:space="preserve">Architecture and security</w:t>
            </w:r>
          </w:p>
        </w:tc>
      </w:tr>
      <w:tr>
        <w:trPr>
          <w:cantSplit/>
          <w:tblHeader w:val="false"/>
        </w:trPr>
        <w:tc>
          <w:tcPr>
            <w:tcW w:type="dxa" w:w="3000"/>
            <w:tcMar>
              <w:top w:type="dxa" w:w="100"/>
              <w:left w:type="dxa" w:w="100"/>
              <w:bottom w:type="dxa" w:w="100"/>
              <w:right w:type="dxa" w:w="100"/>
            </w:tcMar>
          </w:tcPr>
          <w:p>
            <w:pPr>
              <w:spacing w:after="40"/>
            </w:pPr>
            <w:r>
              <w:rPr>
                <w:b w:val="false"/>
                <w:bCs w:val="false"/>
                <w:color w:val="000000"/>
                <w:sz w:val="20"/>
                <w:szCs w:val="20"/>
              </w:rPr>
              <w:t xml:space="preserve">476eedc1-5487-422c-89c7-9f26f7203bfd</w:t>
            </w:r>
          </w:p>
        </w:tc>
        <w:tc>
          <w:tcPr>
            <w:tcW w:type="dxa" w:w="3400"/>
            <w:tcMar>
              <w:top w:type="dxa" w:w="100"/>
              <w:left w:type="dxa" w:w="100"/>
              <w:bottom w:type="dxa" w:w="100"/>
              <w:right w:type="dxa" w:w="100"/>
            </w:tcMar>
          </w:tcPr>
          <w:p>
            <w:pPr>
              <w:spacing w:after="40"/>
            </w:pPr>
            <w:r>
              <w:rPr>
                <w:b w:val="false"/>
                <w:bCs w:val="false"/>
                <w:color w:val="000000"/>
                <w:sz w:val="20"/>
                <w:szCs w:val="20"/>
              </w:rPr>
              <w:t xml:space="preserve">Application lifecycle management</w:t>
            </w:r>
          </w:p>
        </w:tc>
        <w:tc>
          <w:tcPr>
            <w:tcW w:type="dxa" w:w="2800"/>
            <w:tcMar>
              <w:top w:type="dxa" w:w="100"/>
              <w:left w:type="dxa" w:w="100"/>
              <w:bottom w:type="dxa" w:w="100"/>
              <w:right w:type="dxa" w:w="100"/>
            </w:tcMar>
          </w:tcPr>
          <w:p>
            <w:pPr>
              <w:spacing w:after="40"/>
            </w:pPr>
            <w:r>
              <w:rPr>
                <w:b w:val="false"/>
                <w:bCs w:val="false"/>
                <w:color w:val="000000"/>
                <w:sz w:val="20"/>
                <w:szCs w:val="20"/>
              </w:rPr>
              <w:t xml:space="preserve">Engineering and delivery</w:t>
            </w:r>
          </w:p>
        </w:tc>
      </w:tr>
      <w:tr>
        <w:trPr>
          <w:cantSplit/>
          <w:tblHeader w:val="false"/>
        </w:trPr>
        <w:tc>
          <w:tcPr>
            <w:tcW w:type="dxa" w:w="3000"/>
            <w:tcMar>
              <w:top w:type="dxa" w:w="100"/>
              <w:left w:type="dxa" w:w="100"/>
              <w:bottom w:type="dxa" w:w="100"/>
              <w:right w:type="dxa" w:w="100"/>
            </w:tcMar>
          </w:tcPr>
          <w:p>
            <w:pPr>
              <w:spacing w:after="40"/>
            </w:pPr>
            <w:r>
              <w:rPr>
                <w:b w:val="false"/>
                <w:bCs w:val="false"/>
                <w:color w:val="000000"/>
                <w:sz w:val="20"/>
                <w:szCs w:val="20"/>
              </w:rPr>
              <w:t xml:space="preserve">51de1b89-7572-4b9a-ad93-fe0918f6f137</w:t>
            </w:r>
          </w:p>
        </w:tc>
        <w:tc>
          <w:tcPr>
            <w:tcW w:type="dxa" w:w="3400"/>
            <w:tcMar>
              <w:top w:type="dxa" w:w="100"/>
              <w:left w:type="dxa" w:w="100"/>
              <w:bottom w:type="dxa" w:w="100"/>
              <w:right w:type="dxa" w:w="100"/>
            </w:tcMar>
          </w:tcPr>
          <w:p>
            <w:pPr>
              <w:spacing w:after="40"/>
            </w:pPr>
            <w:r>
              <w:rPr>
                <w:b w:val="false"/>
                <w:bCs w:val="false"/>
                <w:color w:val="000000"/>
                <w:sz w:val="20"/>
                <w:szCs w:val="20"/>
              </w:rPr>
              <w:t xml:space="preserve">Deployment automation</w:t>
            </w:r>
          </w:p>
        </w:tc>
        <w:tc>
          <w:tcPr>
            <w:tcW w:type="dxa" w:w="2800"/>
            <w:tcMar>
              <w:top w:type="dxa" w:w="100"/>
              <w:left w:type="dxa" w:w="100"/>
              <w:bottom w:type="dxa" w:w="100"/>
              <w:right w:type="dxa" w:w="100"/>
            </w:tcMar>
          </w:tcPr>
          <w:p>
            <w:pPr>
              <w:spacing w:after="40"/>
            </w:pPr>
            <w:r>
              <w:rPr>
                <w:b w:val="false"/>
                <w:bCs w:val="false"/>
                <w:color w:val="000000"/>
                <w:sz w:val="20"/>
                <w:szCs w:val="20"/>
              </w:rPr>
              <w:t xml:space="preserve">Engineering and delivery</w:t>
            </w:r>
          </w:p>
        </w:tc>
      </w:tr>
      <w:tr>
        <w:trPr>
          <w:cantSplit/>
          <w:tblHeader w:val="false"/>
        </w:trPr>
        <w:tc>
          <w:tcPr>
            <w:tcW w:type="dxa" w:w="3000"/>
            <w:tcMar>
              <w:top w:type="dxa" w:w="100"/>
              <w:left w:type="dxa" w:w="100"/>
              <w:bottom w:type="dxa" w:w="100"/>
              <w:right w:type="dxa" w:w="100"/>
            </w:tcMar>
          </w:tcPr>
          <w:p>
            <w:pPr>
              <w:spacing w:after="40"/>
            </w:pPr>
            <w:r>
              <w:rPr>
                <w:b w:val="false"/>
                <w:bCs w:val="false"/>
                <w:color w:val="000000"/>
                <w:sz w:val="20"/>
                <w:szCs w:val="20"/>
              </w:rPr>
              <w:t xml:space="preserve">d4e7ecc0-2180-41c1-bf88-f47007d4c7ce</w:t>
            </w:r>
          </w:p>
        </w:tc>
        <w:tc>
          <w:tcPr>
            <w:tcW w:type="dxa" w:w="3400"/>
            <w:tcMar>
              <w:top w:type="dxa" w:w="100"/>
              <w:left w:type="dxa" w:w="100"/>
              <w:bottom w:type="dxa" w:w="100"/>
              <w:right w:type="dxa" w:w="100"/>
            </w:tcMar>
          </w:tcPr>
          <w:p>
            <w:pPr>
              <w:spacing w:after="40"/>
            </w:pPr>
            <w:r>
              <w:rPr>
                <w:b w:val="false"/>
                <w:bCs w:val="false"/>
                <w:color w:val="000000"/>
                <w:sz w:val="20"/>
                <w:szCs w:val="20"/>
              </w:rPr>
              <w:t xml:space="preserve">Automated testing</w:t>
            </w:r>
          </w:p>
        </w:tc>
        <w:tc>
          <w:tcPr>
            <w:tcW w:type="dxa" w:w="2800"/>
            <w:tcMar>
              <w:top w:type="dxa" w:w="100"/>
              <w:left w:type="dxa" w:w="100"/>
              <w:bottom w:type="dxa" w:w="100"/>
              <w:right w:type="dxa" w:w="100"/>
            </w:tcMar>
          </w:tcPr>
          <w:p>
            <w:pPr>
              <w:spacing w:after="40"/>
            </w:pPr>
            <w:r>
              <w:rPr>
                <w:b w:val="false"/>
                <w:bCs w:val="false"/>
                <w:color w:val="000000"/>
                <w:sz w:val="20"/>
                <w:szCs w:val="20"/>
              </w:rPr>
              <w:t xml:space="preserve">Engineering and delivery</w:t>
            </w:r>
          </w:p>
        </w:tc>
      </w:tr>
      <w:tr>
        <w:trPr>
          <w:cantSplit/>
          <w:tblHeader w:val="false"/>
        </w:trPr>
        <w:tc>
          <w:tcPr>
            <w:tcW w:type="dxa" w:w="3000"/>
            <w:tcMar>
              <w:top w:type="dxa" w:w="100"/>
              <w:left w:type="dxa" w:w="100"/>
              <w:bottom w:type="dxa" w:w="100"/>
              <w:right w:type="dxa" w:w="100"/>
            </w:tcMar>
          </w:tcPr>
          <w:p>
            <w:pPr>
              <w:spacing w:after="40"/>
            </w:pPr>
            <w:r>
              <w:rPr>
                <w:b w:val="false"/>
                <w:bCs w:val="false"/>
                <w:color w:val="000000"/>
                <w:sz w:val="20"/>
                <w:szCs w:val="20"/>
              </w:rPr>
              <w:t xml:space="preserve">f007308f-0fd4-4bb8-bf58-249b1efdeb9b</w:t>
            </w:r>
          </w:p>
        </w:tc>
        <w:tc>
          <w:tcPr>
            <w:tcW w:type="dxa" w:w="3400"/>
            <w:tcMar>
              <w:top w:type="dxa" w:w="100"/>
              <w:left w:type="dxa" w:w="100"/>
              <w:bottom w:type="dxa" w:w="100"/>
              <w:right w:type="dxa" w:w="100"/>
            </w:tcMar>
          </w:tcPr>
          <w:p>
            <w:pPr>
              <w:spacing w:after="40"/>
            </w:pPr>
            <w:r>
              <w:rPr>
                <w:b w:val="false"/>
                <w:bCs w:val="false"/>
                <w:color w:val="000000"/>
                <w:sz w:val="20"/>
                <w:szCs w:val="20"/>
              </w:rPr>
              <w:t xml:space="preserve">Monitoring and observability</w:t>
            </w:r>
          </w:p>
        </w:tc>
        <w:tc>
          <w:tcPr>
            <w:tcW w:type="dxa" w:w="2800"/>
            <w:tcMar>
              <w:top w:type="dxa" w:w="100"/>
              <w:left w:type="dxa" w:w="100"/>
              <w:bottom w:type="dxa" w:w="100"/>
              <w:right w:type="dxa" w:w="100"/>
            </w:tcMar>
          </w:tcPr>
          <w:p>
            <w:pPr>
              <w:spacing w:after="40"/>
            </w:pPr>
            <w:r>
              <w:rPr>
                <w:b w:val="false"/>
                <w:bCs w:val="false"/>
                <w:color w:val="000000"/>
                <w:sz w:val="20"/>
                <w:szCs w:val="20"/>
              </w:rPr>
              <w:t xml:space="preserve">Operations and resilience</w:t>
            </w:r>
          </w:p>
        </w:tc>
      </w:tr>
      <w:tr>
        <w:trPr>
          <w:cantSplit/>
          <w:tblHeader w:val="false"/>
        </w:trPr>
        <w:tc>
          <w:tcPr>
            <w:tcW w:type="dxa" w:w="3000"/>
            <w:tcMar>
              <w:top w:type="dxa" w:w="100"/>
              <w:left w:type="dxa" w:w="100"/>
              <w:bottom w:type="dxa" w:w="100"/>
              <w:right w:type="dxa" w:w="100"/>
            </w:tcMar>
          </w:tcPr>
          <w:p>
            <w:pPr>
              <w:spacing w:after="40"/>
            </w:pPr>
            <w:r>
              <w:rPr>
                <w:b w:val="false"/>
                <w:bCs w:val="false"/>
                <w:color w:val="000000"/>
                <w:sz w:val="20"/>
                <w:szCs w:val="20"/>
              </w:rPr>
              <w:t xml:space="preserve">f4b31fde-9bcd-4e60-ab8b-c3b55c6b1d23</w:t>
            </w:r>
          </w:p>
        </w:tc>
        <w:tc>
          <w:tcPr>
            <w:tcW w:type="dxa" w:w="3400"/>
            <w:tcMar>
              <w:top w:type="dxa" w:w="100"/>
              <w:left w:type="dxa" w:w="100"/>
              <w:bottom w:type="dxa" w:w="100"/>
              <w:right w:type="dxa" w:w="100"/>
            </w:tcMar>
          </w:tcPr>
          <w:p>
            <w:pPr>
              <w:spacing w:after="40"/>
            </w:pPr>
            <w:r>
              <w:rPr>
                <w:b w:val="false"/>
                <w:bCs w:val="false"/>
                <w:color w:val="000000"/>
                <w:sz w:val="20"/>
                <w:szCs w:val="20"/>
              </w:rPr>
              <w:t xml:space="preserve">Recovery and continuity</w:t>
            </w:r>
          </w:p>
        </w:tc>
        <w:tc>
          <w:tcPr>
            <w:tcW w:type="dxa" w:w="2800"/>
            <w:tcMar>
              <w:top w:type="dxa" w:w="100"/>
              <w:left w:type="dxa" w:w="100"/>
              <w:bottom w:type="dxa" w:w="100"/>
              <w:right w:type="dxa" w:w="100"/>
            </w:tcMar>
          </w:tcPr>
          <w:p>
            <w:pPr>
              <w:spacing w:after="40"/>
            </w:pPr>
            <w:r>
              <w:rPr>
                <w:b w:val="false"/>
                <w:bCs w:val="false"/>
                <w:color w:val="000000"/>
                <w:sz w:val="20"/>
                <w:szCs w:val="20"/>
              </w:rPr>
              <w:t xml:space="preserve">Operations and resilience</w:t>
            </w:r>
          </w:p>
        </w:tc>
      </w:tr>
      <w:tr>
        <w:trPr>
          <w:cantSplit/>
          <w:tblHeader w:val="false"/>
        </w:trPr>
        <w:tc>
          <w:tcPr>
            <w:tcW w:type="dxa" w:w="3000"/>
            <w:tcMar>
              <w:top w:type="dxa" w:w="100"/>
              <w:left w:type="dxa" w:w="100"/>
              <w:bottom w:type="dxa" w:w="100"/>
              <w:right w:type="dxa" w:w="100"/>
            </w:tcMar>
          </w:tcPr>
          <w:p>
            <w:pPr>
              <w:spacing w:after="40"/>
            </w:pPr>
            <w:r>
              <w:rPr>
                <w:b w:val="false"/>
                <w:bCs w:val="false"/>
                <w:color w:val="000000"/>
                <w:sz w:val="20"/>
                <w:szCs w:val="20"/>
              </w:rPr>
              <w:t xml:space="preserve">e8b6d386-a889-4674-811b-b3ac8558cd6c</w:t>
            </w:r>
          </w:p>
        </w:tc>
        <w:tc>
          <w:tcPr>
            <w:tcW w:type="dxa" w:w="3400"/>
            <w:tcMar>
              <w:top w:type="dxa" w:w="100"/>
              <w:left w:type="dxa" w:w="100"/>
              <w:bottom w:type="dxa" w:w="100"/>
              <w:right w:type="dxa" w:w="100"/>
            </w:tcMar>
          </w:tcPr>
          <w:p>
            <w:pPr>
              <w:spacing w:after="40"/>
            </w:pPr>
            <w:r>
              <w:rPr>
                <w:b w:val="false"/>
                <w:bCs w:val="false"/>
                <w:color w:val="000000"/>
                <w:sz w:val="20"/>
                <w:szCs w:val="20"/>
              </w:rPr>
              <w:t xml:space="preserve">Capacity and licensing</w:t>
            </w:r>
          </w:p>
        </w:tc>
        <w:tc>
          <w:tcPr>
            <w:tcW w:type="dxa" w:w="2800"/>
            <w:tcMar>
              <w:top w:type="dxa" w:w="100"/>
              <w:left w:type="dxa" w:w="100"/>
              <w:bottom w:type="dxa" w:w="100"/>
              <w:right w:type="dxa" w:w="100"/>
            </w:tcMar>
          </w:tcPr>
          <w:p>
            <w:pPr>
              <w:spacing w:after="40"/>
            </w:pPr>
            <w:r>
              <w:rPr>
                <w:b w:val="false"/>
                <w:bCs w:val="false"/>
                <w:color w:val="000000"/>
                <w:sz w:val="20"/>
                <w:szCs w:val="20"/>
              </w:rPr>
              <w:t xml:space="preserve">Operations and resilience</w:t>
            </w:r>
          </w:p>
        </w:tc>
      </w:tr>
    </w:tbl>
    <w:sectPr>
      <w:headerReference w:type="default" r:id="rId7"/>
      <w:footerReference w:type="default" r:id="rId8"/>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t xml:space="preserve">2026-10-20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Header"/>
    </w:pPr>
    <w:r>
      <w:t xml:space="preserve">Mightora Maturity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pPr>
        <w:spacing w:after="120" w:line="276"/>
      </w:pPr>
    </w:pPrDefault>
  </w:docDefaults>
  <w:style w:type="paragraph" w:styleId="Title">
    <w:name w:val="Title"/>
    <w:basedOn w:val="Normal"/>
    <w:next w:val="Normal"/>
    <w:qFormat/>
    <w:rPr>
      <w:rFonts w:ascii="Arial" w:cs="Arial" w:eastAsia="Arial" w:hAnsi="Arial"/>
      <w:b/>
      <w:bCs/>
      <w:color w:val="000000"/>
      <w:sz w:val="44"/>
      <w:szCs w:val="44"/>
    </w:rPr>
  </w:style>
  <w:style w:type="paragraph" w:styleId="Heading1">
    <w:name w:val="Heading 1"/>
    <w:basedOn w:val="Normal"/>
    <w:next w:val="Normal"/>
    <w:qFormat/>
    <w:rPr>
      <w:rFonts w:ascii="Arial" w:cs="Arial" w:eastAsia="Arial" w:hAnsi="Arial"/>
      <w:b/>
      <w:bCs/>
      <w:color w:val="000000"/>
      <w:sz w:val="30"/>
      <w:szCs w:val="30"/>
    </w:rPr>
  </w:style>
  <w:style w:type="paragraph" w:styleId="Heading2">
    <w:name w:val="Heading 2"/>
    <w:basedOn w:val="Normal"/>
    <w:next w:val="Normal"/>
    <w:qFormat/>
    <w:rPr>
      <w:rFonts w:ascii="Arial" w:cs="Arial" w:eastAsia="Arial" w:hAnsi="Arial"/>
      <w:b/>
      <w:bCs/>
      <w:color w:val="000000"/>
      <w:sz w:val="26"/>
      <w:szCs w:val="26"/>
    </w:rPr>
  </w:style>
  <w:style w:type="paragraph" w:styleId="Heading3">
    <w:name w:val="Heading 3"/>
    <w:basedOn w:val="Normal"/>
    <w:next w:val="Normal"/>
    <w:qFormat/>
    <w:rPr>
      <w:rFonts w:ascii="Arial" w:cs="Arial" w:eastAsia="Arial" w:hAnsi="Arial"/>
      <w:b/>
      <w:bCs/>
      <w:color w:val="000000"/>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Platform governance and engineering example</dc:title>
  <dc:creator>Platform architecture team</dc:creator>
  <dc:description>Editable assessment report</dc:description>
  <cp:lastModifiedBy>Un-named</cp:lastModifiedBy>
  <cp:revision>1</cp:revision>
  <dcterms:created xsi:type="dcterms:W3CDTF">2026-10-20T20:24:03.556Z</dcterms:created>
  <dcterms:modified xsi:type="dcterms:W3CDTF">2026-10-20T20:24:03.556Z</dcterms:modified>
</cp:coreProperties>
</file>

<file path=docProps/custom.xml><?xml version="1.0" encoding="utf-8"?>
<Properties xmlns="http://schemas.openxmlformats.org/officeDocument/2006/custom-properties" xmlns:vt="http://schemas.openxmlformats.org/officeDocument/2006/docPropsVTypes"/>
</file>