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rtl w:val="0"/>
        </w:rPr>
        <w:t xml:space="preserve">Use Case: Player1GainsMoney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This is how the player will gain money, after his candy has hit a kid.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: ThrowCandy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Participator</w:t>
      </w:r>
      <w:r w:rsidDel="00000000" w:rsidR="00000000" w:rsidRPr="00000000">
        <w:rPr>
          <w:rtl w:val="0"/>
        </w:rPr>
        <w:t xml:space="preserve">: One player,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Normal 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player throws a candy and it hits a kid.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4335"/>
        <w:tblGridChange w:id="0">
          <w:tblGrid>
            <w:gridCol w:w="630"/>
            <w:gridCol w:w="405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player has thrown a candy, and it hits a kid, and if the kid is satisfied it will then disappear.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Then the player will be awarded money, which depends on which kid the player hits.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player will then see his current money in upper right corner be updated with this new value.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